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pBdr>
          <w:bottom w:val="single" w:color="auto" w:sz="4" w:space="1"/>
        </w:pBdr>
        <w:snapToGrid w:val="0"/>
        <w:jc w:val="center"/>
        <w:rPr>
          <w:rFonts w:eastAsia="宋体"/>
          <w:snapToGrid w:val="0"/>
          <w:sz w:val="56"/>
          <w:szCs w:val="56"/>
        </w:rPr>
      </w:pPr>
      <w:bookmarkStart w:id="92" w:name="_GoBack"/>
      <w:r>
        <w:rPr>
          <w:rFonts w:eastAsia="宋体"/>
          <w:b/>
          <w:bCs/>
          <w:snapToGrid w:val="0"/>
          <w:sz w:val="56"/>
          <w:szCs w:val="56"/>
        </w:rPr>
        <w:t xml:space="preserve">在具有不同技术特征的上市前通知（510（k））中确定实质等同性时应考虑的获益-风险因素 </w:t>
      </w:r>
    </w:p>
    <w:bookmarkEnd w:id="92"/>
    <w:p>
      <w:pPr>
        <w:pStyle w:val="19"/>
        <w:snapToGrid w:val="0"/>
        <w:jc w:val="center"/>
        <w:rPr>
          <w:rFonts w:eastAsia="宋体"/>
          <w:snapToGrid w:val="0"/>
          <w:sz w:val="56"/>
          <w:szCs w:val="56"/>
        </w:rPr>
      </w:pPr>
      <w:r>
        <w:rPr>
          <w:rFonts w:eastAsia="宋体"/>
          <w:b/>
          <w:bCs/>
          <w:snapToGrid w:val="0"/>
          <w:sz w:val="56"/>
          <w:szCs w:val="56"/>
        </w:rPr>
        <w:t>行业和美国食品药品监督管理局工作人员指南</w:t>
      </w:r>
    </w:p>
    <w:p>
      <w:pPr>
        <w:pStyle w:val="19"/>
        <w:snapToGrid w:val="0"/>
        <w:jc w:val="center"/>
        <w:rPr>
          <w:rFonts w:eastAsia="宋体"/>
          <w:b/>
          <w:bCs/>
          <w:snapToGrid w:val="0"/>
          <w:sz w:val="28"/>
          <w:szCs w:val="28"/>
        </w:rPr>
      </w:pPr>
    </w:p>
    <w:p>
      <w:pPr>
        <w:pStyle w:val="19"/>
        <w:snapToGrid w:val="0"/>
        <w:jc w:val="center"/>
        <w:rPr>
          <w:rFonts w:eastAsia="宋体"/>
          <w:b/>
          <w:bCs/>
          <w:snapToGrid w:val="0"/>
          <w:sz w:val="28"/>
          <w:szCs w:val="28"/>
        </w:rPr>
      </w:pPr>
      <w:r>
        <w:rPr>
          <w:rFonts w:eastAsia="宋体"/>
          <w:b/>
          <w:bCs/>
          <w:snapToGrid w:val="0"/>
          <w:sz w:val="28"/>
          <w:szCs w:val="28"/>
        </w:rPr>
        <w:t>文件</w:t>
      </w:r>
      <w:r>
        <w:rPr>
          <w:rFonts w:hint="eastAsia" w:eastAsia="宋体"/>
          <w:b/>
          <w:bCs/>
          <w:snapToGrid w:val="0"/>
          <w:sz w:val="28"/>
          <w:szCs w:val="28"/>
        </w:rPr>
        <w:t>发布日期：</w:t>
      </w:r>
      <w:r>
        <w:rPr>
          <w:rFonts w:eastAsia="宋体"/>
          <w:b/>
          <w:bCs/>
          <w:snapToGrid w:val="0"/>
          <w:sz w:val="28"/>
          <w:szCs w:val="28"/>
        </w:rPr>
        <w:t>2018年9月25日。</w:t>
      </w:r>
    </w:p>
    <w:p>
      <w:pPr>
        <w:pStyle w:val="19"/>
        <w:snapToGrid w:val="0"/>
        <w:jc w:val="center"/>
        <w:rPr>
          <w:rFonts w:eastAsia="宋体"/>
          <w:snapToGrid w:val="0"/>
          <w:sz w:val="28"/>
          <w:szCs w:val="28"/>
        </w:rPr>
      </w:pPr>
    </w:p>
    <w:p>
      <w:pPr>
        <w:snapToGrid w:val="0"/>
        <w:jc w:val="center"/>
        <w:rPr>
          <w:rFonts w:eastAsia="宋体"/>
          <w:b/>
          <w:bCs/>
          <w:snapToGrid w:val="0"/>
          <w:sz w:val="28"/>
          <w:szCs w:val="28"/>
        </w:rPr>
      </w:pPr>
      <w:r>
        <w:rPr>
          <w:rFonts w:eastAsia="宋体"/>
          <w:b/>
          <w:bCs/>
          <w:snapToGrid w:val="0"/>
          <w:sz w:val="28"/>
          <w:szCs w:val="28"/>
        </w:rPr>
        <w:t>文件草案</w:t>
      </w:r>
      <w:r>
        <w:rPr>
          <w:rFonts w:hint="eastAsia" w:eastAsia="宋体"/>
          <w:b/>
          <w:bCs/>
          <w:snapToGrid w:val="0"/>
          <w:sz w:val="28"/>
          <w:szCs w:val="28"/>
        </w:rPr>
        <w:t>发布日期：</w:t>
      </w:r>
      <w:r>
        <w:rPr>
          <w:rFonts w:eastAsia="宋体"/>
          <w:b/>
          <w:bCs/>
          <w:snapToGrid w:val="0"/>
          <w:sz w:val="28"/>
          <w:szCs w:val="28"/>
        </w:rPr>
        <w:t>2014年7月15日。</w:t>
      </w:r>
    </w:p>
    <w:p>
      <w:pPr>
        <w:snapToGrid w:val="0"/>
        <w:jc w:val="both"/>
        <w:rPr>
          <w:rFonts w:eastAsia="宋体"/>
          <w:snapToGrid w:val="0"/>
          <w:color w:val="000000"/>
          <w:sz w:val="24"/>
          <w:szCs w:val="24"/>
        </w:rPr>
      </w:pPr>
    </w:p>
    <w:p>
      <w:pPr>
        <w:snapToGrid w:val="0"/>
        <w:jc w:val="both"/>
        <w:rPr>
          <w:rFonts w:eastAsia="宋体"/>
          <w:snapToGrid w:val="0"/>
          <w:color w:val="000000"/>
          <w:sz w:val="24"/>
          <w:szCs w:val="24"/>
        </w:rPr>
      </w:pPr>
    </w:p>
    <w:p>
      <w:pPr>
        <w:snapToGrid w:val="0"/>
        <w:ind w:firstLine="480" w:firstLineChars="200"/>
        <w:jc w:val="both"/>
        <w:rPr>
          <w:rFonts w:eastAsia="宋体"/>
          <w:snapToGrid w:val="0"/>
          <w:sz w:val="24"/>
          <w:szCs w:val="24"/>
        </w:rPr>
      </w:pPr>
      <w:r>
        <w:rPr>
          <w:rFonts w:eastAsia="宋体"/>
          <w:snapToGrid w:val="0"/>
          <w:color w:val="000000"/>
          <w:sz w:val="24"/>
          <w:szCs w:val="24"/>
        </w:rPr>
        <w:t>如对本文件有任何疑问，请致电301-796-5640或发送电子邮件至</w:t>
      </w:r>
      <w:r>
        <w:rPr>
          <w:rFonts w:eastAsia="宋体"/>
          <w:snapToGrid w:val="0"/>
          <w:color w:val="0000FF"/>
          <w:sz w:val="24"/>
          <w:szCs w:val="24"/>
          <w:u w:val="single"/>
        </w:rPr>
        <w:fldChar w:fldCharType="begin"/>
      </w:r>
      <w:r>
        <w:rPr>
          <w:rFonts w:eastAsia="宋体"/>
          <w:snapToGrid w:val="0"/>
          <w:color w:val="0000FF"/>
          <w:sz w:val="24"/>
          <w:szCs w:val="24"/>
          <w:u w:val="single"/>
        </w:rPr>
        <w:instrText xml:space="preserve"> HYPERLINK "mailto:510k</w:instrText>
      </w:r>
      <w:r>
        <w:rPr>
          <w:rFonts w:hint="eastAsia" w:eastAsia="宋体"/>
          <w:snapToGrid w:val="0"/>
          <w:color w:val="0000FF"/>
          <w:sz w:val="24"/>
          <w:szCs w:val="24"/>
          <w:u w:val="single"/>
        </w:rPr>
        <w:instrText xml:space="preserve">_</w:instrText>
      </w:r>
      <w:r>
        <w:rPr>
          <w:rFonts w:eastAsia="宋体"/>
          <w:snapToGrid w:val="0"/>
          <w:color w:val="0000FF"/>
          <w:sz w:val="24"/>
          <w:szCs w:val="24"/>
          <w:u w:val="single"/>
        </w:rPr>
        <w:instrText xml:space="preserve">Program@fda.hhs.gov" </w:instrText>
      </w:r>
      <w:r>
        <w:rPr>
          <w:rFonts w:eastAsia="宋体"/>
          <w:snapToGrid w:val="0"/>
          <w:color w:val="0000FF"/>
          <w:sz w:val="24"/>
          <w:szCs w:val="24"/>
          <w:u w:val="single"/>
        </w:rPr>
        <w:fldChar w:fldCharType="separate"/>
      </w:r>
      <w:r>
        <w:rPr>
          <w:rStyle w:val="16"/>
          <w:rFonts w:eastAsia="宋体"/>
          <w:snapToGrid w:val="0"/>
          <w:color w:val="0000FF"/>
          <w:sz w:val="24"/>
          <w:szCs w:val="24"/>
        </w:rPr>
        <w:t>510k</w:t>
      </w:r>
      <w:r>
        <w:rPr>
          <w:rStyle w:val="16"/>
          <w:rFonts w:hint="eastAsia" w:eastAsia="宋体"/>
          <w:snapToGrid w:val="0"/>
          <w:color w:val="0000FF"/>
          <w:sz w:val="24"/>
          <w:szCs w:val="24"/>
        </w:rPr>
        <w:t>_</w:t>
      </w:r>
      <w:r>
        <w:rPr>
          <w:rStyle w:val="16"/>
          <w:rFonts w:eastAsia="宋体"/>
          <w:snapToGrid w:val="0"/>
          <w:color w:val="0000FF"/>
          <w:sz w:val="24"/>
          <w:szCs w:val="24"/>
        </w:rPr>
        <w:t>Program@fda.hhs.gov</w:t>
      </w:r>
      <w:r>
        <w:rPr>
          <w:rFonts w:eastAsia="宋体"/>
          <w:snapToGrid w:val="0"/>
          <w:color w:val="0000FF"/>
          <w:sz w:val="24"/>
          <w:szCs w:val="24"/>
          <w:u w:val="single"/>
        </w:rPr>
        <w:fldChar w:fldCharType="end"/>
      </w:r>
      <w:r>
        <w:rPr>
          <w:rFonts w:eastAsia="宋体"/>
          <w:snapToGrid w:val="0"/>
          <w:color w:val="000000"/>
          <w:sz w:val="24"/>
          <w:szCs w:val="24"/>
        </w:rPr>
        <w:t>，联系上市前通知（510（k））部门</w:t>
      </w:r>
      <w:r>
        <w:rPr>
          <w:rFonts w:hint="eastAsia"/>
          <w:color w:val="000000"/>
          <w:sz w:val="24"/>
          <w:u w:val="none"/>
        </w:rPr>
        <w:t>。</w:t>
      </w:r>
    </w:p>
    <w:p>
      <w:pPr>
        <w:snapToGrid w:val="0"/>
        <w:ind w:firstLine="480" w:firstLineChars="200"/>
        <w:jc w:val="both"/>
        <w:rPr>
          <w:rFonts w:eastAsia="宋体"/>
          <w:snapToGrid w:val="0"/>
          <w:color w:val="000000"/>
          <w:sz w:val="24"/>
          <w:szCs w:val="24"/>
        </w:rPr>
      </w:pPr>
    </w:p>
    <w:p>
      <w:pPr>
        <w:snapToGrid w:val="0"/>
        <w:ind w:firstLine="480" w:firstLineChars="200"/>
        <w:jc w:val="both"/>
        <w:rPr>
          <w:rFonts w:eastAsia="宋体"/>
          <w:snapToGrid w:val="0"/>
          <w:sz w:val="24"/>
          <w:szCs w:val="24"/>
        </w:rPr>
      </w:pPr>
      <w:r>
        <w:rPr>
          <w:rFonts w:eastAsia="宋体"/>
          <w:snapToGrid w:val="0"/>
          <w:color w:val="000000"/>
          <w:sz w:val="24"/>
          <w:szCs w:val="24"/>
        </w:rPr>
        <w:t>如对本文件中生物制品评价和研究中心（CBER）监管的器械有任何疑问，请致电1-800-835-4709或240-402-8010，联系</w:t>
      </w:r>
      <w:r>
        <w:rPr>
          <w:rFonts w:eastAsia="宋体"/>
          <w:snapToGrid w:val="0"/>
          <w:sz w:val="24"/>
          <w:szCs w:val="24"/>
        </w:rPr>
        <w:t>交流、外联</w:t>
      </w:r>
      <w:r>
        <w:rPr>
          <w:rFonts w:eastAsia="宋体"/>
          <w:snapToGrid w:val="0"/>
          <w:color w:val="000000"/>
          <w:sz w:val="24"/>
          <w:szCs w:val="24"/>
        </w:rPr>
        <w:t>和发展办公室（OCOD）。</w:t>
      </w:r>
    </w:p>
    <w:p>
      <w:pPr>
        <w:snapToGrid w:val="0"/>
        <w:jc w:val="both"/>
        <w:rPr>
          <w:rFonts w:eastAsia="宋体"/>
          <w:snapToGrid w:val="0"/>
          <w:sz w:val="24"/>
          <w:szCs w:val="24"/>
        </w:rPr>
      </w:pPr>
    </w:p>
    <w:p>
      <w:pPr>
        <w:snapToGrid w:val="0"/>
        <w:jc w:val="both"/>
        <w:rPr>
          <w:rFonts w:eastAsia="宋体"/>
          <w:snapToGrid w:val="0"/>
          <w:sz w:val="24"/>
          <w:szCs w:val="24"/>
        </w:rPr>
      </w:pPr>
    </w:p>
    <w:p>
      <w:pPr>
        <w:snapToGrid w:val="0"/>
        <w:jc w:val="both"/>
        <w:rPr>
          <w:rFonts w:eastAsia="宋体"/>
          <w:snapToGrid w:val="0"/>
          <w:sz w:val="24"/>
          <w:szCs w:val="24"/>
        </w:rPr>
      </w:pPr>
    </w:p>
    <w:p>
      <w:pPr>
        <w:snapToGrid w:val="0"/>
        <w:jc w:val="both"/>
        <w:rPr>
          <w:rFonts w:eastAsia="宋体"/>
          <w:snapToGrid w:val="0"/>
          <w:sz w:val="24"/>
          <w:szCs w:val="24"/>
        </w:rPr>
      </w:pPr>
    </w:p>
    <w:p>
      <w:pPr>
        <w:snapToGrid w:val="0"/>
        <w:jc w:val="both"/>
        <w:rPr>
          <w:rFonts w:eastAsia="宋体"/>
          <w:snapToGrid w:val="0"/>
          <w:sz w:val="24"/>
          <w:szCs w:val="24"/>
        </w:rPr>
      </w:pPr>
    </w:p>
    <w:p>
      <w:pPr>
        <w:snapToGrid w:val="0"/>
        <w:jc w:val="both"/>
        <w:rPr>
          <w:rFonts w:eastAsia="宋体"/>
          <w:snapToGrid w:val="0"/>
          <w:sz w:val="24"/>
          <w:szCs w:val="24"/>
        </w:rPr>
      </w:pPr>
    </w:p>
    <w:p>
      <w:pPr>
        <w:snapToGrid w:val="0"/>
        <w:jc w:val="both"/>
        <w:rPr>
          <w:rFonts w:eastAsia="宋体"/>
          <w:snapToGrid w:val="0"/>
          <w:sz w:val="24"/>
          <w:szCs w:val="24"/>
        </w:rPr>
      </w:pPr>
    </w:p>
    <w:p>
      <w:pPr>
        <w:snapToGrid w:val="0"/>
        <w:jc w:val="both"/>
        <w:rPr>
          <w:rFonts w:eastAsia="宋体"/>
          <w:snapToGrid w:val="0"/>
          <w:sz w:val="24"/>
          <w:szCs w:val="24"/>
        </w:rPr>
      </w:pPr>
    </w:p>
    <w:p>
      <w:pPr>
        <w:snapToGrid w:val="0"/>
        <w:jc w:val="both"/>
        <w:rPr>
          <w:rFonts w:eastAsia="宋体"/>
          <w:snapToGrid w:val="0"/>
          <w:sz w:val="24"/>
          <w:szCs w:val="24"/>
        </w:rPr>
      </w:pPr>
    </w:p>
    <w:p>
      <w:pPr>
        <w:snapToGrid w:val="0"/>
        <w:jc w:val="both"/>
        <w:rPr>
          <w:rFonts w:eastAsia="宋体"/>
          <w:snapToGrid w:val="0"/>
          <w:sz w:val="24"/>
          <w:szCs w:val="24"/>
        </w:rPr>
      </w:pPr>
    </w:p>
    <w:p>
      <w:pPr>
        <w:snapToGrid w:val="0"/>
        <w:jc w:val="both"/>
        <w:rPr>
          <w:rFonts w:eastAsia="宋体"/>
          <w:snapToGrid w:val="0"/>
          <w:sz w:val="24"/>
          <w:szCs w:val="24"/>
        </w:rPr>
      </w:pPr>
    </w:p>
    <w:p>
      <w:pPr>
        <w:snapToGrid w:val="0"/>
        <w:jc w:val="both"/>
        <w:rPr>
          <w:rFonts w:eastAsia="宋体"/>
          <w:snapToGrid w:val="0"/>
          <w:sz w:val="24"/>
          <w:szCs w:val="24"/>
        </w:rPr>
      </w:pPr>
    </w:p>
    <w:p>
      <w:pPr>
        <w:snapToGrid w:val="0"/>
        <w:jc w:val="both"/>
        <w:rPr>
          <w:rFonts w:eastAsia="宋体"/>
          <w:snapToGrid w:val="0"/>
          <w:sz w:val="24"/>
          <w:szCs w:val="24"/>
        </w:rPr>
      </w:pPr>
    </w:p>
    <w:p>
      <w:pPr>
        <w:snapToGrid w:val="0"/>
        <w:jc w:val="both"/>
        <w:rPr>
          <w:rFonts w:eastAsia="宋体"/>
          <w:snapToGrid w:val="0"/>
          <w:sz w:val="24"/>
          <w:szCs w:val="24"/>
        </w:rPr>
      </w:pPr>
    </w:p>
    <w:p>
      <w:pPr>
        <w:snapToGrid w:val="0"/>
        <w:jc w:val="both"/>
        <w:rPr>
          <w:rFonts w:eastAsia="宋体"/>
          <w:snapToGrid w:val="0"/>
          <w:sz w:val="24"/>
          <w:szCs w:val="24"/>
        </w:rPr>
      </w:pPr>
    </w:p>
    <w:tbl>
      <w:tblPr>
        <w:tblStyle w:val="14"/>
        <w:tblW w:w="5000" w:type="pct"/>
        <w:tblInd w:w="0" w:type="dxa"/>
        <w:tblLayout w:type="fixed"/>
        <w:tblCellMar>
          <w:top w:w="0" w:type="dxa"/>
          <w:left w:w="40" w:type="dxa"/>
          <w:bottom w:w="0" w:type="dxa"/>
          <w:right w:w="40" w:type="dxa"/>
        </w:tblCellMar>
      </w:tblPr>
      <w:tblGrid>
        <w:gridCol w:w="4162"/>
        <w:gridCol w:w="5306"/>
      </w:tblGrid>
      <w:tr>
        <w:tblPrEx>
          <w:tblCellMar>
            <w:top w:w="0" w:type="dxa"/>
            <w:left w:w="40" w:type="dxa"/>
            <w:bottom w:w="0" w:type="dxa"/>
            <w:right w:w="40" w:type="dxa"/>
          </w:tblCellMar>
        </w:tblPrEx>
        <w:tc>
          <w:tcPr>
            <w:tcW w:w="4272" w:type="dxa"/>
            <w:tcBorders>
              <w:top w:val="nil"/>
              <w:left w:val="nil"/>
              <w:bottom w:val="nil"/>
              <w:right w:val="nil"/>
            </w:tcBorders>
            <w:shd w:val="clear" w:color="auto" w:fill="FFFFFF"/>
            <w:tcMar>
              <w:left w:w="57" w:type="dxa"/>
              <w:right w:w="57" w:type="dxa"/>
            </w:tcMar>
          </w:tcPr>
          <w:p>
            <w:pPr>
              <w:snapToGrid w:val="0"/>
              <w:jc w:val="both"/>
              <w:rPr>
                <w:rFonts w:eastAsia="宋体"/>
                <w:snapToGrid w:val="0"/>
                <w:sz w:val="24"/>
                <w:szCs w:val="24"/>
              </w:rPr>
            </w:pPr>
            <w:r>
              <w:rPr>
                <w:rFonts w:eastAsia="宋体"/>
                <w:snapToGrid w:val="0"/>
                <w:sz w:val="24"/>
                <w:szCs w:val="24"/>
              </w:rPr>
              <w:pict>
                <v:shape id="_x0000_i1025" o:spt="75" type="#_x0000_t75" style="height:39pt;width:187.9pt;" filled="f" o:preferrelative="t" stroked="f" coordsize="21600,21600">
                  <v:path/>
                  <v:fill on="f" focussize="0,0"/>
                  <v:stroke on="f" joinstyle="miter"/>
                  <v:imagedata r:id="rId7" o:title=""/>
                  <o:lock v:ext="edit" aspectratio="t"/>
                  <w10:wrap type="none"/>
                  <w10:anchorlock/>
                </v:shape>
              </w:pict>
            </w:r>
          </w:p>
        </w:tc>
        <w:tc>
          <w:tcPr>
            <w:tcW w:w="5448" w:type="dxa"/>
            <w:tcBorders>
              <w:top w:val="nil"/>
              <w:left w:val="nil"/>
              <w:bottom w:val="nil"/>
              <w:right w:val="nil"/>
            </w:tcBorders>
            <w:shd w:val="clear" w:color="auto" w:fill="FFFFFF"/>
            <w:tcMar>
              <w:left w:w="57" w:type="dxa"/>
              <w:right w:w="57" w:type="dxa"/>
            </w:tcMar>
          </w:tcPr>
          <w:p>
            <w:pPr>
              <w:snapToGrid w:val="0"/>
              <w:jc w:val="right"/>
              <w:rPr>
                <w:rFonts w:eastAsia="宋体"/>
                <w:snapToGrid w:val="0"/>
                <w:sz w:val="24"/>
                <w:szCs w:val="24"/>
              </w:rPr>
            </w:pPr>
            <w:r>
              <w:rPr>
                <w:rFonts w:eastAsia="宋体"/>
                <w:b/>
                <w:bCs/>
                <w:snapToGrid w:val="0"/>
                <w:color w:val="000000"/>
                <w:sz w:val="24"/>
                <w:szCs w:val="24"/>
              </w:rPr>
              <w:t>美国卫生与公众服务部</w:t>
            </w:r>
          </w:p>
          <w:p>
            <w:pPr>
              <w:snapToGrid w:val="0"/>
              <w:jc w:val="right"/>
              <w:rPr>
                <w:rFonts w:eastAsia="宋体"/>
                <w:snapToGrid w:val="0"/>
                <w:sz w:val="24"/>
                <w:szCs w:val="24"/>
              </w:rPr>
            </w:pPr>
            <w:r>
              <w:rPr>
                <w:rFonts w:eastAsia="宋体"/>
                <w:b/>
                <w:bCs/>
                <w:snapToGrid w:val="0"/>
                <w:color w:val="000000"/>
                <w:sz w:val="24"/>
                <w:szCs w:val="24"/>
              </w:rPr>
              <w:t>美国食品药品监督管理局</w:t>
            </w:r>
          </w:p>
          <w:p>
            <w:pPr>
              <w:snapToGrid w:val="0"/>
              <w:jc w:val="right"/>
              <w:rPr>
                <w:rFonts w:eastAsia="宋体"/>
                <w:snapToGrid w:val="0"/>
                <w:sz w:val="24"/>
                <w:szCs w:val="24"/>
              </w:rPr>
            </w:pPr>
            <w:r>
              <w:rPr>
                <w:rFonts w:eastAsia="宋体"/>
                <w:b/>
                <w:bCs/>
                <w:snapToGrid w:val="0"/>
                <w:color w:val="000000"/>
                <w:sz w:val="24"/>
                <w:szCs w:val="24"/>
              </w:rPr>
              <w:t>医疗器械和放射健康中心</w:t>
            </w:r>
          </w:p>
          <w:p>
            <w:pPr>
              <w:snapToGrid w:val="0"/>
              <w:jc w:val="right"/>
              <w:rPr>
                <w:rFonts w:eastAsia="宋体"/>
                <w:snapToGrid w:val="0"/>
                <w:sz w:val="24"/>
                <w:szCs w:val="24"/>
              </w:rPr>
            </w:pPr>
            <w:r>
              <w:rPr>
                <w:rFonts w:eastAsia="宋体"/>
                <w:b/>
                <w:bCs/>
                <w:snapToGrid w:val="0"/>
                <w:color w:val="000000"/>
                <w:sz w:val="24"/>
                <w:szCs w:val="24"/>
              </w:rPr>
              <w:t>生物制品评价和研究中心</w:t>
            </w:r>
          </w:p>
        </w:tc>
      </w:tr>
    </w:tbl>
    <w:p>
      <w:pPr>
        <w:snapToGrid w:val="0"/>
        <w:jc w:val="both"/>
        <w:rPr>
          <w:rFonts w:eastAsia="宋体"/>
          <w:snapToGrid w:val="0"/>
          <w:sz w:val="21"/>
          <w:szCs w:val="21"/>
        </w:rPr>
        <w:sectPr>
          <w:headerReference r:id="rId4" w:type="default"/>
          <w:type w:val="continuous"/>
          <w:pgSz w:w="11906" w:h="16838"/>
          <w:pgMar w:top="1134" w:right="1134" w:bottom="1134" w:left="1418" w:header="567" w:footer="567" w:gutter="0"/>
          <w:cols w:space="60" w:num="1"/>
          <w:docGrid w:linePitch="272" w:charSpace="0"/>
        </w:sectPr>
      </w:pPr>
    </w:p>
    <w:p>
      <w:pPr>
        <w:pStyle w:val="19"/>
        <w:snapToGrid w:val="0"/>
        <w:jc w:val="center"/>
        <w:rPr>
          <w:rFonts w:eastAsia="宋体"/>
          <w:b/>
          <w:bCs/>
          <w:snapToGrid w:val="0"/>
          <w:sz w:val="48"/>
          <w:szCs w:val="48"/>
        </w:rPr>
      </w:pPr>
      <w:r>
        <w:rPr>
          <w:rFonts w:eastAsia="宋体"/>
          <w:b/>
          <w:bCs/>
          <w:snapToGrid w:val="0"/>
          <w:sz w:val="48"/>
          <w:szCs w:val="48"/>
        </w:rPr>
        <w:t>前言</w:t>
      </w:r>
    </w:p>
    <w:p>
      <w:pPr>
        <w:pStyle w:val="19"/>
        <w:snapToGrid w:val="0"/>
        <w:jc w:val="center"/>
        <w:rPr>
          <w:rFonts w:eastAsia="宋体"/>
          <w:snapToGrid w:val="0"/>
          <w:sz w:val="48"/>
          <w:szCs w:val="48"/>
        </w:rPr>
      </w:pPr>
    </w:p>
    <w:p>
      <w:pPr>
        <w:snapToGrid w:val="0"/>
        <w:jc w:val="both"/>
        <w:rPr>
          <w:rFonts w:eastAsia="宋体"/>
          <w:b/>
          <w:bCs/>
          <w:snapToGrid w:val="0"/>
          <w:sz w:val="36"/>
          <w:szCs w:val="36"/>
        </w:rPr>
      </w:pPr>
      <w:r>
        <w:rPr>
          <w:rFonts w:eastAsia="宋体"/>
          <w:b/>
          <w:bCs/>
          <w:snapToGrid w:val="0"/>
          <w:sz w:val="36"/>
          <w:szCs w:val="36"/>
        </w:rPr>
        <w:t>公众意见</w:t>
      </w:r>
    </w:p>
    <w:p>
      <w:pPr>
        <w:snapToGrid w:val="0"/>
        <w:jc w:val="both"/>
        <w:rPr>
          <w:rFonts w:eastAsia="宋体"/>
          <w:b/>
          <w:bCs/>
          <w:snapToGrid w:val="0"/>
          <w:sz w:val="36"/>
          <w:szCs w:val="36"/>
        </w:rPr>
      </w:pPr>
    </w:p>
    <w:p>
      <w:pPr>
        <w:snapToGrid w:val="0"/>
        <w:ind w:firstLine="480" w:firstLineChars="200"/>
        <w:jc w:val="both"/>
        <w:rPr>
          <w:rFonts w:eastAsia="宋体"/>
          <w:snapToGrid w:val="0"/>
          <w:sz w:val="24"/>
          <w:szCs w:val="24"/>
        </w:rPr>
      </w:pPr>
      <w:r>
        <w:rPr>
          <w:rFonts w:eastAsia="宋体"/>
          <w:snapToGrid w:val="0"/>
          <w:color w:val="000000"/>
          <w:sz w:val="24"/>
          <w:szCs w:val="24"/>
        </w:rPr>
        <w:t>电子版意见和建议可随时提交至</w:t>
      </w:r>
      <w:r>
        <w:rPr>
          <w:rFonts w:eastAsia="宋体"/>
          <w:snapToGrid w:val="0"/>
          <w:color w:val="0000FF"/>
          <w:sz w:val="24"/>
          <w:szCs w:val="24"/>
          <w:u w:val="single"/>
        </w:rPr>
        <w:fldChar w:fldCharType="begin"/>
      </w:r>
      <w:r>
        <w:rPr>
          <w:rFonts w:eastAsia="宋体"/>
          <w:snapToGrid w:val="0"/>
          <w:color w:val="0000FF"/>
          <w:sz w:val="24"/>
          <w:szCs w:val="24"/>
          <w:u w:val="single"/>
        </w:rPr>
        <w:instrText xml:space="preserve"> HYPERLINK "https://www.regulations.gov/" </w:instrText>
      </w:r>
      <w:r>
        <w:rPr>
          <w:rFonts w:eastAsia="宋体"/>
          <w:snapToGrid w:val="0"/>
          <w:color w:val="0000FF"/>
          <w:sz w:val="24"/>
          <w:szCs w:val="24"/>
          <w:u w:val="single"/>
        </w:rPr>
        <w:fldChar w:fldCharType="separate"/>
      </w:r>
      <w:r>
        <w:rPr>
          <w:rStyle w:val="16"/>
          <w:rFonts w:eastAsia="宋体"/>
          <w:snapToGrid w:val="0"/>
          <w:color w:val="0000FF"/>
          <w:sz w:val="24"/>
          <w:szCs w:val="24"/>
        </w:rPr>
        <w:t>https://www.regulations.gov</w:t>
      </w:r>
      <w:r>
        <w:rPr>
          <w:rFonts w:eastAsia="宋体"/>
          <w:snapToGrid w:val="0"/>
          <w:color w:val="0000FF"/>
          <w:sz w:val="24"/>
          <w:szCs w:val="24"/>
          <w:u w:val="single"/>
        </w:rPr>
        <w:fldChar w:fldCharType="end"/>
      </w:r>
      <w:r>
        <w:rPr>
          <w:rFonts w:eastAsia="宋体"/>
          <w:snapToGrid w:val="0"/>
          <w:color w:val="000000"/>
          <w:sz w:val="24"/>
          <w:szCs w:val="24"/>
        </w:rPr>
        <w:t>，供FDA审议。可将书面意见提交至：美国食品药品监督管理局备案文件管理部（5630 Fishers Lane, Room 1061, (HFA-305), Rockville, MD 20852）。所有意见均应注明备案文件编号FDA-2014-D-0900。下次修订或更新本文件前，FDA可能不会对意见采取行动。</w:t>
      </w:r>
    </w:p>
    <w:p>
      <w:pPr>
        <w:snapToGrid w:val="0"/>
        <w:jc w:val="both"/>
        <w:rPr>
          <w:rFonts w:eastAsia="宋体"/>
          <w:b/>
          <w:bCs/>
          <w:snapToGrid w:val="0"/>
          <w:color w:val="000000"/>
          <w:sz w:val="36"/>
          <w:szCs w:val="36"/>
        </w:rPr>
      </w:pPr>
    </w:p>
    <w:p>
      <w:pPr>
        <w:snapToGrid w:val="0"/>
        <w:jc w:val="both"/>
        <w:rPr>
          <w:rFonts w:eastAsia="宋体"/>
          <w:snapToGrid w:val="0"/>
          <w:sz w:val="36"/>
          <w:szCs w:val="36"/>
        </w:rPr>
      </w:pPr>
      <w:r>
        <w:rPr>
          <w:rFonts w:eastAsia="宋体"/>
          <w:b/>
          <w:bCs/>
          <w:snapToGrid w:val="0"/>
          <w:color w:val="000000"/>
          <w:sz w:val="36"/>
          <w:szCs w:val="36"/>
        </w:rPr>
        <w:t>更多副本</w:t>
      </w:r>
    </w:p>
    <w:p>
      <w:pPr>
        <w:snapToGrid w:val="0"/>
        <w:jc w:val="both"/>
        <w:rPr>
          <w:rFonts w:eastAsia="宋体"/>
          <w:b/>
          <w:bCs/>
          <w:snapToGrid w:val="0"/>
          <w:color w:val="000000"/>
          <w:sz w:val="28"/>
          <w:szCs w:val="28"/>
        </w:rPr>
      </w:pPr>
    </w:p>
    <w:p>
      <w:pPr>
        <w:snapToGrid w:val="0"/>
        <w:jc w:val="both"/>
        <w:rPr>
          <w:rFonts w:eastAsia="宋体"/>
          <w:snapToGrid w:val="0"/>
          <w:sz w:val="28"/>
          <w:szCs w:val="28"/>
        </w:rPr>
      </w:pPr>
      <w:r>
        <w:rPr>
          <w:rFonts w:eastAsia="宋体"/>
          <w:b/>
          <w:bCs/>
          <w:snapToGrid w:val="0"/>
          <w:color w:val="000000"/>
          <w:sz w:val="28"/>
          <w:szCs w:val="28"/>
        </w:rPr>
        <w:t>医疗器械和放射健康中心（CDRH）</w:t>
      </w:r>
    </w:p>
    <w:p>
      <w:pPr>
        <w:snapToGrid w:val="0"/>
        <w:ind w:firstLine="480" w:firstLineChars="200"/>
        <w:jc w:val="both"/>
        <w:rPr>
          <w:rFonts w:eastAsia="宋体"/>
          <w:snapToGrid w:val="0"/>
          <w:sz w:val="24"/>
          <w:szCs w:val="24"/>
        </w:rPr>
      </w:pPr>
      <w:r>
        <w:rPr>
          <w:rFonts w:eastAsia="宋体"/>
          <w:snapToGrid w:val="0"/>
          <w:color w:val="000000"/>
          <w:sz w:val="24"/>
          <w:szCs w:val="24"/>
        </w:rPr>
        <w:t>更多副本可通过互联网获取。您</w:t>
      </w:r>
      <w:r>
        <w:rPr>
          <w:rFonts w:eastAsia="宋体"/>
          <w:snapToGrid w:val="0"/>
          <w:color w:val="000000"/>
          <w:sz w:val="24"/>
          <w:szCs w:val="24"/>
        </w:rPr>
        <w:fldChar w:fldCharType="begin"/>
      </w:r>
      <w:r>
        <w:rPr>
          <w:rFonts w:eastAsia="宋体"/>
          <w:snapToGrid w:val="0"/>
          <w:color w:val="000000"/>
          <w:sz w:val="24"/>
          <w:szCs w:val="24"/>
        </w:rPr>
        <w:instrText xml:space="preserve"> HYPERLINK "mailto:也可以通过发送电子邮件请求至</w:instrText>
      </w:r>
      <w:r>
        <w:rPr>
          <w:rFonts w:eastAsia="宋体"/>
          <w:snapToGrid w:val="0"/>
          <w:color w:val="0000FF"/>
          <w:sz w:val="24"/>
          <w:szCs w:val="24"/>
          <w:u w:val="single"/>
        </w:rPr>
        <w:instrText xml:space="preserve">CDRH-Guidance@fda.hhs.gov</w:instrText>
      </w:r>
      <w:r>
        <w:rPr>
          <w:rFonts w:eastAsia="宋体"/>
          <w:snapToGrid w:val="0"/>
          <w:color w:val="000000"/>
          <w:sz w:val="24"/>
          <w:szCs w:val="24"/>
        </w:rPr>
        <w:instrText xml:space="preserve">" </w:instrText>
      </w:r>
      <w:r>
        <w:rPr>
          <w:rFonts w:eastAsia="宋体"/>
          <w:snapToGrid w:val="0"/>
          <w:color w:val="000000"/>
          <w:sz w:val="24"/>
          <w:szCs w:val="24"/>
        </w:rPr>
        <w:fldChar w:fldCharType="separate"/>
      </w:r>
      <w:r>
        <w:rPr>
          <w:rStyle w:val="16"/>
          <w:rFonts w:eastAsia="宋体"/>
          <w:snapToGrid w:val="0"/>
          <w:color w:val="000000"/>
          <w:sz w:val="24"/>
          <w:szCs w:val="24"/>
          <w:u w:val="none"/>
        </w:rPr>
        <w:t>也可以通过发送电子邮件请求至</w:t>
      </w:r>
      <w:r>
        <w:rPr>
          <w:rStyle w:val="16"/>
          <w:rFonts w:eastAsia="宋体"/>
          <w:snapToGrid w:val="0"/>
          <w:color w:val="0000FF"/>
          <w:sz w:val="24"/>
          <w:szCs w:val="24"/>
        </w:rPr>
        <w:t>CDRH-Guidance@fda.hhs.gov</w:t>
      </w:r>
      <w:r>
        <w:rPr>
          <w:rFonts w:eastAsia="宋体"/>
          <w:snapToGrid w:val="0"/>
          <w:color w:val="000000"/>
          <w:sz w:val="24"/>
          <w:szCs w:val="24"/>
        </w:rPr>
        <w:fldChar w:fldCharType="end"/>
      </w:r>
      <w:r>
        <w:rPr>
          <w:rFonts w:eastAsia="宋体"/>
          <w:snapToGrid w:val="0"/>
          <w:color w:val="000000"/>
          <w:sz w:val="24"/>
          <w:szCs w:val="24"/>
        </w:rPr>
        <w:t>获取本指南的副本。请在申请中提供文件编号1818。</w:t>
      </w:r>
    </w:p>
    <w:p>
      <w:pPr>
        <w:snapToGrid w:val="0"/>
        <w:jc w:val="both"/>
        <w:rPr>
          <w:rFonts w:eastAsia="宋体"/>
          <w:b/>
          <w:bCs/>
          <w:snapToGrid w:val="0"/>
          <w:color w:val="000000"/>
          <w:sz w:val="28"/>
          <w:szCs w:val="28"/>
        </w:rPr>
      </w:pPr>
    </w:p>
    <w:p>
      <w:pPr>
        <w:snapToGrid w:val="0"/>
        <w:jc w:val="both"/>
        <w:rPr>
          <w:rFonts w:eastAsia="宋体"/>
          <w:snapToGrid w:val="0"/>
          <w:sz w:val="28"/>
          <w:szCs w:val="28"/>
        </w:rPr>
      </w:pPr>
      <w:r>
        <w:rPr>
          <w:rFonts w:eastAsia="宋体"/>
          <w:b/>
          <w:bCs/>
          <w:snapToGrid w:val="0"/>
          <w:color w:val="000000"/>
          <w:sz w:val="28"/>
          <w:szCs w:val="28"/>
        </w:rPr>
        <w:t>生物制品评价和研究中心（CBER）</w:t>
      </w:r>
    </w:p>
    <w:p>
      <w:pPr>
        <w:wordWrap w:val="0"/>
        <w:snapToGrid w:val="0"/>
        <w:ind w:firstLine="480" w:firstLineChars="200"/>
        <w:jc w:val="both"/>
        <w:rPr>
          <w:rFonts w:eastAsia="宋体"/>
          <w:snapToGrid w:val="0"/>
          <w:sz w:val="24"/>
          <w:szCs w:val="24"/>
        </w:rPr>
      </w:pPr>
      <w:r>
        <w:rPr>
          <w:rFonts w:eastAsia="宋体"/>
          <w:snapToGrid w:val="0"/>
          <w:color w:val="000000"/>
          <w:sz w:val="24"/>
          <w:szCs w:val="24"/>
        </w:rPr>
        <w:t>更多副本可通过以下途径获取：寄送信函至生物制品评价和研究中心（CBER），交流、外联和发展办公室（OCOD），10903 New Hampshire Ave.，Building 71，Room 3128，Silver Spring，MD 20993；或致电1-800-835-4709或240-402-8010；或发送电子邮件至</w:t>
      </w:r>
      <w:r>
        <w:rPr>
          <w:rFonts w:eastAsia="宋体"/>
          <w:snapToGrid w:val="0"/>
          <w:color w:val="0000FF"/>
          <w:sz w:val="24"/>
          <w:szCs w:val="24"/>
          <w:u w:val="single"/>
        </w:rPr>
        <w:fldChar w:fldCharType="begin"/>
      </w:r>
      <w:r>
        <w:rPr>
          <w:rFonts w:eastAsia="宋体"/>
          <w:snapToGrid w:val="0"/>
          <w:color w:val="0000FF"/>
          <w:sz w:val="24"/>
          <w:szCs w:val="24"/>
          <w:u w:val="single"/>
        </w:rPr>
        <w:instrText xml:space="preserve"> HYPERLINK "mailto:ocod@fda.hhs.gov" </w:instrText>
      </w:r>
      <w:r>
        <w:rPr>
          <w:rFonts w:eastAsia="宋体"/>
          <w:snapToGrid w:val="0"/>
          <w:color w:val="0000FF"/>
          <w:sz w:val="24"/>
          <w:szCs w:val="24"/>
          <w:u w:val="single"/>
        </w:rPr>
        <w:fldChar w:fldCharType="separate"/>
      </w:r>
      <w:r>
        <w:rPr>
          <w:rStyle w:val="16"/>
          <w:rFonts w:eastAsia="宋体"/>
          <w:snapToGrid w:val="0"/>
          <w:color w:val="0000FF"/>
          <w:sz w:val="24"/>
          <w:szCs w:val="24"/>
        </w:rPr>
        <w:t>ocod@fda.hhs.gov</w:t>
      </w:r>
      <w:r>
        <w:rPr>
          <w:rFonts w:eastAsia="宋体"/>
          <w:snapToGrid w:val="0"/>
          <w:color w:val="0000FF"/>
          <w:sz w:val="24"/>
          <w:szCs w:val="24"/>
          <w:u w:val="single"/>
        </w:rPr>
        <w:fldChar w:fldCharType="end"/>
      </w:r>
      <w:r>
        <w:rPr>
          <w:rFonts w:hint="eastAsia" w:eastAsia="宋体"/>
          <w:snapToGrid w:val="0"/>
          <w:color w:val="000000"/>
          <w:sz w:val="24"/>
          <w:szCs w:val="24"/>
        </w:rPr>
        <w:t>，</w:t>
      </w:r>
      <w:r>
        <w:rPr>
          <w:rFonts w:eastAsia="宋体"/>
          <w:snapToGrid w:val="0"/>
          <w:color w:val="000000"/>
          <w:sz w:val="24"/>
          <w:szCs w:val="24"/>
        </w:rPr>
        <w:t>或登录网址：</w:t>
      </w:r>
      <w:r>
        <w:rPr>
          <w:rFonts w:eastAsia="宋体"/>
          <w:snapToGrid w:val="0"/>
          <w:color w:val="0000FF"/>
          <w:sz w:val="24"/>
          <w:szCs w:val="24"/>
          <w:u w:val="single"/>
        </w:rPr>
        <w:fldChar w:fldCharType="begin"/>
      </w:r>
      <w:r>
        <w:rPr>
          <w:rFonts w:eastAsia="宋体"/>
          <w:snapToGrid w:val="0"/>
          <w:color w:val="0000FF"/>
          <w:sz w:val="24"/>
          <w:szCs w:val="24"/>
          <w:u w:val="single"/>
        </w:rPr>
        <w:instrText xml:space="preserve"> HYPERLINK "https://www.fda.gov/BiologicsBloodVaccines/GuidanceComplianceRegulatoryInformation/Guidances/default.htm" </w:instrText>
      </w:r>
      <w:r>
        <w:rPr>
          <w:rFonts w:eastAsia="宋体"/>
          <w:snapToGrid w:val="0"/>
          <w:color w:val="0000FF"/>
          <w:sz w:val="24"/>
          <w:szCs w:val="24"/>
          <w:u w:val="single"/>
        </w:rPr>
        <w:fldChar w:fldCharType="separate"/>
      </w:r>
      <w:r>
        <w:rPr>
          <w:rStyle w:val="16"/>
          <w:rFonts w:eastAsia="宋体"/>
          <w:snapToGrid w:val="0"/>
          <w:color w:val="0000FF"/>
          <w:sz w:val="24"/>
          <w:szCs w:val="24"/>
        </w:rPr>
        <w:t>https://www.fda.gov/BiologicsBloodVaccines/GuidanceComplianceRegulatoryInformation/Guidances/default.htm</w:t>
      </w:r>
      <w:r>
        <w:rPr>
          <w:rFonts w:eastAsia="宋体"/>
          <w:snapToGrid w:val="0"/>
          <w:color w:val="0000FF"/>
          <w:sz w:val="24"/>
          <w:szCs w:val="24"/>
          <w:u w:val="single"/>
        </w:rPr>
        <w:fldChar w:fldCharType="end"/>
      </w:r>
      <w:r>
        <w:rPr>
          <w:rFonts w:hint="eastAsia"/>
          <w:color w:val="000000"/>
          <w:sz w:val="24"/>
          <w:u w:val="none"/>
        </w:rPr>
        <w:t>。</w:t>
      </w:r>
    </w:p>
    <w:p>
      <w:pPr>
        <w:snapToGrid w:val="0"/>
        <w:jc w:val="both"/>
        <w:rPr>
          <w:rFonts w:eastAsia="宋体"/>
          <w:snapToGrid w:val="0"/>
          <w:sz w:val="21"/>
          <w:szCs w:val="21"/>
        </w:rPr>
      </w:pPr>
    </w:p>
    <w:p>
      <w:pPr>
        <w:snapToGrid w:val="0"/>
        <w:jc w:val="both"/>
        <w:rPr>
          <w:rFonts w:eastAsia="宋体"/>
          <w:snapToGrid w:val="0"/>
          <w:sz w:val="21"/>
          <w:szCs w:val="21"/>
        </w:rPr>
        <w:sectPr>
          <w:pgSz w:w="11906" w:h="16838"/>
          <w:pgMar w:top="1134" w:right="1134" w:bottom="1134" w:left="1418" w:header="567" w:footer="567" w:gutter="0"/>
          <w:cols w:space="60" w:num="1"/>
          <w:docGrid w:linePitch="272" w:charSpace="0"/>
        </w:sectPr>
      </w:pPr>
    </w:p>
    <w:p>
      <w:pPr>
        <w:snapToGrid w:val="0"/>
        <w:jc w:val="center"/>
        <w:rPr>
          <w:rFonts w:eastAsia="宋体"/>
          <w:b/>
          <w:bCs/>
          <w:snapToGrid w:val="0"/>
          <w:sz w:val="36"/>
          <w:szCs w:val="36"/>
        </w:rPr>
      </w:pPr>
      <w:r>
        <w:rPr>
          <w:rFonts w:eastAsia="宋体"/>
          <w:b/>
          <w:bCs/>
          <w:snapToGrid w:val="0"/>
          <w:sz w:val="36"/>
          <w:szCs w:val="36"/>
        </w:rPr>
        <w:t>目录</w:t>
      </w:r>
    </w:p>
    <w:p>
      <w:pPr>
        <w:snapToGrid w:val="0"/>
        <w:jc w:val="both"/>
        <w:rPr>
          <w:rFonts w:eastAsia="宋体"/>
          <w:snapToGrid w:val="0"/>
          <w:sz w:val="21"/>
          <w:szCs w:val="21"/>
        </w:rPr>
      </w:pPr>
    </w:p>
    <w:p>
      <w:pPr>
        <w:snapToGrid w:val="0"/>
        <w:jc w:val="both"/>
        <w:rPr>
          <w:rFonts w:eastAsia="宋体"/>
          <w:snapToGrid w:val="0"/>
          <w:sz w:val="21"/>
          <w:szCs w:val="21"/>
        </w:rPr>
      </w:pPr>
    </w:p>
    <w:p>
      <w:pPr>
        <w:pStyle w:val="10"/>
        <w:tabs>
          <w:tab w:val="left" w:pos="630"/>
          <w:tab w:val="right" w:leader="dot" w:pos="9365"/>
          <w:tab w:val="clear" w:pos="9062"/>
        </w:tabs>
        <w:rPr>
          <w:rFonts w:ascii="等线" w:hAnsi="等线" w:eastAsia="等线"/>
          <w:kern w:val="2"/>
          <w:sz w:val="21"/>
          <w:szCs w:val="22"/>
        </w:rPr>
      </w:pPr>
      <w:r>
        <w:rPr>
          <w:b/>
          <w:bCs/>
          <w:snapToGrid w:val="0"/>
          <w:sz w:val="21"/>
          <w:szCs w:val="21"/>
        </w:rPr>
        <w:fldChar w:fldCharType="begin"/>
      </w:r>
      <w:r>
        <w:rPr>
          <w:b/>
          <w:bCs/>
          <w:snapToGrid w:val="0"/>
          <w:sz w:val="21"/>
          <w:szCs w:val="21"/>
        </w:rPr>
        <w:instrText xml:space="preserve"> TOC \o "1-3" \h \z \u </w:instrText>
      </w:r>
      <w:r>
        <w:rPr>
          <w:b/>
          <w:bCs/>
          <w:snapToGrid w:val="0"/>
          <w:sz w:val="21"/>
          <w:szCs w:val="21"/>
        </w:rPr>
        <w:fldChar w:fldCharType="separate"/>
      </w:r>
      <w:r>
        <w:rPr>
          <w:rStyle w:val="16"/>
        </w:rPr>
        <w:fldChar w:fldCharType="begin"/>
      </w:r>
      <w:r>
        <w:rPr>
          <w:rStyle w:val="16"/>
        </w:rPr>
        <w:instrText xml:space="preserve"> </w:instrText>
      </w:r>
      <w:r>
        <w:instrText xml:space="preserve">HYPERLINK \l "_Toc98779738"</w:instrText>
      </w:r>
      <w:r>
        <w:rPr>
          <w:rStyle w:val="16"/>
        </w:rPr>
        <w:instrText xml:space="preserve"> </w:instrText>
      </w:r>
      <w:r>
        <w:rPr>
          <w:rStyle w:val="16"/>
        </w:rPr>
        <w:fldChar w:fldCharType="separate"/>
      </w:r>
      <w:r>
        <w:rPr>
          <w:rStyle w:val="16"/>
          <w:snapToGrid w:val="0"/>
        </w:rPr>
        <w:t>I.</w:t>
      </w:r>
      <w:r>
        <w:rPr>
          <w:rFonts w:ascii="等线" w:hAnsi="等线" w:eastAsia="等线"/>
          <w:kern w:val="2"/>
          <w:sz w:val="21"/>
          <w:szCs w:val="22"/>
        </w:rPr>
        <w:tab/>
      </w:r>
      <w:r>
        <w:rPr>
          <w:rStyle w:val="16"/>
          <w:rFonts w:hint="eastAsia"/>
          <w:snapToGrid w:val="0"/>
        </w:rPr>
        <w:t>前言</w:t>
      </w:r>
      <w:r>
        <w:tab/>
      </w:r>
      <w:r>
        <w:fldChar w:fldCharType="begin"/>
      </w:r>
      <w:r>
        <w:instrText xml:space="preserve"> PAGEREF _Toc98779738 \h </w:instrText>
      </w:r>
      <w:r>
        <w:fldChar w:fldCharType="separate"/>
      </w:r>
      <w:r>
        <w:t>4</w:t>
      </w:r>
      <w:r>
        <w:fldChar w:fldCharType="end"/>
      </w:r>
      <w:r>
        <w:rPr>
          <w:rStyle w:val="16"/>
        </w:rPr>
        <w:fldChar w:fldCharType="end"/>
      </w:r>
    </w:p>
    <w:p>
      <w:pPr>
        <w:pStyle w:val="10"/>
        <w:tabs>
          <w:tab w:val="left" w:pos="630"/>
          <w:tab w:val="right" w:leader="dot" w:pos="9365"/>
          <w:tab w:val="clear" w:pos="9062"/>
        </w:tabs>
        <w:rPr>
          <w:rFonts w:ascii="等线" w:hAnsi="等线" w:eastAsia="等线"/>
          <w:kern w:val="2"/>
          <w:sz w:val="21"/>
          <w:szCs w:val="22"/>
        </w:rPr>
      </w:pPr>
      <w:r>
        <w:rPr>
          <w:rStyle w:val="16"/>
        </w:rPr>
        <w:fldChar w:fldCharType="begin"/>
      </w:r>
      <w:r>
        <w:rPr>
          <w:rStyle w:val="16"/>
        </w:rPr>
        <w:instrText xml:space="preserve"> </w:instrText>
      </w:r>
      <w:r>
        <w:instrText xml:space="preserve">HYPERLINK \l "_Toc98779739"</w:instrText>
      </w:r>
      <w:r>
        <w:rPr>
          <w:rStyle w:val="16"/>
        </w:rPr>
        <w:instrText xml:space="preserve"> </w:instrText>
      </w:r>
      <w:r>
        <w:rPr>
          <w:rStyle w:val="16"/>
        </w:rPr>
        <w:fldChar w:fldCharType="separate"/>
      </w:r>
      <w:r>
        <w:rPr>
          <w:rStyle w:val="16"/>
          <w:snapToGrid w:val="0"/>
        </w:rPr>
        <w:t>II.</w:t>
      </w:r>
      <w:r>
        <w:rPr>
          <w:rFonts w:ascii="等线" w:hAnsi="等线" w:eastAsia="等线"/>
          <w:kern w:val="2"/>
          <w:sz w:val="21"/>
          <w:szCs w:val="22"/>
        </w:rPr>
        <w:tab/>
      </w:r>
      <w:r>
        <w:rPr>
          <w:rStyle w:val="16"/>
          <w:rFonts w:hint="eastAsia"/>
          <w:snapToGrid w:val="0"/>
        </w:rPr>
        <w:t>背景</w:t>
      </w:r>
      <w:r>
        <w:tab/>
      </w:r>
      <w:r>
        <w:fldChar w:fldCharType="begin"/>
      </w:r>
      <w:r>
        <w:instrText xml:space="preserve"> PAGEREF _Toc98779739 \h </w:instrText>
      </w:r>
      <w:r>
        <w:fldChar w:fldCharType="separate"/>
      </w:r>
      <w:r>
        <w:t>5</w:t>
      </w:r>
      <w:r>
        <w:fldChar w:fldCharType="end"/>
      </w:r>
      <w:r>
        <w:rPr>
          <w:rStyle w:val="16"/>
        </w:rPr>
        <w:fldChar w:fldCharType="end"/>
      </w:r>
    </w:p>
    <w:p>
      <w:pPr>
        <w:pStyle w:val="12"/>
        <w:tabs>
          <w:tab w:val="right" w:leader="dot" w:pos="9365"/>
          <w:tab w:val="clear" w:pos="9062"/>
        </w:tabs>
        <w:spacing w:after="120"/>
        <w:ind w:left="300"/>
        <w:rPr>
          <w:rFonts w:ascii="等线" w:hAnsi="等线" w:eastAsia="等线"/>
          <w:kern w:val="2"/>
          <w:sz w:val="21"/>
          <w:szCs w:val="22"/>
        </w:rPr>
      </w:pPr>
      <w:r>
        <w:rPr>
          <w:rStyle w:val="16"/>
        </w:rPr>
        <w:fldChar w:fldCharType="begin"/>
      </w:r>
      <w:r>
        <w:rPr>
          <w:rStyle w:val="16"/>
        </w:rPr>
        <w:instrText xml:space="preserve"> </w:instrText>
      </w:r>
      <w:r>
        <w:instrText xml:space="preserve">HYPERLINK \l "_Toc98779740"</w:instrText>
      </w:r>
      <w:r>
        <w:rPr>
          <w:rStyle w:val="16"/>
        </w:rPr>
        <w:instrText xml:space="preserve"> </w:instrText>
      </w:r>
      <w:r>
        <w:rPr>
          <w:rStyle w:val="16"/>
        </w:rPr>
        <w:fldChar w:fldCharType="separate"/>
      </w:r>
      <w:r>
        <w:rPr>
          <w:rStyle w:val="16"/>
          <w:snapToGrid w:val="0"/>
        </w:rPr>
        <w:t>A.</w:t>
      </w:r>
      <w:r>
        <w:rPr>
          <w:rFonts w:ascii="等线" w:hAnsi="等线" w:eastAsia="等线"/>
          <w:kern w:val="2"/>
          <w:sz w:val="21"/>
          <w:szCs w:val="22"/>
        </w:rPr>
        <w:tab/>
      </w:r>
      <w:r>
        <w:rPr>
          <w:rStyle w:val="16"/>
          <w:rFonts w:hint="eastAsia"/>
          <w:snapToGrid w:val="0"/>
        </w:rPr>
        <w:t>实质等同性的法定标准</w:t>
      </w:r>
      <w:r>
        <w:tab/>
      </w:r>
      <w:r>
        <w:fldChar w:fldCharType="begin"/>
      </w:r>
      <w:r>
        <w:instrText xml:space="preserve"> PAGEREF _Toc98779740 \h </w:instrText>
      </w:r>
      <w:r>
        <w:fldChar w:fldCharType="separate"/>
      </w:r>
      <w:r>
        <w:t>5</w:t>
      </w:r>
      <w:r>
        <w:fldChar w:fldCharType="end"/>
      </w:r>
      <w:r>
        <w:rPr>
          <w:rStyle w:val="16"/>
        </w:rPr>
        <w:fldChar w:fldCharType="end"/>
      </w:r>
    </w:p>
    <w:p>
      <w:pPr>
        <w:pStyle w:val="12"/>
        <w:tabs>
          <w:tab w:val="right" w:leader="dot" w:pos="9365"/>
          <w:tab w:val="clear" w:pos="9062"/>
        </w:tabs>
        <w:spacing w:after="120"/>
        <w:ind w:left="300"/>
        <w:rPr>
          <w:rFonts w:ascii="等线" w:hAnsi="等线" w:eastAsia="等线"/>
          <w:kern w:val="2"/>
          <w:sz w:val="21"/>
          <w:szCs w:val="22"/>
        </w:rPr>
      </w:pPr>
      <w:r>
        <w:rPr>
          <w:rStyle w:val="16"/>
        </w:rPr>
        <w:fldChar w:fldCharType="begin"/>
      </w:r>
      <w:r>
        <w:rPr>
          <w:rStyle w:val="16"/>
        </w:rPr>
        <w:instrText xml:space="preserve"> </w:instrText>
      </w:r>
      <w:r>
        <w:instrText xml:space="preserve">HYPERLINK \l "_Toc98779741"</w:instrText>
      </w:r>
      <w:r>
        <w:rPr>
          <w:rStyle w:val="16"/>
        </w:rPr>
        <w:instrText xml:space="preserve"> </w:instrText>
      </w:r>
      <w:r>
        <w:rPr>
          <w:rStyle w:val="16"/>
        </w:rPr>
        <w:fldChar w:fldCharType="separate"/>
      </w:r>
      <w:r>
        <w:rPr>
          <w:rStyle w:val="16"/>
          <w:snapToGrid w:val="0"/>
        </w:rPr>
        <w:t>B.</w:t>
      </w:r>
      <w:r>
        <w:rPr>
          <w:rFonts w:ascii="等线" w:hAnsi="等线" w:eastAsia="等线"/>
          <w:kern w:val="2"/>
          <w:sz w:val="21"/>
          <w:szCs w:val="22"/>
        </w:rPr>
        <w:tab/>
      </w:r>
      <w:r>
        <w:rPr>
          <w:rStyle w:val="16"/>
          <w:rFonts w:hint="eastAsia"/>
          <w:snapToGrid w:val="0"/>
        </w:rPr>
        <w:t>性能数据</w:t>
      </w:r>
      <w:r>
        <w:tab/>
      </w:r>
      <w:r>
        <w:fldChar w:fldCharType="begin"/>
      </w:r>
      <w:r>
        <w:instrText xml:space="preserve"> PAGEREF _Toc98779741 \h </w:instrText>
      </w:r>
      <w:r>
        <w:fldChar w:fldCharType="separate"/>
      </w:r>
      <w:r>
        <w:t>7</w:t>
      </w:r>
      <w:r>
        <w:fldChar w:fldCharType="end"/>
      </w:r>
      <w:r>
        <w:rPr>
          <w:rStyle w:val="16"/>
        </w:rPr>
        <w:fldChar w:fldCharType="end"/>
      </w:r>
    </w:p>
    <w:p>
      <w:pPr>
        <w:pStyle w:val="10"/>
        <w:tabs>
          <w:tab w:val="left" w:pos="630"/>
          <w:tab w:val="right" w:leader="dot" w:pos="9365"/>
          <w:tab w:val="clear" w:pos="9062"/>
        </w:tabs>
        <w:rPr>
          <w:rFonts w:ascii="等线" w:hAnsi="等线" w:eastAsia="等线"/>
          <w:kern w:val="2"/>
          <w:sz w:val="21"/>
          <w:szCs w:val="22"/>
        </w:rPr>
      </w:pPr>
      <w:r>
        <w:rPr>
          <w:rStyle w:val="16"/>
        </w:rPr>
        <w:fldChar w:fldCharType="begin"/>
      </w:r>
      <w:r>
        <w:rPr>
          <w:rStyle w:val="16"/>
        </w:rPr>
        <w:instrText xml:space="preserve"> </w:instrText>
      </w:r>
      <w:r>
        <w:instrText xml:space="preserve">HYPERLINK \l "_Toc98779742"</w:instrText>
      </w:r>
      <w:r>
        <w:rPr>
          <w:rStyle w:val="16"/>
        </w:rPr>
        <w:instrText xml:space="preserve"> </w:instrText>
      </w:r>
      <w:r>
        <w:rPr>
          <w:rStyle w:val="16"/>
        </w:rPr>
        <w:fldChar w:fldCharType="separate"/>
      </w:r>
      <w:r>
        <w:rPr>
          <w:rStyle w:val="16"/>
          <w:snapToGrid w:val="0"/>
        </w:rPr>
        <w:t>III.</w:t>
      </w:r>
      <w:r>
        <w:rPr>
          <w:rFonts w:ascii="等线" w:hAnsi="等线" w:eastAsia="等线"/>
          <w:kern w:val="2"/>
          <w:sz w:val="21"/>
          <w:szCs w:val="22"/>
        </w:rPr>
        <w:tab/>
      </w:r>
      <w:r>
        <w:rPr>
          <w:rStyle w:val="16"/>
          <w:rFonts w:hint="eastAsia"/>
          <w:snapToGrid w:val="0"/>
        </w:rPr>
        <w:t>范围</w:t>
      </w:r>
      <w:r>
        <w:tab/>
      </w:r>
      <w:r>
        <w:fldChar w:fldCharType="begin"/>
      </w:r>
      <w:r>
        <w:instrText xml:space="preserve"> PAGEREF _Toc98779742 \h </w:instrText>
      </w:r>
      <w:r>
        <w:fldChar w:fldCharType="separate"/>
      </w:r>
      <w:r>
        <w:t>8</w:t>
      </w:r>
      <w:r>
        <w:fldChar w:fldCharType="end"/>
      </w:r>
      <w:r>
        <w:rPr>
          <w:rStyle w:val="16"/>
        </w:rPr>
        <w:fldChar w:fldCharType="end"/>
      </w:r>
    </w:p>
    <w:p>
      <w:pPr>
        <w:pStyle w:val="10"/>
        <w:tabs>
          <w:tab w:val="left" w:pos="630"/>
          <w:tab w:val="right" w:leader="dot" w:pos="9365"/>
          <w:tab w:val="clear" w:pos="9062"/>
        </w:tabs>
        <w:rPr>
          <w:rFonts w:ascii="等线" w:hAnsi="等线" w:eastAsia="等线"/>
          <w:kern w:val="2"/>
          <w:sz w:val="21"/>
          <w:szCs w:val="22"/>
        </w:rPr>
      </w:pPr>
      <w:r>
        <w:rPr>
          <w:rStyle w:val="16"/>
        </w:rPr>
        <w:fldChar w:fldCharType="begin"/>
      </w:r>
      <w:r>
        <w:rPr>
          <w:rStyle w:val="16"/>
        </w:rPr>
        <w:instrText xml:space="preserve"> </w:instrText>
      </w:r>
      <w:r>
        <w:instrText xml:space="preserve">HYPERLINK \l "_Toc98779743"</w:instrText>
      </w:r>
      <w:r>
        <w:rPr>
          <w:rStyle w:val="16"/>
        </w:rPr>
        <w:instrText xml:space="preserve"> </w:instrText>
      </w:r>
      <w:r>
        <w:rPr>
          <w:rStyle w:val="16"/>
        </w:rPr>
        <w:fldChar w:fldCharType="separate"/>
      </w:r>
      <w:r>
        <w:rPr>
          <w:rStyle w:val="16"/>
          <w:snapToGrid w:val="0"/>
        </w:rPr>
        <w:t>IV.</w:t>
      </w:r>
      <w:r>
        <w:rPr>
          <w:rFonts w:ascii="等线" w:hAnsi="等线" w:eastAsia="等线"/>
          <w:kern w:val="2"/>
          <w:sz w:val="21"/>
          <w:szCs w:val="22"/>
        </w:rPr>
        <w:tab/>
      </w:r>
      <w:r>
        <w:rPr>
          <w:rStyle w:val="16"/>
          <w:rFonts w:hint="eastAsia"/>
          <w:snapToGrid w:val="0"/>
        </w:rPr>
        <w:t>获益和风险因素</w:t>
      </w:r>
      <w:r>
        <w:tab/>
      </w:r>
      <w:r>
        <w:fldChar w:fldCharType="begin"/>
      </w:r>
      <w:r>
        <w:instrText xml:space="preserve"> PAGEREF _Toc98779743 \h </w:instrText>
      </w:r>
      <w:r>
        <w:fldChar w:fldCharType="separate"/>
      </w:r>
      <w:r>
        <w:t>10</w:t>
      </w:r>
      <w:r>
        <w:fldChar w:fldCharType="end"/>
      </w:r>
      <w:r>
        <w:rPr>
          <w:rStyle w:val="16"/>
        </w:rPr>
        <w:fldChar w:fldCharType="end"/>
      </w:r>
    </w:p>
    <w:p>
      <w:pPr>
        <w:pStyle w:val="12"/>
        <w:tabs>
          <w:tab w:val="right" w:leader="dot" w:pos="9365"/>
          <w:tab w:val="clear" w:pos="9062"/>
        </w:tabs>
        <w:spacing w:after="120"/>
        <w:ind w:left="300"/>
        <w:rPr>
          <w:rFonts w:ascii="等线" w:hAnsi="等线" w:eastAsia="等线"/>
          <w:kern w:val="2"/>
          <w:sz w:val="21"/>
          <w:szCs w:val="22"/>
        </w:rPr>
      </w:pPr>
      <w:r>
        <w:rPr>
          <w:rStyle w:val="16"/>
        </w:rPr>
        <w:fldChar w:fldCharType="begin"/>
      </w:r>
      <w:r>
        <w:rPr>
          <w:rStyle w:val="16"/>
        </w:rPr>
        <w:instrText xml:space="preserve"> </w:instrText>
      </w:r>
      <w:r>
        <w:instrText xml:space="preserve">HYPERLINK \l "_Toc98779744"</w:instrText>
      </w:r>
      <w:r>
        <w:rPr>
          <w:rStyle w:val="16"/>
        </w:rPr>
        <w:instrText xml:space="preserve"> </w:instrText>
      </w:r>
      <w:r>
        <w:rPr>
          <w:rStyle w:val="16"/>
        </w:rPr>
        <w:fldChar w:fldCharType="separate"/>
      </w:r>
      <w:r>
        <w:rPr>
          <w:rStyle w:val="16"/>
          <w:snapToGrid w:val="0"/>
        </w:rPr>
        <w:t>A.</w:t>
      </w:r>
      <w:r>
        <w:rPr>
          <w:rFonts w:ascii="等线" w:hAnsi="等线" w:eastAsia="等线"/>
          <w:kern w:val="2"/>
          <w:sz w:val="21"/>
          <w:szCs w:val="22"/>
        </w:rPr>
        <w:tab/>
      </w:r>
      <w:r>
        <w:rPr>
          <w:rStyle w:val="16"/>
          <w:rFonts w:hint="eastAsia"/>
          <w:snapToGrid w:val="0"/>
        </w:rPr>
        <w:t>器械的获益评估</w:t>
      </w:r>
      <w:r>
        <w:tab/>
      </w:r>
      <w:r>
        <w:fldChar w:fldCharType="begin"/>
      </w:r>
      <w:r>
        <w:instrText xml:space="preserve"> PAGEREF _Toc98779744 \h </w:instrText>
      </w:r>
      <w:r>
        <w:fldChar w:fldCharType="separate"/>
      </w:r>
      <w:r>
        <w:t>12</w:t>
      </w:r>
      <w:r>
        <w:fldChar w:fldCharType="end"/>
      </w:r>
      <w:r>
        <w:rPr>
          <w:rStyle w:val="16"/>
        </w:rPr>
        <w:fldChar w:fldCharType="end"/>
      </w:r>
    </w:p>
    <w:p>
      <w:pPr>
        <w:pStyle w:val="6"/>
        <w:tabs>
          <w:tab w:val="left" w:pos="1470"/>
          <w:tab w:val="right" w:leader="dot" w:pos="9365"/>
          <w:tab w:val="clear" w:pos="9062"/>
        </w:tabs>
        <w:spacing w:after="120"/>
        <w:ind w:left="600"/>
        <w:rPr>
          <w:rFonts w:ascii="等线" w:hAnsi="等线" w:eastAsia="等线"/>
          <w:kern w:val="2"/>
          <w:sz w:val="21"/>
          <w:szCs w:val="22"/>
        </w:rPr>
      </w:pPr>
      <w:r>
        <w:rPr>
          <w:rStyle w:val="16"/>
        </w:rPr>
        <w:fldChar w:fldCharType="begin"/>
      </w:r>
      <w:r>
        <w:rPr>
          <w:rStyle w:val="16"/>
        </w:rPr>
        <w:instrText xml:space="preserve"> </w:instrText>
      </w:r>
      <w:r>
        <w:instrText xml:space="preserve">HYPERLINK \l "_Toc98779745"</w:instrText>
      </w:r>
      <w:r>
        <w:rPr>
          <w:rStyle w:val="16"/>
        </w:rPr>
        <w:instrText xml:space="preserve"> </w:instrText>
      </w:r>
      <w:r>
        <w:rPr>
          <w:rStyle w:val="16"/>
        </w:rPr>
        <w:fldChar w:fldCharType="separate"/>
      </w:r>
      <w:r>
        <w:rPr>
          <w:rStyle w:val="16"/>
          <w:rFonts w:hint="eastAsia"/>
          <w:snapToGrid w:val="0"/>
        </w:rPr>
        <w:t>（</w:t>
      </w:r>
      <w:r>
        <w:rPr>
          <w:rStyle w:val="16"/>
          <w:snapToGrid w:val="0"/>
        </w:rPr>
        <w:t>1</w:t>
      </w:r>
      <w:r>
        <w:rPr>
          <w:rStyle w:val="16"/>
          <w:rFonts w:hint="eastAsia"/>
          <w:snapToGrid w:val="0"/>
        </w:rPr>
        <w:t>）</w:t>
      </w:r>
      <w:r>
        <w:rPr>
          <w:rFonts w:ascii="等线" w:hAnsi="等线" w:eastAsia="等线"/>
          <w:kern w:val="2"/>
          <w:sz w:val="21"/>
          <w:szCs w:val="22"/>
        </w:rPr>
        <w:tab/>
      </w:r>
      <w:r>
        <w:rPr>
          <w:rStyle w:val="16"/>
          <w:rFonts w:hint="eastAsia"/>
          <w:snapToGrid w:val="0"/>
        </w:rPr>
        <w:t>获益程度</w:t>
      </w:r>
      <w:r>
        <w:tab/>
      </w:r>
      <w:r>
        <w:fldChar w:fldCharType="begin"/>
      </w:r>
      <w:r>
        <w:instrText xml:space="preserve"> PAGEREF _Toc98779745 \h </w:instrText>
      </w:r>
      <w:r>
        <w:fldChar w:fldCharType="separate"/>
      </w:r>
      <w:r>
        <w:t>13</w:t>
      </w:r>
      <w:r>
        <w:fldChar w:fldCharType="end"/>
      </w:r>
      <w:r>
        <w:rPr>
          <w:rStyle w:val="16"/>
        </w:rPr>
        <w:fldChar w:fldCharType="end"/>
      </w:r>
    </w:p>
    <w:p>
      <w:pPr>
        <w:pStyle w:val="6"/>
        <w:tabs>
          <w:tab w:val="left" w:pos="1470"/>
          <w:tab w:val="right" w:leader="dot" w:pos="9365"/>
          <w:tab w:val="clear" w:pos="9062"/>
        </w:tabs>
        <w:spacing w:after="120"/>
        <w:ind w:left="600"/>
        <w:rPr>
          <w:rFonts w:ascii="等线" w:hAnsi="等线" w:eastAsia="等线"/>
          <w:kern w:val="2"/>
          <w:sz w:val="21"/>
          <w:szCs w:val="22"/>
        </w:rPr>
      </w:pPr>
      <w:r>
        <w:rPr>
          <w:rStyle w:val="16"/>
        </w:rPr>
        <w:fldChar w:fldCharType="begin"/>
      </w:r>
      <w:r>
        <w:rPr>
          <w:rStyle w:val="16"/>
        </w:rPr>
        <w:instrText xml:space="preserve"> </w:instrText>
      </w:r>
      <w:r>
        <w:instrText xml:space="preserve">HYPERLINK \l "_Toc98779746"</w:instrText>
      </w:r>
      <w:r>
        <w:rPr>
          <w:rStyle w:val="16"/>
        </w:rPr>
        <w:instrText xml:space="preserve"> </w:instrText>
      </w:r>
      <w:r>
        <w:rPr>
          <w:rStyle w:val="16"/>
        </w:rPr>
        <w:fldChar w:fldCharType="separate"/>
      </w:r>
      <w:r>
        <w:rPr>
          <w:rStyle w:val="16"/>
          <w:rFonts w:hint="eastAsia"/>
          <w:snapToGrid w:val="0"/>
        </w:rPr>
        <w:t>（</w:t>
      </w:r>
      <w:r>
        <w:rPr>
          <w:rStyle w:val="16"/>
          <w:snapToGrid w:val="0"/>
        </w:rPr>
        <w:t>2</w:t>
      </w:r>
      <w:r>
        <w:rPr>
          <w:rStyle w:val="16"/>
          <w:rFonts w:hint="eastAsia"/>
          <w:snapToGrid w:val="0"/>
        </w:rPr>
        <w:t>）</w:t>
      </w:r>
      <w:r>
        <w:rPr>
          <w:rFonts w:ascii="等线" w:hAnsi="等线" w:eastAsia="等线"/>
          <w:kern w:val="2"/>
          <w:sz w:val="21"/>
          <w:szCs w:val="22"/>
        </w:rPr>
        <w:tab/>
      </w:r>
      <w:r>
        <w:rPr>
          <w:rStyle w:val="16"/>
          <w:rFonts w:hint="eastAsia"/>
          <w:snapToGrid w:val="0"/>
        </w:rPr>
        <w:t>患者体验到一种或多种获益的概率</w:t>
      </w:r>
      <w:r>
        <w:tab/>
      </w:r>
      <w:r>
        <w:fldChar w:fldCharType="begin"/>
      </w:r>
      <w:r>
        <w:instrText xml:space="preserve"> PAGEREF _Toc98779746 \h </w:instrText>
      </w:r>
      <w:r>
        <w:fldChar w:fldCharType="separate"/>
      </w:r>
      <w:r>
        <w:t>13</w:t>
      </w:r>
      <w:r>
        <w:fldChar w:fldCharType="end"/>
      </w:r>
      <w:r>
        <w:rPr>
          <w:rStyle w:val="16"/>
        </w:rPr>
        <w:fldChar w:fldCharType="end"/>
      </w:r>
    </w:p>
    <w:p>
      <w:pPr>
        <w:pStyle w:val="6"/>
        <w:tabs>
          <w:tab w:val="left" w:pos="1470"/>
          <w:tab w:val="right" w:leader="dot" w:pos="9365"/>
          <w:tab w:val="clear" w:pos="9062"/>
        </w:tabs>
        <w:spacing w:after="120"/>
        <w:ind w:left="600"/>
        <w:rPr>
          <w:rFonts w:ascii="等线" w:hAnsi="等线" w:eastAsia="等线"/>
          <w:kern w:val="2"/>
          <w:sz w:val="21"/>
          <w:szCs w:val="22"/>
        </w:rPr>
      </w:pPr>
      <w:r>
        <w:rPr>
          <w:rStyle w:val="16"/>
        </w:rPr>
        <w:fldChar w:fldCharType="begin"/>
      </w:r>
      <w:r>
        <w:rPr>
          <w:rStyle w:val="16"/>
        </w:rPr>
        <w:instrText xml:space="preserve"> </w:instrText>
      </w:r>
      <w:r>
        <w:instrText xml:space="preserve">HYPERLINK \l "_Toc98779747"</w:instrText>
      </w:r>
      <w:r>
        <w:rPr>
          <w:rStyle w:val="16"/>
        </w:rPr>
        <w:instrText xml:space="preserve"> </w:instrText>
      </w:r>
      <w:r>
        <w:rPr>
          <w:rStyle w:val="16"/>
        </w:rPr>
        <w:fldChar w:fldCharType="separate"/>
      </w:r>
      <w:r>
        <w:rPr>
          <w:rStyle w:val="16"/>
          <w:rFonts w:hint="eastAsia"/>
          <w:snapToGrid w:val="0"/>
        </w:rPr>
        <w:t>（</w:t>
      </w:r>
      <w:r>
        <w:rPr>
          <w:rStyle w:val="16"/>
          <w:snapToGrid w:val="0"/>
        </w:rPr>
        <w:t>3</w:t>
      </w:r>
      <w:r>
        <w:rPr>
          <w:rStyle w:val="16"/>
          <w:rFonts w:hint="eastAsia"/>
          <w:snapToGrid w:val="0"/>
        </w:rPr>
        <w:t>）</w:t>
      </w:r>
      <w:r>
        <w:rPr>
          <w:rFonts w:ascii="等线" w:hAnsi="等线" w:eastAsia="等线"/>
          <w:kern w:val="2"/>
          <w:sz w:val="21"/>
          <w:szCs w:val="22"/>
        </w:rPr>
        <w:tab/>
      </w:r>
      <w:r>
        <w:rPr>
          <w:rStyle w:val="16"/>
          <w:rFonts w:hint="eastAsia"/>
          <w:snapToGrid w:val="0"/>
        </w:rPr>
        <w:t>效果持续时间</w:t>
      </w:r>
      <w:r>
        <w:tab/>
      </w:r>
      <w:r>
        <w:fldChar w:fldCharType="begin"/>
      </w:r>
      <w:r>
        <w:instrText xml:space="preserve"> PAGEREF _Toc98779747 \h </w:instrText>
      </w:r>
      <w:r>
        <w:fldChar w:fldCharType="separate"/>
      </w:r>
      <w:r>
        <w:t>14</w:t>
      </w:r>
      <w:r>
        <w:fldChar w:fldCharType="end"/>
      </w:r>
      <w:r>
        <w:rPr>
          <w:rStyle w:val="16"/>
        </w:rPr>
        <w:fldChar w:fldCharType="end"/>
      </w:r>
    </w:p>
    <w:p>
      <w:pPr>
        <w:pStyle w:val="12"/>
        <w:tabs>
          <w:tab w:val="right" w:leader="dot" w:pos="9365"/>
          <w:tab w:val="clear" w:pos="9062"/>
        </w:tabs>
        <w:spacing w:after="120"/>
        <w:ind w:left="300"/>
        <w:rPr>
          <w:rFonts w:ascii="等线" w:hAnsi="等线" w:eastAsia="等线"/>
          <w:kern w:val="2"/>
          <w:sz w:val="21"/>
          <w:szCs w:val="22"/>
        </w:rPr>
      </w:pPr>
      <w:r>
        <w:rPr>
          <w:rStyle w:val="16"/>
        </w:rPr>
        <w:fldChar w:fldCharType="begin"/>
      </w:r>
      <w:r>
        <w:rPr>
          <w:rStyle w:val="16"/>
        </w:rPr>
        <w:instrText xml:space="preserve"> </w:instrText>
      </w:r>
      <w:r>
        <w:instrText xml:space="preserve">HYPERLINK \l "_Toc98779748"</w:instrText>
      </w:r>
      <w:r>
        <w:rPr>
          <w:rStyle w:val="16"/>
        </w:rPr>
        <w:instrText xml:space="preserve"> </w:instrText>
      </w:r>
      <w:r>
        <w:rPr>
          <w:rStyle w:val="16"/>
        </w:rPr>
        <w:fldChar w:fldCharType="separate"/>
      </w:r>
      <w:r>
        <w:rPr>
          <w:rStyle w:val="16"/>
          <w:snapToGrid w:val="0"/>
        </w:rPr>
        <w:t>B.</w:t>
      </w:r>
      <w:r>
        <w:rPr>
          <w:rFonts w:ascii="等线" w:hAnsi="等线" w:eastAsia="等线"/>
          <w:kern w:val="2"/>
          <w:sz w:val="21"/>
          <w:szCs w:val="22"/>
        </w:rPr>
        <w:tab/>
      </w:r>
      <w:r>
        <w:rPr>
          <w:rStyle w:val="16"/>
          <w:rFonts w:hint="eastAsia"/>
          <w:snapToGrid w:val="0"/>
        </w:rPr>
        <w:t>器械的风险评估</w:t>
      </w:r>
      <w:r>
        <w:tab/>
      </w:r>
      <w:r>
        <w:fldChar w:fldCharType="begin"/>
      </w:r>
      <w:r>
        <w:instrText xml:space="preserve"> PAGEREF _Toc98779748 \h </w:instrText>
      </w:r>
      <w:r>
        <w:fldChar w:fldCharType="separate"/>
      </w:r>
      <w:r>
        <w:t>14</w:t>
      </w:r>
      <w:r>
        <w:fldChar w:fldCharType="end"/>
      </w:r>
      <w:r>
        <w:rPr>
          <w:rStyle w:val="16"/>
        </w:rPr>
        <w:fldChar w:fldCharType="end"/>
      </w:r>
    </w:p>
    <w:p>
      <w:pPr>
        <w:pStyle w:val="6"/>
        <w:tabs>
          <w:tab w:val="left" w:pos="1470"/>
          <w:tab w:val="right" w:leader="dot" w:pos="9365"/>
          <w:tab w:val="clear" w:pos="9062"/>
        </w:tabs>
        <w:spacing w:after="120"/>
        <w:ind w:left="600"/>
        <w:rPr>
          <w:rFonts w:ascii="等线" w:hAnsi="等线" w:eastAsia="等线"/>
          <w:kern w:val="2"/>
          <w:sz w:val="21"/>
          <w:szCs w:val="22"/>
        </w:rPr>
      </w:pPr>
      <w:r>
        <w:rPr>
          <w:rStyle w:val="16"/>
        </w:rPr>
        <w:fldChar w:fldCharType="begin"/>
      </w:r>
      <w:r>
        <w:rPr>
          <w:rStyle w:val="16"/>
        </w:rPr>
        <w:instrText xml:space="preserve"> </w:instrText>
      </w:r>
      <w:r>
        <w:instrText xml:space="preserve">HYPERLINK \l "_Toc98779749"</w:instrText>
      </w:r>
      <w:r>
        <w:rPr>
          <w:rStyle w:val="16"/>
        </w:rPr>
        <w:instrText xml:space="preserve"> </w:instrText>
      </w:r>
      <w:r>
        <w:rPr>
          <w:rStyle w:val="16"/>
        </w:rPr>
        <w:fldChar w:fldCharType="separate"/>
      </w:r>
      <w:r>
        <w:rPr>
          <w:rStyle w:val="16"/>
          <w:rFonts w:hint="eastAsia"/>
          <w:snapToGrid w:val="0"/>
        </w:rPr>
        <w:t>（</w:t>
      </w:r>
      <w:r>
        <w:rPr>
          <w:rStyle w:val="16"/>
          <w:snapToGrid w:val="0"/>
        </w:rPr>
        <w:t>1</w:t>
      </w:r>
      <w:r>
        <w:rPr>
          <w:rStyle w:val="16"/>
          <w:rFonts w:hint="eastAsia"/>
          <w:snapToGrid w:val="0"/>
        </w:rPr>
        <w:t>）</w:t>
      </w:r>
      <w:r>
        <w:rPr>
          <w:rFonts w:ascii="等线" w:hAnsi="等线" w:eastAsia="等线"/>
          <w:kern w:val="2"/>
          <w:sz w:val="21"/>
          <w:szCs w:val="22"/>
        </w:rPr>
        <w:tab/>
      </w:r>
      <w:r>
        <w:rPr>
          <w:rStyle w:val="16"/>
          <w:rFonts w:hint="eastAsia"/>
          <w:snapToGrid w:val="0"/>
        </w:rPr>
        <w:t>有害事件的严重程度、类型、数量和比率</w:t>
      </w:r>
      <w:r>
        <w:tab/>
      </w:r>
      <w:r>
        <w:fldChar w:fldCharType="begin"/>
      </w:r>
      <w:r>
        <w:instrText xml:space="preserve"> PAGEREF _Toc98779749 \h </w:instrText>
      </w:r>
      <w:r>
        <w:fldChar w:fldCharType="separate"/>
      </w:r>
      <w:r>
        <w:t>14</w:t>
      </w:r>
      <w:r>
        <w:fldChar w:fldCharType="end"/>
      </w:r>
      <w:r>
        <w:rPr>
          <w:rStyle w:val="16"/>
        </w:rPr>
        <w:fldChar w:fldCharType="end"/>
      </w:r>
    </w:p>
    <w:p>
      <w:pPr>
        <w:pStyle w:val="6"/>
        <w:tabs>
          <w:tab w:val="left" w:pos="1470"/>
          <w:tab w:val="right" w:leader="dot" w:pos="9365"/>
          <w:tab w:val="clear" w:pos="9062"/>
        </w:tabs>
        <w:spacing w:after="120"/>
        <w:ind w:left="600"/>
        <w:rPr>
          <w:rFonts w:ascii="等线" w:hAnsi="等线" w:eastAsia="等线"/>
          <w:kern w:val="2"/>
          <w:sz w:val="21"/>
          <w:szCs w:val="22"/>
        </w:rPr>
      </w:pPr>
      <w:r>
        <w:rPr>
          <w:rStyle w:val="16"/>
        </w:rPr>
        <w:fldChar w:fldCharType="begin"/>
      </w:r>
      <w:r>
        <w:rPr>
          <w:rStyle w:val="16"/>
        </w:rPr>
        <w:instrText xml:space="preserve"> </w:instrText>
      </w:r>
      <w:r>
        <w:instrText xml:space="preserve">HYPERLINK \l "_Toc98779750"</w:instrText>
      </w:r>
      <w:r>
        <w:rPr>
          <w:rStyle w:val="16"/>
        </w:rPr>
        <w:instrText xml:space="preserve"> </w:instrText>
      </w:r>
      <w:r>
        <w:rPr>
          <w:rStyle w:val="16"/>
        </w:rPr>
        <w:fldChar w:fldCharType="separate"/>
      </w:r>
      <w:r>
        <w:rPr>
          <w:rStyle w:val="16"/>
          <w:rFonts w:hint="eastAsia"/>
          <w:snapToGrid w:val="0"/>
        </w:rPr>
        <w:t>（</w:t>
      </w:r>
      <w:r>
        <w:rPr>
          <w:rStyle w:val="16"/>
          <w:snapToGrid w:val="0"/>
        </w:rPr>
        <w:t>2</w:t>
      </w:r>
      <w:r>
        <w:rPr>
          <w:rStyle w:val="16"/>
          <w:rFonts w:hint="eastAsia"/>
          <w:snapToGrid w:val="0"/>
        </w:rPr>
        <w:t>）</w:t>
      </w:r>
      <w:r>
        <w:rPr>
          <w:rFonts w:ascii="等线" w:hAnsi="等线" w:eastAsia="等线"/>
          <w:kern w:val="2"/>
          <w:sz w:val="21"/>
          <w:szCs w:val="22"/>
        </w:rPr>
        <w:tab/>
      </w:r>
      <w:r>
        <w:rPr>
          <w:rStyle w:val="16"/>
          <w:rFonts w:hint="eastAsia"/>
          <w:snapToGrid w:val="0"/>
        </w:rPr>
        <w:t>有害事件的概率</w:t>
      </w:r>
      <w:r>
        <w:tab/>
      </w:r>
      <w:r>
        <w:fldChar w:fldCharType="begin"/>
      </w:r>
      <w:r>
        <w:instrText xml:space="preserve"> PAGEREF _Toc98779750 \h </w:instrText>
      </w:r>
      <w:r>
        <w:fldChar w:fldCharType="separate"/>
      </w:r>
      <w:r>
        <w:t>15</w:t>
      </w:r>
      <w:r>
        <w:fldChar w:fldCharType="end"/>
      </w:r>
      <w:r>
        <w:rPr>
          <w:rStyle w:val="16"/>
        </w:rPr>
        <w:fldChar w:fldCharType="end"/>
      </w:r>
    </w:p>
    <w:p>
      <w:pPr>
        <w:pStyle w:val="6"/>
        <w:tabs>
          <w:tab w:val="left" w:pos="1470"/>
          <w:tab w:val="right" w:leader="dot" w:pos="9365"/>
          <w:tab w:val="clear" w:pos="9062"/>
        </w:tabs>
        <w:spacing w:after="120"/>
        <w:ind w:left="600"/>
        <w:rPr>
          <w:rFonts w:ascii="等线" w:hAnsi="等线" w:eastAsia="等线"/>
          <w:kern w:val="2"/>
          <w:sz w:val="21"/>
          <w:szCs w:val="22"/>
        </w:rPr>
      </w:pPr>
      <w:r>
        <w:rPr>
          <w:rStyle w:val="16"/>
        </w:rPr>
        <w:fldChar w:fldCharType="begin"/>
      </w:r>
      <w:r>
        <w:rPr>
          <w:rStyle w:val="16"/>
        </w:rPr>
        <w:instrText xml:space="preserve"> </w:instrText>
      </w:r>
      <w:r>
        <w:instrText xml:space="preserve">HYPERLINK \l "_Toc98779751"</w:instrText>
      </w:r>
      <w:r>
        <w:rPr>
          <w:rStyle w:val="16"/>
        </w:rPr>
        <w:instrText xml:space="preserve"> </w:instrText>
      </w:r>
      <w:r>
        <w:rPr>
          <w:rStyle w:val="16"/>
        </w:rPr>
        <w:fldChar w:fldCharType="separate"/>
      </w:r>
      <w:r>
        <w:rPr>
          <w:rStyle w:val="16"/>
          <w:rFonts w:hint="eastAsia"/>
          <w:snapToGrid w:val="0"/>
        </w:rPr>
        <w:t>（</w:t>
      </w:r>
      <w:r>
        <w:rPr>
          <w:rStyle w:val="16"/>
          <w:snapToGrid w:val="0"/>
        </w:rPr>
        <w:t>3</w:t>
      </w:r>
      <w:r>
        <w:rPr>
          <w:rStyle w:val="16"/>
          <w:rFonts w:hint="eastAsia"/>
          <w:snapToGrid w:val="0"/>
        </w:rPr>
        <w:t>）</w:t>
      </w:r>
      <w:r>
        <w:rPr>
          <w:rFonts w:ascii="等线" w:hAnsi="等线" w:eastAsia="等线"/>
          <w:kern w:val="2"/>
          <w:sz w:val="21"/>
          <w:szCs w:val="22"/>
        </w:rPr>
        <w:tab/>
      </w:r>
      <w:r>
        <w:rPr>
          <w:rStyle w:val="16"/>
          <w:rFonts w:hint="eastAsia"/>
          <w:snapToGrid w:val="0"/>
        </w:rPr>
        <w:t>患者经历一个或多个有害事件的概率</w:t>
      </w:r>
      <w:r>
        <w:tab/>
      </w:r>
      <w:r>
        <w:fldChar w:fldCharType="begin"/>
      </w:r>
      <w:r>
        <w:instrText xml:space="preserve"> PAGEREF _Toc98779751 \h </w:instrText>
      </w:r>
      <w:r>
        <w:fldChar w:fldCharType="separate"/>
      </w:r>
      <w:r>
        <w:t>15</w:t>
      </w:r>
      <w:r>
        <w:fldChar w:fldCharType="end"/>
      </w:r>
      <w:r>
        <w:rPr>
          <w:rStyle w:val="16"/>
        </w:rPr>
        <w:fldChar w:fldCharType="end"/>
      </w:r>
    </w:p>
    <w:p>
      <w:pPr>
        <w:pStyle w:val="6"/>
        <w:tabs>
          <w:tab w:val="left" w:pos="1470"/>
          <w:tab w:val="right" w:leader="dot" w:pos="9365"/>
          <w:tab w:val="clear" w:pos="9062"/>
        </w:tabs>
        <w:spacing w:after="120"/>
        <w:ind w:left="600"/>
        <w:rPr>
          <w:rFonts w:ascii="等线" w:hAnsi="等线" w:eastAsia="等线"/>
          <w:kern w:val="2"/>
          <w:sz w:val="21"/>
          <w:szCs w:val="22"/>
        </w:rPr>
      </w:pPr>
      <w:r>
        <w:rPr>
          <w:rStyle w:val="16"/>
        </w:rPr>
        <w:fldChar w:fldCharType="begin"/>
      </w:r>
      <w:r>
        <w:rPr>
          <w:rStyle w:val="16"/>
        </w:rPr>
        <w:instrText xml:space="preserve"> </w:instrText>
      </w:r>
      <w:r>
        <w:instrText xml:space="preserve">HYPERLINK \l "_Toc98779752"</w:instrText>
      </w:r>
      <w:r>
        <w:rPr>
          <w:rStyle w:val="16"/>
        </w:rPr>
        <w:instrText xml:space="preserve"> </w:instrText>
      </w:r>
      <w:r>
        <w:rPr>
          <w:rStyle w:val="16"/>
        </w:rPr>
        <w:fldChar w:fldCharType="separate"/>
      </w:r>
      <w:r>
        <w:rPr>
          <w:rStyle w:val="16"/>
          <w:rFonts w:hint="eastAsia"/>
          <w:snapToGrid w:val="0"/>
        </w:rPr>
        <w:t>（</w:t>
      </w:r>
      <w:r>
        <w:rPr>
          <w:rStyle w:val="16"/>
          <w:snapToGrid w:val="0"/>
        </w:rPr>
        <w:t>4</w:t>
      </w:r>
      <w:r>
        <w:rPr>
          <w:rStyle w:val="16"/>
          <w:rFonts w:hint="eastAsia"/>
          <w:snapToGrid w:val="0"/>
        </w:rPr>
        <w:t>）</w:t>
      </w:r>
      <w:r>
        <w:rPr>
          <w:rFonts w:ascii="等线" w:hAnsi="等线" w:eastAsia="等线"/>
          <w:kern w:val="2"/>
          <w:sz w:val="21"/>
          <w:szCs w:val="22"/>
        </w:rPr>
        <w:tab/>
      </w:r>
      <w:r>
        <w:rPr>
          <w:rStyle w:val="16"/>
          <w:rFonts w:hint="eastAsia"/>
          <w:snapToGrid w:val="0"/>
        </w:rPr>
        <w:t>有害事件的持续时间（即，不良后果持续多久）</w:t>
      </w:r>
      <w:r>
        <w:tab/>
      </w:r>
      <w:r>
        <w:fldChar w:fldCharType="begin"/>
      </w:r>
      <w:r>
        <w:instrText xml:space="preserve"> PAGEREF _Toc98779752 \h </w:instrText>
      </w:r>
      <w:r>
        <w:fldChar w:fldCharType="separate"/>
      </w:r>
      <w:r>
        <w:t>15</w:t>
      </w:r>
      <w:r>
        <w:fldChar w:fldCharType="end"/>
      </w:r>
      <w:r>
        <w:rPr>
          <w:rStyle w:val="16"/>
        </w:rPr>
        <w:fldChar w:fldCharType="end"/>
      </w:r>
    </w:p>
    <w:p>
      <w:pPr>
        <w:pStyle w:val="6"/>
        <w:tabs>
          <w:tab w:val="left" w:pos="1470"/>
          <w:tab w:val="right" w:leader="dot" w:pos="9365"/>
          <w:tab w:val="clear" w:pos="9062"/>
        </w:tabs>
        <w:spacing w:after="120"/>
        <w:ind w:left="600"/>
        <w:rPr>
          <w:rFonts w:ascii="等线" w:hAnsi="等线" w:eastAsia="等线"/>
          <w:kern w:val="2"/>
          <w:sz w:val="21"/>
          <w:szCs w:val="22"/>
        </w:rPr>
      </w:pPr>
      <w:r>
        <w:rPr>
          <w:rStyle w:val="16"/>
        </w:rPr>
        <w:fldChar w:fldCharType="begin"/>
      </w:r>
      <w:r>
        <w:rPr>
          <w:rStyle w:val="16"/>
        </w:rPr>
        <w:instrText xml:space="preserve"> </w:instrText>
      </w:r>
      <w:r>
        <w:instrText xml:space="preserve">HYPERLINK \l "_Toc98779753"</w:instrText>
      </w:r>
      <w:r>
        <w:rPr>
          <w:rStyle w:val="16"/>
        </w:rPr>
        <w:instrText xml:space="preserve"> </w:instrText>
      </w:r>
      <w:r>
        <w:rPr>
          <w:rStyle w:val="16"/>
        </w:rPr>
        <w:fldChar w:fldCharType="separate"/>
      </w:r>
      <w:r>
        <w:rPr>
          <w:rStyle w:val="16"/>
          <w:rFonts w:hint="eastAsia"/>
          <w:snapToGrid w:val="0"/>
        </w:rPr>
        <w:t>（</w:t>
      </w:r>
      <w:r>
        <w:rPr>
          <w:rStyle w:val="16"/>
          <w:snapToGrid w:val="0"/>
        </w:rPr>
        <w:t>5</w:t>
      </w:r>
      <w:r>
        <w:rPr>
          <w:rStyle w:val="16"/>
          <w:rFonts w:hint="eastAsia"/>
          <w:snapToGrid w:val="0"/>
        </w:rPr>
        <w:t>）</w:t>
      </w:r>
      <w:r>
        <w:rPr>
          <w:rFonts w:ascii="等线" w:hAnsi="等线" w:eastAsia="等线"/>
          <w:kern w:val="2"/>
          <w:sz w:val="21"/>
          <w:szCs w:val="22"/>
        </w:rPr>
        <w:tab/>
      </w:r>
      <w:r>
        <w:rPr>
          <w:rStyle w:val="16"/>
          <w:rFonts w:hint="eastAsia"/>
          <w:snapToGrid w:val="0"/>
        </w:rPr>
        <w:t>诊断器械假阳性或假阴性结果的风险</w:t>
      </w:r>
      <w:r>
        <w:tab/>
      </w:r>
      <w:r>
        <w:fldChar w:fldCharType="begin"/>
      </w:r>
      <w:r>
        <w:instrText xml:space="preserve"> PAGEREF _Toc98779753 \h </w:instrText>
      </w:r>
      <w:r>
        <w:fldChar w:fldCharType="separate"/>
      </w:r>
      <w:r>
        <w:t>15</w:t>
      </w:r>
      <w:r>
        <w:fldChar w:fldCharType="end"/>
      </w:r>
      <w:r>
        <w:rPr>
          <w:rStyle w:val="16"/>
        </w:rPr>
        <w:fldChar w:fldCharType="end"/>
      </w:r>
    </w:p>
    <w:p>
      <w:pPr>
        <w:pStyle w:val="12"/>
        <w:tabs>
          <w:tab w:val="right" w:leader="dot" w:pos="9365"/>
          <w:tab w:val="clear" w:pos="9062"/>
        </w:tabs>
        <w:spacing w:after="120"/>
        <w:ind w:left="300"/>
        <w:rPr>
          <w:rFonts w:ascii="等线" w:hAnsi="等线" w:eastAsia="等线"/>
          <w:kern w:val="2"/>
          <w:sz w:val="21"/>
          <w:szCs w:val="22"/>
        </w:rPr>
      </w:pPr>
      <w:r>
        <w:rPr>
          <w:rStyle w:val="16"/>
        </w:rPr>
        <w:fldChar w:fldCharType="begin"/>
      </w:r>
      <w:r>
        <w:rPr>
          <w:rStyle w:val="16"/>
        </w:rPr>
        <w:instrText xml:space="preserve"> </w:instrText>
      </w:r>
      <w:r>
        <w:instrText xml:space="preserve">HYPERLINK \l "_Toc98779754"</w:instrText>
      </w:r>
      <w:r>
        <w:rPr>
          <w:rStyle w:val="16"/>
        </w:rPr>
        <w:instrText xml:space="preserve"> </w:instrText>
      </w:r>
      <w:r>
        <w:rPr>
          <w:rStyle w:val="16"/>
        </w:rPr>
        <w:fldChar w:fldCharType="separate"/>
      </w:r>
      <w:r>
        <w:rPr>
          <w:rStyle w:val="16"/>
          <w:snapToGrid w:val="0"/>
        </w:rPr>
        <w:t>C.</w:t>
      </w:r>
      <w:r>
        <w:rPr>
          <w:rFonts w:ascii="等线" w:hAnsi="等线" w:eastAsia="等线"/>
          <w:kern w:val="2"/>
          <w:sz w:val="21"/>
          <w:szCs w:val="22"/>
        </w:rPr>
        <w:tab/>
      </w:r>
      <w:r>
        <w:rPr>
          <w:rStyle w:val="16"/>
          <w:rFonts w:hint="eastAsia"/>
          <w:snapToGrid w:val="0"/>
        </w:rPr>
        <w:t>评估器械获益和风险的其他因素</w:t>
      </w:r>
      <w:r>
        <w:tab/>
      </w:r>
      <w:r>
        <w:fldChar w:fldCharType="begin"/>
      </w:r>
      <w:r>
        <w:instrText xml:space="preserve"> PAGEREF _Toc98779754 \h </w:instrText>
      </w:r>
      <w:r>
        <w:fldChar w:fldCharType="separate"/>
      </w:r>
      <w:r>
        <w:t>16</w:t>
      </w:r>
      <w:r>
        <w:fldChar w:fldCharType="end"/>
      </w:r>
      <w:r>
        <w:rPr>
          <w:rStyle w:val="16"/>
        </w:rPr>
        <w:fldChar w:fldCharType="end"/>
      </w:r>
    </w:p>
    <w:p>
      <w:pPr>
        <w:pStyle w:val="6"/>
        <w:tabs>
          <w:tab w:val="left" w:pos="1470"/>
          <w:tab w:val="right" w:leader="dot" w:pos="9365"/>
          <w:tab w:val="clear" w:pos="9062"/>
        </w:tabs>
        <w:spacing w:after="120"/>
        <w:ind w:left="600"/>
        <w:rPr>
          <w:rFonts w:ascii="等线" w:hAnsi="等线" w:eastAsia="等线"/>
          <w:kern w:val="2"/>
          <w:sz w:val="21"/>
          <w:szCs w:val="22"/>
        </w:rPr>
      </w:pPr>
      <w:r>
        <w:rPr>
          <w:rStyle w:val="16"/>
        </w:rPr>
        <w:fldChar w:fldCharType="begin"/>
      </w:r>
      <w:r>
        <w:rPr>
          <w:rStyle w:val="16"/>
        </w:rPr>
        <w:instrText xml:space="preserve"> </w:instrText>
      </w:r>
      <w:r>
        <w:instrText xml:space="preserve">HYPERLINK \l "_Toc98779755"</w:instrText>
      </w:r>
      <w:r>
        <w:rPr>
          <w:rStyle w:val="16"/>
        </w:rPr>
        <w:instrText xml:space="preserve"> </w:instrText>
      </w:r>
      <w:r>
        <w:rPr>
          <w:rStyle w:val="16"/>
        </w:rPr>
        <w:fldChar w:fldCharType="separate"/>
      </w:r>
      <w:r>
        <w:rPr>
          <w:rStyle w:val="16"/>
          <w:rFonts w:hint="eastAsia"/>
          <w:snapToGrid w:val="0"/>
        </w:rPr>
        <w:t>（</w:t>
      </w:r>
      <w:r>
        <w:rPr>
          <w:rStyle w:val="16"/>
          <w:snapToGrid w:val="0"/>
        </w:rPr>
        <w:t>1</w:t>
      </w:r>
      <w:r>
        <w:rPr>
          <w:rStyle w:val="16"/>
          <w:rFonts w:hint="eastAsia"/>
          <w:snapToGrid w:val="0"/>
        </w:rPr>
        <w:t>）</w:t>
      </w:r>
      <w:r>
        <w:rPr>
          <w:rFonts w:ascii="等线" w:hAnsi="等线" w:eastAsia="等线"/>
          <w:kern w:val="2"/>
          <w:sz w:val="21"/>
          <w:szCs w:val="22"/>
        </w:rPr>
        <w:tab/>
      </w:r>
      <w:r>
        <w:rPr>
          <w:rStyle w:val="16"/>
          <w:rFonts w:hint="eastAsia"/>
          <w:snapToGrid w:val="0"/>
        </w:rPr>
        <w:t>不确定性</w:t>
      </w:r>
      <w:r>
        <w:tab/>
      </w:r>
      <w:r>
        <w:fldChar w:fldCharType="begin"/>
      </w:r>
      <w:r>
        <w:instrText xml:space="preserve"> PAGEREF _Toc98779755 \h </w:instrText>
      </w:r>
      <w:r>
        <w:fldChar w:fldCharType="separate"/>
      </w:r>
      <w:r>
        <w:t>16</w:t>
      </w:r>
      <w:r>
        <w:fldChar w:fldCharType="end"/>
      </w:r>
      <w:r>
        <w:rPr>
          <w:rStyle w:val="16"/>
        </w:rPr>
        <w:fldChar w:fldCharType="end"/>
      </w:r>
    </w:p>
    <w:p>
      <w:pPr>
        <w:pStyle w:val="6"/>
        <w:tabs>
          <w:tab w:val="left" w:pos="1470"/>
          <w:tab w:val="right" w:leader="dot" w:pos="9365"/>
          <w:tab w:val="clear" w:pos="9062"/>
        </w:tabs>
        <w:spacing w:after="120"/>
        <w:ind w:left="600"/>
        <w:rPr>
          <w:rFonts w:ascii="等线" w:hAnsi="等线" w:eastAsia="等线"/>
          <w:kern w:val="2"/>
          <w:sz w:val="21"/>
          <w:szCs w:val="22"/>
        </w:rPr>
      </w:pPr>
      <w:r>
        <w:rPr>
          <w:rStyle w:val="16"/>
        </w:rPr>
        <w:fldChar w:fldCharType="begin"/>
      </w:r>
      <w:r>
        <w:rPr>
          <w:rStyle w:val="16"/>
        </w:rPr>
        <w:instrText xml:space="preserve"> </w:instrText>
      </w:r>
      <w:r>
        <w:instrText xml:space="preserve">HYPERLINK \l "_Toc98779756"</w:instrText>
      </w:r>
      <w:r>
        <w:rPr>
          <w:rStyle w:val="16"/>
        </w:rPr>
        <w:instrText xml:space="preserve"> </w:instrText>
      </w:r>
      <w:r>
        <w:rPr>
          <w:rStyle w:val="16"/>
        </w:rPr>
        <w:fldChar w:fldCharType="separate"/>
      </w:r>
      <w:r>
        <w:rPr>
          <w:rStyle w:val="16"/>
          <w:rFonts w:hint="eastAsia"/>
          <w:snapToGrid w:val="0"/>
        </w:rPr>
        <w:t>（</w:t>
      </w:r>
      <w:r>
        <w:rPr>
          <w:rStyle w:val="16"/>
          <w:snapToGrid w:val="0"/>
        </w:rPr>
        <w:t>2</w:t>
      </w:r>
      <w:r>
        <w:rPr>
          <w:rStyle w:val="16"/>
          <w:rFonts w:hint="eastAsia"/>
          <w:snapToGrid w:val="0"/>
        </w:rPr>
        <w:t>）</w:t>
      </w:r>
      <w:r>
        <w:rPr>
          <w:rFonts w:ascii="等线" w:hAnsi="等线" w:eastAsia="等线"/>
          <w:kern w:val="2"/>
          <w:sz w:val="21"/>
          <w:szCs w:val="22"/>
        </w:rPr>
        <w:tab/>
      </w:r>
      <w:r>
        <w:rPr>
          <w:rStyle w:val="16"/>
          <w:rFonts w:hint="eastAsia"/>
          <w:snapToGrid w:val="0"/>
        </w:rPr>
        <w:t>疾病</w:t>
      </w:r>
      <w:r>
        <w:rPr>
          <w:rStyle w:val="16"/>
          <w:snapToGrid w:val="0"/>
        </w:rPr>
        <w:t>/</w:t>
      </w:r>
      <w:r>
        <w:rPr>
          <w:rStyle w:val="16"/>
          <w:rFonts w:hint="eastAsia"/>
          <w:snapToGrid w:val="0"/>
        </w:rPr>
        <w:t>病症的特征描述</w:t>
      </w:r>
      <w:r>
        <w:tab/>
      </w:r>
      <w:r>
        <w:fldChar w:fldCharType="begin"/>
      </w:r>
      <w:r>
        <w:instrText xml:space="preserve"> PAGEREF _Toc98779756 \h </w:instrText>
      </w:r>
      <w:r>
        <w:fldChar w:fldCharType="separate"/>
      </w:r>
      <w:r>
        <w:t>16</w:t>
      </w:r>
      <w:r>
        <w:fldChar w:fldCharType="end"/>
      </w:r>
      <w:r>
        <w:rPr>
          <w:rStyle w:val="16"/>
        </w:rPr>
        <w:fldChar w:fldCharType="end"/>
      </w:r>
    </w:p>
    <w:p>
      <w:pPr>
        <w:pStyle w:val="6"/>
        <w:tabs>
          <w:tab w:val="left" w:pos="1470"/>
          <w:tab w:val="right" w:leader="dot" w:pos="9365"/>
          <w:tab w:val="clear" w:pos="9062"/>
        </w:tabs>
        <w:spacing w:after="120"/>
        <w:ind w:left="600"/>
        <w:rPr>
          <w:rFonts w:ascii="等线" w:hAnsi="等线" w:eastAsia="等线"/>
          <w:kern w:val="2"/>
          <w:sz w:val="21"/>
          <w:szCs w:val="22"/>
        </w:rPr>
      </w:pPr>
      <w:r>
        <w:rPr>
          <w:rStyle w:val="16"/>
        </w:rPr>
        <w:fldChar w:fldCharType="begin"/>
      </w:r>
      <w:r>
        <w:rPr>
          <w:rStyle w:val="16"/>
        </w:rPr>
        <w:instrText xml:space="preserve"> </w:instrText>
      </w:r>
      <w:r>
        <w:instrText xml:space="preserve">HYPERLINK \l "_Toc98779757"</w:instrText>
      </w:r>
      <w:r>
        <w:rPr>
          <w:rStyle w:val="16"/>
        </w:rPr>
        <w:instrText xml:space="preserve"> </w:instrText>
      </w:r>
      <w:r>
        <w:rPr>
          <w:rStyle w:val="16"/>
        </w:rPr>
        <w:fldChar w:fldCharType="separate"/>
      </w:r>
      <w:r>
        <w:rPr>
          <w:rStyle w:val="16"/>
          <w:rFonts w:hint="eastAsia"/>
          <w:snapToGrid w:val="0"/>
        </w:rPr>
        <w:t>（</w:t>
      </w:r>
      <w:r>
        <w:rPr>
          <w:rStyle w:val="16"/>
          <w:snapToGrid w:val="0"/>
        </w:rPr>
        <w:t>3</w:t>
      </w:r>
      <w:r>
        <w:rPr>
          <w:rStyle w:val="16"/>
          <w:rFonts w:hint="eastAsia"/>
          <w:snapToGrid w:val="0"/>
        </w:rPr>
        <w:t>）</w:t>
      </w:r>
      <w:r>
        <w:rPr>
          <w:rFonts w:ascii="等线" w:hAnsi="等线" w:eastAsia="等线"/>
          <w:kern w:val="2"/>
          <w:sz w:val="21"/>
          <w:szCs w:val="22"/>
        </w:rPr>
        <w:tab/>
      </w:r>
      <w:r>
        <w:rPr>
          <w:rStyle w:val="16"/>
          <w:rFonts w:hint="eastAsia"/>
          <w:snapToGrid w:val="0"/>
        </w:rPr>
        <w:t>创新技术</w:t>
      </w:r>
      <w:r>
        <w:tab/>
      </w:r>
      <w:r>
        <w:fldChar w:fldCharType="begin"/>
      </w:r>
      <w:r>
        <w:instrText xml:space="preserve"> PAGEREF _Toc98779757 \h </w:instrText>
      </w:r>
      <w:r>
        <w:fldChar w:fldCharType="separate"/>
      </w:r>
      <w:r>
        <w:t>16</w:t>
      </w:r>
      <w:r>
        <w:fldChar w:fldCharType="end"/>
      </w:r>
      <w:r>
        <w:rPr>
          <w:rStyle w:val="16"/>
        </w:rPr>
        <w:fldChar w:fldCharType="end"/>
      </w:r>
    </w:p>
    <w:p>
      <w:pPr>
        <w:pStyle w:val="6"/>
        <w:tabs>
          <w:tab w:val="left" w:pos="1470"/>
          <w:tab w:val="right" w:leader="dot" w:pos="9365"/>
          <w:tab w:val="clear" w:pos="9062"/>
        </w:tabs>
        <w:spacing w:after="120"/>
        <w:ind w:left="600"/>
        <w:rPr>
          <w:rFonts w:ascii="等线" w:hAnsi="等线" w:eastAsia="等线"/>
          <w:kern w:val="2"/>
          <w:sz w:val="21"/>
          <w:szCs w:val="22"/>
        </w:rPr>
      </w:pPr>
      <w:r>
        <w:rPr>
          <w:rStyle w:val="16"/>
        </w:rPr>
        <w:fldChar w:fldCharType="begin"/>
      </w:r>
      <w:r>
        <w:rPr>
          <w:rStyle w:val="16"/>
        </w:rPr>
        <w:instrText xml:space="preserve"> </w:instrText>
      </w:r>
      <w:r>
        <w:instrText xml:space="preserve">HYPERLINK \l "_Toc98779758"</w:instrText>
      </w:r>
      <w:r>
        <w:rPr>
          <w:rStyle w:val="16"/>
        </w:rPr>
        <w:instrText xml:space="preserve"> </w:instrText>
      </w:r>
      <w:r>
        <w:rPr>
          <w:rStyle w:val="16"/>
        </w:rPr>
        <w:fldChar w:fldCharType="separate"/>
      </w:r>
      <w:r>
        <w:rPr>
          <w:rStyle w:val="16"/>
          <w:rFonts w:hint="eastAsia"/>
          <w:snapToGrid w:val="0"/>
        </w:rPr>
        <w:t>（</w:t>
      </w:r>
      <w:r>
        <w:rPr>
          <w:rStyle w:val="16"/>
          <w:snapToGrid w:val="0"/>
        </w:rPr>
        <w:t>4</w:t>
      </w:r>
      <w:r>
        <w:rPr>
          <w:rStyle w:val="16"/>
          <w:rFonts w:hint="eastAsia"/>
          <w:snapToGrid w:val="0"/>
        </w:rPr>
        <w:t>）</w:t>
      </w:r>
      <w:r>
        <w:rPr>
          <w:rFonts w:ascii="等线" w:hAnsi="等线" w:eastAsia="等线"/>
          <w:kern w:val="2"/>
          <w:sz w:val="21"/>
          <w:szCs w:val="22"/>
        </w:rPr>
        <w:tab/>
      </w:r>
      <w:r>
        <w:rPr>
          <w:rStyle w:val="16"/>
          <w:rFonts w:hint="eastAsia"/>
          <w:snapToGrid w:val="0"/>
        </w:rPr>
        <w:t>患者对风险的容忍度和对获益的看法</w:t>
      </w:r>
      <w:r>
        <w:tab/>
      </w:r>
      <w:r>
        <w:fldChar w:fldCharType="begin"/>
      </w:r>
      <w:r>
        <w:instrText xml:space="preserve"> PAGEREF _Toc98779758 \h </w:instrText>
      </w:r>
      <w:r>
        <w:fldChar w:fldCharType="separate"/>
      </w:r>
      <w:r>
        <w:t>16</w:t>
      </w:r>
      <w:r>
        <w:fldChar w:fldCharType="end"/>
      </w:r>
      <w:r>
        <w:rPr>
          <w:rStyle w:val="16"/>
        </w:rPr>
        <w:fldChar w:fldCharType="end"/>
      </w:r>
    </w:p>
    <w:p>
      <w:pPr>
        <w:pStyle w:val="6"/>
        <w:tabs>
          <w:tab w:val="left" w:pos="1470"/>
          <w:tab w:val="right" w:leader="dot" w:pos="9365"/>
          <w:tab w:val="clear" w:pos="9062"/>
        </w:tabs>
        <w:spacing w:after="120"/>
        <w:ind w:left="600"/>
        <w:rPr>
          <w:rFonts w:ascii="等线" w:hAnsi="等线" w:eastAsia="等线"/>
          <w:kern w:val="2"/>
          <w:sz w:val="21"/>
          <w:szCs w:val="22"/>
        </w:rPr>
      </w:pPr>
      <w:r>
        <w:rPr>
          <w:rStyle w:val="16"/>
        </w:rPr>
        <w:fldChar w:fldCharType="begin"/>
      </w:r>
      <w:r>
        <w:rPr>
          <w:rStyle w:val="16"/>
        </w:rPr>
        <w:instrText xml:space="preserve"> </w:instrText>
      </w:r>
      <w:r>
        <w:instrText xml:space="preserve">HYPERLINK \l "_Toc98779759"</w:instrText>
      </w:r>
      <w:r>
        <w:rPr>
          <w:rStyle w:val="16"/>
        </w:rPr>
        <w:instrText xml:space="preserve"> </w:instrText>
      </w:r>
      <w:r>
        <w:rPr>
          <w:rStyle w:val="16"/>
        </w:rPr>
        <w:fldChar w:fldCharType="separate"/>
      </w:r>
      <w:r>
        <w:rPr>
          <w:rStyle w:val="16"/>
          <w:rFonts w:hint="eastAsia"/>
          <w:snapToGrid w:val="0"/>
        </w:rPr>
        <w:t>（</w:t>
      </w:r>
      <w:r>
        <w:rPr>
          <w:rStyle w:val="16"/>
          <w:snapToGrid w:val="0"/>
        </w:rPr>
        <w:t>5</w:t>
      </w:r>
      <w:r>
        <w:rPr>
          <w:rStyle w:val="16"/>
          <w:rFonts w:hint="eastAsia"/>
          <w:snapToGrid w:val="0"/>
        </w:rPr>
        <w:t>）</w:t>
      </w:r>
      <w:r>
        <w:rPr>
          <w:rFonts w:ascii="等线" w:hAnsi="等线" w:eastAsia="等线"/>
          <w:kern w:val="2"/>
          <w:sz w:val="21"/>
          <w:szCs w:val="22"/>
        </w:rPr>
        <w:tab/>
      </w:r>
      <w:r>
        <w:rPr>
          <w:rStyle w:val="16"/>
          <w:rFonts w:hint="eastAsia"/>
          <w:snapToGrid w:val="0"/>
        </w:rPr>
        <w:t>医疗保健专业人员、患者或护理人员的获益</w:t>
      </w:r>
      <w:r>
        <w:tab/>
      </w:r>
      <w:r>
        <w:fldChar w:fldCharType="begin"/>
      </w:r>
      <w:r>
        <w:instrText xml:space="preserve"> PAGEREF _Toc98779759 \h </w:instrText>
      </w:r>
      <w:r>
        <w:fldChar w:fldCharType="separate"/>
      </w:r>
      <w:r>
        <w:t>17</w:t>
      </w:r>
      <w:r>
        <w:fldChar w:fldCharType="end"/>
      </w:r>
      <w:r>
        <w:rPr>
          <w:rStyle w:val="16"/>
        </w:rPr>
        <w:fldChar w:fldCharType="end"/>
      </w:r>
    </w:p>
    <w:p>
      <w:pPr>
        <w:pStyle w:val="6"/>
        <w:tabs>
          <w:tab w:val="left" w:pos="1470"/>
          <w:tab w:val="right" w:leader="dot" w:pos="9365"/>
          <w:tab w:val="clear" w:pos="9062"/>
        </w:tabs>
        <w:spacing w:after="120"/>
        <w:ind w:left="600"/>
        <w:rPr>
          <w:rFonts w:ascii="等线" w:hAnsi="等线" w:eastAsia="等线"/>
          <w:kern w:val="2"/>
          <w:sz w:val="21"/>
          <w:szCs w:val="22"/>
        </w:rPr>
      </w:pPr>
      <w:r>
        <w:rPr>
          <w:rStyle w:val="16"/>
        </w:rPr>
        <w:fldChar w:fldCharType="begin"/>
      </w:r>
      <w:r>
        <w:rPr>
          <w:rStyle w:val="16"/>
        </w:rPr>
        <w:instrText xml:space="preserve"> </w:instrText>
      </w:r>
      <w:r>
        <w:instrText xml:space="preserve">HYPERLINK \l "_Toc98779760"</w:instrText>
      </w:r>
      <w:r>
        <w:rPr>
          <w:rStyle w:val="16"/>
        </w:rPr>
        <w:instrText xml:space="preserve"> </w:instrText>
      </w:r>
      <w:r>
        <w:rPr>
          <w:rStyle w:val="16"/>
        </w:rPr>
        <w:fldChar w:fldCharType="separate"/>
      </w:r>
      <w:r>
        <w:rPr>
          <w:rStyle w:val="16"/>
          <w:rFonts w:hint="eastAsia"/>
          <w:snapToGrid w:val="0"/>
        </w:rPr>
        <w:t>（</w:t>
      </w:r>
      <w:r>
        <w:rPr>
          <w:rStyle w:val="16"/>
          <w:snapToGrid w:val="0"/>
        </w:rPr>
        <w:t>6</w:t>
      </w:r>
      <w:r>
        <w:rPr>
          <w:rStyle w:val="16"/>
          <w:rFonts w:hint="eastAsia"/>
          <w:snapToGrid w:val="0"/>
        </w:rPr>
        <w:t>）</w:t>
      </w:r>
      <w:r>
        <w:rPr>
          <w:rFonts w:ascii="等线" w:hAnsi="等线" w:eastAsia="等线"/>
          <w:kern w:val="2"/>
          <w:sz w:val="21"/>
          <w:szCs w:val="22"/>
        </w:rPr>
        <w:tab/>
      </w:r>
      <w:r>
        <w:rPr>
          <w:rStyle w:val="16"/>
          <w:rFonts w:hint="eastAsia"/>
          <w:snapToGrid w:val="0"/>
        </w:rPr>
        <w:t>风险缓解</w:t>
      </w:r>
      <w:r>
        <w:tab/>
      </w:r>
      <w:r>
        <w:fldChar w:fldCharType="begin"/>
      </w:r>
      <w:r>
        <w:instrText xml:space="preserve"> PAGEREF _Toc98779760 \h </w:instrText>
      </w:r>
      <w:r>
        <w:fldChar w:fldCharType="separate"/>
      </w:r>
      <w:r>
        <w:t>17</w:t>
      </w:r>
      <w:r>
        <w:fldChar w:fldCharType="end"/>
      </w:r>
      <w:r>
        <w:rPr>
          <w:rStyle w:val="16"/>
        </w:rPr>
        <w:fldChar w:fldCharType="end"/>
      </w:r>
    </w:p>
    <w:p>
      <w:pPr>
        <w:pStyle w:val="6"/>
        <w:tabs>
          <w:tab w:val="left" w:pos="1470"/>
          <w:tab w:val="right" w:leader="dot" w:pos="9365"/>
          <w:tab w:val="clear" w:pos="9062"/>
        </w:tabs>
        <w:spacing w:after="120"/>
        <w:ind w:left="600"/>
        <w:rPr>
          <w:rFonts w:ascii="等线" w:hAnsi="等线" w:eastAsia="等线"/>
          <w:kern w:val="2"/>
          <w:sz w:val="21"/>
          <w:szCs w:val="22"/>
        </w:rPr>
      </w:pPr>
      <w:r>
        <w:rPr>
          <w:rStyle w:val="16"/>
        </w:rPr>
        <w:fldChar w:fldCharType="begin"/>
      </w:r>
      <w:r>
        <w:rPr>
          <w:rStyle w:val="16"/>
        </w:rPr>
        <w:instrText xml:space="preserve"> </w:instrText>
      </w:r>
      <w:r>
        <w:instrText xml:space="preserve">HYPERLINK \l "_Toc98779761"</w:instrText>
      </w:r>
      <w:r>
        <w:rPr>
          <w:rStyle w:val="16"/>
        </w:rPr>
        <w:instrText xml:space="preserve"> </w:instrText>
      </w:r>
      <w:r>
        <w:rPr>
          <w:rStyle w:val="16"/>
        </w:rPr>
        <w:fldChar w:fldCharType="separate"/>
      </w:r>
      <w:r>
        <w:rPr>
          <w:rStyle w:val="16"/>
          <w:rFonts w:hint="eastAsia"/>
          <w:snapToGrid w:val="0"/>
        </w:rPr>
        <w:t>（</w:t>
      </w:r>
      <w:r>
        <w:rPr>
          <w:rStyle w:val="16"/>
          <w:snapToGrid w:val="0"/>
        </w:rPr>
        <w:t>7</w:t>
      </w:r>
      <w:r>
        <w:rPr>
          <w:rStyle w:val="16"/>
          <w:rFonts w:hint="eastAsia"/>
          <w:snapToGrid w:val="0"/>
        </w:rPr>
        <w:t>）</w:t>
      </w:r>
      <w:r>
        <w:rPr>
          <w:rFonts w:ascii="等线" w:hAnsi="等线" w:eastAsia="等线"/>
          <w:kern w:val="2"/>
          <w:sz w:val="21"/>
          <w:szCs w:val="22"/>
        </w:rPr>
        <w:tab/>
      </w:r>
      <w:r>
        <w:rPr>
          <w:rStyle w:val="16"/>
          <w:rFonts w:hint="eastAsia"/>
          <w:snapToGrid w:val="0"/>
        </w:rPr>
        <w:t>上市后数据</w:t>
      </w:r>
      <w:r>
        <w:tab/>
      </w:r>
      <w:r>
        <w:fldChar w:fldCharType="begin"/>
      </w:r>
      <w:r>
        <w:instrText xml:space="preserve"> PAGEREF _Toc98779761 \h </w:instrText>
      </w:r>
      <w:r>
        <w:fldChar w:fldCharType="separate"/>
      </w:r>
      <w:r>
        <w:t>18</w:t>
      </w:r>
      <w:r>
        <w:fldChar w:fldCharType="end"/>
      </w:r>
      <w:r>
        <w:rPr>
          <w:rStyle w:val="16"/>
        </w:rPr>
        <w:fldChar w:fldCharType="end"/>
      </w:r>
    </w:p>
    <w:p>
      <w:pPr>
        <w:pStyle w:val="10"/>
        <w:tabs>
          <w:tab w:val="left" w:pos="630"/>
          <w:tab w:val="right" w:leader="dot" w:pos="9365"/>
          <w:tab w:val="clear" w:pos="9062"/>
        </w:tabs>
        <w:rPr>
          <w:rFonts w:ascii="等线" w:hAnsi="等线" w:eastAsia="等线"/>
          <w:kern w:val="2"/>
          <w:sz w:val="21"/>
          <w:szCs w:val="22"/>
        </w:rPr>
      </w:pPr>
      <w:r>
        <w:rPr>
          <w:rStyle w:val="16"/>
        </w:rPr>
        <w:fldChar w:fldCharType="begin"/>
      </w:r>
      <w:r>
        <w:rPr>
          <w:rStyle w:val="16"/>
        </w:rPr>
        <w:instrText xml:space="preserve"> </w:instrText>
      </w:r>
      <w:r>
        <w:instrText xml:space="preserve">HYPERLINK \l "_Toc98779762"</w:instrText>
      </w:r>
      <w:r>
        <w:rPr>
          <w:rStyle w:val="16"/>
        </w:rPr>
        <w:instrText xml:space="preserve"> </w:instrText>
      </w:r>
      <w:r>
        <w:rPr>
          <w:rStyle w:val="16"/>
        </w:rPr>
        <w:fldChar w:fldCharType="separate"/>
      </w:r>
      <w:r>
        <w:rPr>
          <w:rStyle w:val="16"/>
          <w:snapToGrid w:val="0"/>
        </w:rPr>
        <w:t>V.</w:t>
      </w:r>
      <w:r>
        <w:rPr>
          <w:rFonts w:ascii="等线" w:hAnsi="等线" w:eastAsia="等线"/>
          <w:kern w:val="2"/>
          <w:sz w:val="21"/>
          <w:szCs w:val="22"/>
        </w:rPr>
        <w:tab/>
      </w:r>
      <w:r>
        <w:rPr>
          <w:rStyle w:val="16"/>
          <w:rFonts w:hint="eastAsia"/>
          <w:snapToGrid w:val="0"/>
        </w:rPr>
        <w:t>获益</w:t>
      </w:r>
      <w:r>
        <w:rPr>
          <w:rStyle w:val="16"/>
          <w:snapToGrid w:val="0"/>
        </w:rPr>
        <w:t>-</w:t>
      </w:r>
      <w:r>
        <w:rPr>
          <w:rStyle w:val="16"/>
          <w:rFonts w:hint="eastAsia"/>
          <w:snapToGrid w:val="0"/>
        </w:rPr>
        <w:t>风险评估示例</w:t>
      </w:r>
      <w:r>
        <w:tab/>
      </w:r>
      <w:r>
        <w:fldChar w:fldCharType="begin"/>
      </w:r>
      <w:r>
        <w:instrText xml:space="preserve"> PAGEREF _Toc98779762 \h </w:instrText>
      </w:r>
      <w:r>
        <w:fldChar w:fldCharType="separate"/>
      </w:r>
      <w:r>
        <w:t>19</w:t>
      </w:r>
      <w:r>
        <w:fldChar w:fldCharType="end"/>
      </w:r>
      <w:r>
        <w:rPr>
          <w:rStyle w:val="16"/>
        </w:rPr>
        <w:fldChar w:fldCharType="end"/>
      </w:r>
    </w:p>
    <w:p>
      <w:pPr>
        <w:pStyle w:val="12"/>
        <w:tabs>
          <w:tab w:val="right" w:leader="dot" w:pos="9365"/>
          <w:tab w:val="clear" w:pos="9062"/>
        </w:tabs>
        <w:spacing w:after="120"/>
        <w:ind w:left="300"/>
        <w:rPr>
          <w:rFonts w:ascii="等线" w:hAnsi="等线" w:eastAsia="等线"/>
          <w:kern w:val="2"/>
          <w:sz w:val="21"/>
          <w:szCs w:val="22"/>
        </w:rPr>
      </w:pPr>
      <w:r>
        <w:rPr>
          <w:rStyle w:val="16"/>
        </w:rPr>
        <w:fldChar w:fldCharType="begin"/>
      </w:r>
      <w:r>
        <w:rPr>
          <w:rStyle w:val="16"/>
        </w:rPr>
        <w:instrText xml:space="preserve"> </w:instrText>
      </w:r>
      <w:r>
        <w:instrText xml:space="preserve">HYPERLINK \l "_Toc98779763"</w:instrText>
      </w:r>
      <w:r>
        <w:rPr>
          <w:rStyle w:val="16"/>
        </w:rPr>
        <w:instrText xml:space="preserve"> </w:instrText>
      </w:r>
      <w:r>
        <w:rPr>
          <w:rStyle w:val="16"/>
        </w:rPr>
        <w:fldChar w:fldCharType="separate"/>
      </w:r>
      <w:r>
        <w:rPr>
          <w:rStyle w:val="16"/>
          <w:snapToGrid w:val="0"/>
        </w:rPr>
        <w:t>A.</w:t>
      </w:r>
      <w:r>
        <w:rPr>
          <w:rFonts w:ascii="等线" w:hAnsi="等线" w:eastAsia="等线"/>
          <w:kern w:val="2"/>
          <w:sz w:val="21"/>
          <w:szCs w:val="22"/>
        </w:rPr>
        <w:tab/>
      </w:r>
      <w:r>
        <w:rPr>
          <w:rStyle w:val="16"/>
          <w:rFonts w:hint="eastAsia"/>
          <w:snapToGrid w:val="0"/>
        </w:rPr>
        <w:t>示例</w:t>
      </w:r>
      <w:r>
        <w:rPr>
          <w:rStyle w:val="16"/>
          <w:snapToGrid w:val="0"/>
        </w:rPr>
        <w:t>1</w:t>
      </w:r>
      <w:r>
        <w:rPr>
          <w:rStyle w:val="16"/>
          <w:rFonts w:hint="eastAsia"/>
          <w:snapToGrid w:val="0"/>
        </w:rPr>
        <w:t>：器械设计改变</w:t>
      </w:r>
      <w:r>
        <w:tab/>
      </w:r>
      <w:r>
        <w:fldChar w:fldCharType="begin"/>
      </w:r>
      <w:r>
        <w:instrText xml:space="preserve"> PAGEREF _Toc98779763 \h </w:instrText>
      </w:r>
      <w:r>
        <w:fldChar w:fldCharType="separate"/>
      </w:r>
      <w:r>
        <w:t>19</w:t>
      </w:r>
      <w:r>
        <w:fldChar w:fldCharType="end"/>
      </w:r>
      <w:r>
        <w:rPr>
          <w:rStyle w:val="16"/>
        </w:rPr>
        <w:fldChar w:fldCharType="end"/>
      </w:r>
    </w:p>
    <w:p>
      <w:pPr>
        <w:pStyle w:val="12"/>
        <w:tabs>
          <w:tab w:val="right" w:leader="dot" w:pos="9365"/>
          <w:tab w:val="clear" w:pos="9062"/>
        </w:tabs>
        <w:spacing w:after="120"/>
        <w:ind w:left="300"/>
        <w:rPr>
          <w:rFonts w:ascii="等线" w:hAnsi="等线" w:eastAsia="等线"/>
          <w:kern w:val="2"/>
          <w:sz w:val="21"/>
          <w:szCs w:val="22"/>
        </w:rPr>
      </w:pPr>
      <w:r>
        <w:rPr>
          <w:rStyle w:val="16"/>
        </w:rPr>
        <w:fldChar w:fldCharType="begin"/>
      </w:r>
      <w:r>
        <w:rPr>
          <w:rStyle w:val="16"/>
        </w:rPr>
        <w:instrText xml:space="preserve"> </w:instrText>
      </w:r>
      <w:r>
        <w:instrText xml:space="preserve">HYPERLINK \l "_Toc98779764"</w:instrText>
      </w:r>
      <w:r>
        <w:rPr>
          <w:rStyle w:val="16"/>
        </w:rPr>
        <w:instrText xml:space="preserve"> </w:instrText>
      </w:r>
      <w:r>
        <w:rPr>
          <w:rStyle w:val="16"/>
        </w:rPr>
        <w:fldChar w:fldCharType="separate"/>
      </w:r>
      <w:r>
        <w:rPr>
          <w:rStyle w:val="16"/>
          <w:snapToGrid w:val="0"/>
        </w:rPr>
        <w:t>B.</w:t>
      </w:r>
      <w:r>
        <w:rPr>
          <w:rFonts w:ascii="等线" w:hAnsi="等线" w:eastAsia="等线"/>
          <w:kern w:val="2"/>
          <w:sz w:val="21"/>
          <w:szCs w:val="22"/>
        </w:rPr>
        <w:tab/>
      </w:r>
      <w:r>
        <w:rPr>
          <w:rStyle w:val="16"/>
          <w:rFonts w:hint="eastAsia"/>
          <w:snapToGrid w:val="0"/>
        </w:rPr>
        <w:t>示例</w:t>
      </w:r>
      <w:r>
        <w:rPr>
          <w:rStyle w:val="16"/>
          <w:snapToGrid w:val="0"/>
        </w:rPr>
        <w:t>2</w:t>
      </w:r>
      <w:r>
        <w:rPr>
          <w:rStyle w:val="16"/>
          <w:rFonts w:hint="eastAsia"/>
          <w:snapToGrid w:val="0"/>
        </w:rPr>
        <w:t>：技术改变和操作原理的可能改变</w:t>
      </w:r>
      <w:r>
        <w:tab/>
      </w:r>
      <w:r>
        <w:fldChar w:fldCharType="begin"/>
      </w:r>
      <w:r>
        <w:instrText xml:space="preserve"> PAGEREF _Toc98779764 \h </w:instrText>
      </w:r>
      <w:r>
        <w:fldChar w:fldCharType="separate"/>
      </w:r>
      <w:r>
        <w:t>20</w:t>
      </w:r>
      <w:r>
        <w:fldChar w:fldCharType="end"/>
      </w:r>
      <w:r>
        <w:rPr>
          <w:rStyle w:val="16"/>
        </w:rPr>
        <w:fldChar w:fldCharType="end"/>
      </w:r>
    </w:p>
    <w:p>
      <w:pPr>
        <w:pStyle w:val="12"/>
        <w:tabs>
          <w:tab w:val="right" w:leader="dot" w:pos="9365"/>
          <w:tab w:val="clear" w:pos="9062"/>
        </w:tabs>
        <w:spacing w:after="120"/>
        <w:ind w:left="300"/>
        <w:rPr>
          <w:rFonts w:ascii="等线" w:hAnsi="等线" w:eastAsia="等线"/>
          <w:kern w:val="2"/>
          <w:sz w:val="21"/>
          <w:szCs w:val="22"/>
        </w:rPr>
      </w:pPr>
      <w:r>
        <w:rPr>
          <w:rStyle w:val="16"/>
        </w:rPr>
        <w:fldChar w:fldCharType="begin"/>
      </w:r>
      <w:r>
        <w:rPr>
          <w:rStyle w:val="16"/>
        </w:rPr>
        <w:instrText xml:space="preserve"> </w:instrText>
      </w:r>
      <w:r>
        <w:instrText xml:space="preserve">HYPERLINK \l "_Toc98779765"</w:instrText>
      </w:r>
      <w:r>
        <w:rPr>
          <w:rStyle w:val="16"/>
        </w:rPr>
        <w:instrText xml:space="preserve"> </w:instrText>
      </w:r>
      <w:r>
        <w:rPr>
          <w:rStyle w:val="16"/>
        </w:rPr>
        <w:fldChar w:fldCharType="separate"/>
      </w:r>
      <w:r>
        <w:rPr>
          <w:rStyle w:val="16"/>
          <w:snapToGrid w:val="0"/>
        </w:rPr>
        <w:t>C.</w:t>
      </w:r>
      <w:r>
        <w:rPr>
          <w:rFonts w:ascii="等线" w:hAnsi="等线" w:eastAsia="等线"/>
          <w:kern w:val="2"/>
          <w:sz w:val="21"/>
          <w:szCs w:val="22"/>
        </w:rPr>
        <w:tab/>
      </w:r>
      <w:r>
        <w:rPr>
          <w:rStyle w:val="16"/>
          <w:rFonts w:hint="eastAsia"/>
          <w:snapToGrid w:val="0"/>
        </w:rPr>
        <w:t>示例</w:t>
      </w:r>
      <w:r>
        <w:rPr>
          <w:rStyle w:val="16"/>
          <w:snapToGrid w:val="0"/>
        </w:rPr>
        <w:t>3</w:t>
      </w:r>
      <w:r>
        <w:rPr>
          <w:rStyle w:val="16"/>
          <w:rFonts w:hint="eastAsia"/>
          <w:snapToGrid w:val="0"/>
        </w:rPr>
        <w:t>：具有较高故障风险的新器械</w:t>
      </w:r>
      <w:r>
        <w:tab/>
      </w:r>
      <w:r>
        <w:fldChar w:fldCharType="begin"/>
      </w:r>
      <w:r>
        <w:instrText xml:space="preserve"> PAGEREF _Toc98779765 \h </w:instrText>
      </w:r>
      <w:r>
        <w:fldChar w:fldCharType="separate"/>
      </w:r>
      <w:r>
        <w:t>21</w:t>
      </w:r>
      <w:r>
        <w:fldChar w:fldCharType="end"/>
      </w:r>
      <w:r>
        <w:rPr>
          <w:rStyle w:val="16"/>
        </w:rPr>
        <w:fldChar w:fldCharType="end"/>
      </w:r>
    </w:p>
    <w:p>
      <w:pPr>
        <w:pStyle w:val="12"/>
        <w:tabs>
          <w:tab w:val="right" w:leader="dot" w:pos="9365"/>
          <w:tab w:val="clear" w:pos="9062"/>
        </w:tabs>
        <w:spacing w:after="120"/>
        <w:ind w:left="300"/>
        <w:rPr>
          <w:rFonts w:ascii="等线" w:hAnsi="等线" w:eastAsia="等线"/>
          <w:kern w:val="2"/>
          <w:sz w:val="21"/>
          <w:szCs w:val="22"/>
        </w:rPr>
      </w:pPr>
      <w:r>
        <w:rPr>
          <w:rStyle w:val="16"/>
        </w:rPr>
        <w:fldChar w:fldCharType="begin"/>
      </w:r>
      <w:r>
        <w:rPr>
          <w:rStyle w:val="16"/>
        </w:rPr>
        <w:instrText xml:space="preserve"> </w:instrText>
      </w:r>
      <w:r>
        <w:instrText xml:space="preserve">HYPERLINK \l "_Toc98779766"</w:instrText>
      </w:r>
      <w:r>
        <w:rPr>
          <w:rStyle w:val="16"/>
        </w:rPr>
        <w:instrText xml:space="preserve"> </w:instrText>
      </w:r>
      <w:r>
        <w:rPr>
          <w:rStyle w:val="16"/>
        </w:rPr>
        <w:fldChar w:fldCharType="separate"/>
      </w:r>
      <w:r>
        <w:rPr>
          <w:rStyle w:val="16"/>
          <w:snapToGrid w:val="0"/>
        </w:rPr>
        <w:t>D.</w:t>
      </w:r>
      <w:r>
        <w:rPr>
          <w:rFonts w:ascii="等线" w:hAnsi="等线" w:eastAsia="等线"/>
          <w:kern w:val="2"/>
          <w:sz w:val="21"/>
          <w:szCs w:val="22"/>
        </w:rPr>
        <w:tab/>
      </w:r>
      <w:r>
        <w:rPr>
          <w:rStyle w:val="16"/>
          <w:rFonts w:hint="eastAsia"/>
          <w:snapToGrid w:val="0"/>
        </w:rPr>
        <w:t>示例</w:t>
      </w:r>
      <w:r>
        <w:rPr>
          <w:rStyle w:val="16"/>
          <w:snapToGrid w:val="0"/>
        </w:rPr>
        <w:t>4</w:t>
      </w:r>
      <w:r>
        <w:rPr>
          <w:rStyle w:val="16"/>
          <w:rFonts w:hint="eastAsia"/>
          <w:snapToGrid w:val="0"/>
        </w:rPr>
        <w:t>：材料差异导致不同器件性能</w:t>
      </w:r>
      <w:r>
        <w:tab/>
      </w:r>
      <w:r>
        <w:fldChar w:fldCharType="begin"/>
      </w:r>
      <w:r>
        <w:instrText xml:space="preserve"> PAGEREF _Toc98779766 \h </w:instrText>
      </w:r>
      <w:r>
        <w:fldChar w:fldCharType="separate"/>
      </w:r>
      <w:r>
        <w:t>23</w:t>
      </w:r>
      <w:r>
        <w:fldChar w:fldCharType="end"/>
      </w:r>
      <w:r>
        <w:rPr>
          <w:rStyle w:val="16"/>
        </w:rPr>
        <w:fldChar w:fldCharType="end"/>
      </w:r>
    </w:p>
    <w:p>
      <w:pPr>
        <w:pStyle w:val="12"/>
        <w:tabs>
          <w:tab w:val="right" w:leader="dot" w:pos="9365"/>
          <w:tab w:val="clear" w:pos="9062"/>
        </w:tabs>
        <w:spacing w:after="120"/>
        <w:ind w:left="300"/>
        <w:rPr>
          <w:rFonts w:ascii="等线" w:hAnsi="等线" w:eastAsia="等线"/>
          <w:kern w:val="2"/>
          <w:sz w:val="21"/>
          <w:szCs w:val="22"/>
        </w:rPr>
      </w:pPr>
      <w:r>
        <w:rPr>
          <w:rStyle w:val="16"/>
        </w:rPr>
        <w:fldChar w:fldCharType="begin"/>
      </w:r>
      <w:r>
        <w:rPr>
          <w:rStyle w:val="16"/>
        </w:rPr>
        <w:instrText xml:space="preserve"> </w:instrText>
      </w:r>
      <w:r>
        <w:instrText xml:space="preserve">HYPERLINK \l "_Toc98779767"</w:instrText>
      </w:r>
      <w:r>
        <w:rPr>
          <w:rStyle w:val="16"/>
        </w:rPr>
        <w:instrText xml:space="preserve"> </w:instrText>
      </w:r>
      <w:r>
        <w:rPr>
          <w:rStyle w:val="16"/>
        </w:rPr>
        <w:fldChar w:fldCharType="separate"/>
      </w:r>
      <w:r>
        <w:rPr>
          <w:rStyle w:val="16"/>
          <w:snapToGrid w:val="0"/>
        </w:rPr>
        <w:t>E.</w:t>
      </w:r>
      <w:r>
        <w:rPr>
          <w:rFonts w:ascii="等线" w:hAnsi="等线" w:eastAsia="等线"/>
          <w:kern w:val="2"/>
          <w:sz w:val="21"/>
          <w:szCs w:val="22"/>
        </w:rPr>
        <w:tab/>
      </w:r>
      <w:r>
        <w:rPr>
          <w:rStyle w:val="16"/>
          <w:rFonts w:hint="eastAsia"/>
          <w:snapToGrid w:val="0"/>
        </w:rPr>
        <w:t>示例</w:t>
      </w:r>
      <w:r>
        <w:rPr>
          <w:rStyle w:val="16"/>
          <w:snapToGrid w:val="0"/>
        </w:rPr>
        <w:t>5</w:t>
      </w:r>
      <w:r>
        <w:rPr>
          <w:rStyle w:val="16"/>
          <w:rFonts w:hint="eastAsia"/>
          <w:snapToGrid w:val="0"/>
        </w:rPr>
        <w:t>：用不同的操作原理达到相同的治疗效果</w:t>
      </w:r>
      <w:r>
        <w:tab/>
      </w:r>
      <w:r>
        <w:fldChar w:fldCharType="begin"/>
      </w:r>
      <w:r>
        <w:instrText xml:space="preserve"> PAGEREF _Toc98779767 \h </w:instrText>
      </w:r>
      <w:r>
        <w:fldChar w:fldCharType="separate"/>
      </w:r>
      <w:r>
        <w:t>24</w:t>
      </w:r>
      <w:r>
        <w:fldChar w:fldCharType="end"/>
      </w:r>
      <w:r>
        <w:rPr>
          <w:rStyle w:val="16"/>
        </w:rPr>
        <w:fldChar w:fldCharType="end"/>
      </w:r>
    </w:p>
    <w:p>
      <w:pPr>
        <w:pStyle w:val="12"/>
        <w:tabs>
          <w:tab w:val="right" w:leader="dot" w:pos="9365"/>
          <w:tab w:val="clear" w:pos="9062"/>
        </w:tabs>
        <w:spacing w:after="120"/>
        <w:ind w:left="300"/>
        <w:rPr>
          <w:rFonts w:ascii="等线" w:hAnsi="等线" w:eastAsia="等线"/>
          <w:kern w:val="2"/>
          <w:sz w:val="21"/>
          <w:szCs w:val="22"/>
        </w:rPr>
      </w:pPr>
      <w:r>
        <w:rPr>
          <w:rStyle w:val="16"/>
        </w:rPr>
        <w:fldChar w:fldCharType="begin"/>
      </w:r>
      <w:r>
        <w:rPr>
          <w:rStyle w:val="16"/>
        </w:rPr>
        <w:instrText xml:space="preserve"> </w:instrText>
      </w:r>
      <w:r>
        <w:instrText xml:space="preserve">HYPERLINK \l "_Toc98779768"</w:instrText>
      </w:r>
      <w:r>
        <w:rPr>
          <w:rStyle w:val="16"/>
        </w:rPr>
        <w:instrText xml:space="preserve"> </w:instrText>
      </w:r>
      <w:r>
        <w:rPr>
          <w:rStyle w:val="16"/>
        </w:rPr>
        <w:fldChar w:fldCharType="separate"/>
      </w:r>
      <w:r>
        <w:rPr>
          <w:rStyle w:val="16"/>
          <w:snapToGrid w:val="0"/>
        </w:rPr>
        <w:t>F.</w:t>
      </w:r>
      <w:r>
        <w:rPr>
          <w:rFonts w:ascii="等线" w:hAnsi="等线" w:eastAsia="等线"/>
          <w:kern w:val="2"/>
          <w:sz w:val="21"/>
          <w:szCs w:val="22"/>
        </w:rPr>
        <w:tab/>
      </w:r>
      <w:r>
        <w:rPr>
          <w:rStyle w:val="16"/>
          <w:rFonts w:hint="eastAsia"/>
          <w:snapToGrid w:val="0"/>
        </w:rPr>
        <w:t>示例</w:t>
      </w:r>
      <w:r>
        <w:rPr>
          <w:rStyle w:val="16"/>
          <w:snapToGrid w:val="0"/>
        </w:rPr>
        <w:t>6</w:t>
      </w:r>
      <w:r>
        <w:rPr>
          <w:rStyle w:val="16"/>
          <w:rFonts w:hint="eastAsia"/>
          <w:snapToGrid w:val="0"/>
        </w:rPr>
        <w:t>：比较试验产生差异较大的结果</w:t>
      </w:r>
      <w:r>
        <w:tab/>
      </w:r>
      <w:r>
        <w:fldChar w:fldCharType="begin"/>
      </w:r>
      <w:r>
        <w:instrText xml:space="preserve"> PAGEREF _Toc98779768 \h </w:instrText>
      </w:r>
      <w:r>
        <w:fldChar w:fldCharType="separate"/>
      </w:r>
      <w:r>
        <w:t>25</w:t>
      </w:r>
      <w:r>
        <w:fldChar w:fldCharType="end"/>
      </w:r>
      <w:r>
        <w:rPr>
          <w:rStyle w:val="16"/>
        </w:rPr>
        <w:fldChar w:fldCharType="end"/>
      </w:r>
    </w:p>
    <w:p>
      <w:pPr>
        <w:snapToGrid w:val="0"/>
        <w:jc w:val="both"/>
        <w:rPr>
          <w:rFonts w:eastAsia="宋体"/>
          <w:snapToGrid w:val="0"/>
          <w:sz w:val="21"/>
          <w:szCs w:val="21"/>
        </w:rPr>
      </w:pPr>
      <w:r>
        <w:rPr>
          <w:b/>
          <w:sz w:val="21"/>
        </w:rPr>
        <w:fldChar w:fldCharType="end"/>
      </w:r>
    </w:p>
    <w:p>
      <w:pPr>
        <w:snapToGrid w:val="0"/>
        <w:jc w:val="both"/>
        <w:rPr>
          <w:rFonts w:eastAsia="宋体"/>
          <w:snapToGrid w:val="0"/>
          <w:sz w:val="21"/>
          <w:szCs w:val="21"/>
        </w:rPr>
        <w:sectPr>
          <w:pgSz w:w="11906" w:h="16838"/>
          <w:pgMar w:top="1134" w:right="1134" w:bottom="1134" w:left="1418" w:header="567" w:footer="567" w:gutter="0"/>
          <w:cols w:space="60" w:num="1"/>
          <w:docGrid w:linePitch="272" w:charSpace="0"/>
        </w:sectPr>
      </w:pPr>
    </w:p>
    <w:p>
      <w:pPr>
        <w:pBdr>
          <w:bottom w:val="single" w:color="auto" w:sz="4" w:space="1"/>
        </w:pBdr>
        <w:snapToGrid w:val="0"/>
        <w:jc w:val="center"/>
        <w:rPr>
          <w:rFonts w:eastAsia="宋体"/>
          <w:snapToGrid w:val="0"/>
          <w:color w:val="000000"/>
          <w:sz w:val="56"/>
          <w:szCs w:val="56"/>
        </w:rPr>
      </w:pPr>
      <w:bookmarkStart w:id="0" w:name="bookmark0"/>
      <w:r>
        <w:rPr>
          <w:rFonts w:eastAsia="宋体"/>
          <w:b/>
          <w:bCs/>
          <w:snapToGrid w:val="0"/>
          <w:color w:val="000000"/>
          <w:sz w:val="56"/>
          <w:szCs w:val="56"/>
        </w:rPr>
        <w:t>在确定上市前通知（510（k））中的实质等同性时应考虑的获益-风险因素具有不同的技术特征</w:t>
      </w:r>
    </w:p>
    <w:p>
      <w:pPr>
        <w:snapToGrid w:val="0"/>
        <w:jc w:val="center"/>
        <w:rPr>
          <w:rFonts w:eastAsia="宋体"/>
          <w:b/>
          <w:bCs/>
          <w:snapToGrid w:val="0"/>
          <w:color w:val="000000"/>
          <w:sz w:val="56"/>
          <w:szCs w:val="56"/>
        </w:rPr>
      </w:pPr>
      <w:r>
        <w:rPr>
          <w:rFonts w:eastAsia="宋体"/>
          <w:b/>
          <w:bCs/>
          <w:snapToGrid w:val="0"/>
          <w:color w:val="000000"/>
          <w:sz w:val="56"/>
          <w:szCs w:val="56"/>
        </w:rPr>
        <w:t>行业和美国食品药品监督管理局工作人员指南</w:t>
      </w:r>
    </w:p>
    <w:p>
      <w:pPr>
        <w:snapToGrid w:val="0"/>
        <w:jc w:val="center"/>
        <w:rPr>
          <w:rFonts w:eastAsia="宋体"/>
          <w:b/>
          <w:bCs/>
          <w:snapToGrid w:val="0"/>
          <w:color w:val="000000"/>
          <w:sz w:val="24"/>
          <w:szCs w:val="24"/>
        </w:rPr>
      </w:pPr>
    </w:p>
    <w:bookmarkEnd w:id="0"/>
    <w:p>
      <w:pPr>
        <w:pBdr>
          <w:top w:val="thinThickThinSmallGap" w:color="auto" w:sz="24" w:space="1"/>
          <w:left w:val="thinThickThinSmallGap" w:color="auto" w:sz="24" w:space="4"/>
          <w:bottom w:val="thinThickThinSmallGap" w:color="auto" w:sz="24" w:space="1"/>
          <w:right w:val="thinThickThinSmallGap" w:color="auto" w:sz="24" w:space="4"/>
        </w:pBdr>
        <w:snapToGrid w:val="0"/>
        <w:ind w:firstLine="482" w:firstLineChars="200"/>
        <w:jc w:val="both"/>
        <w:rPr>
          <w:rFonts w:eastAsia="宋体"/>
          <w:snapToGrid w:val="0"/>
          <w:sz w:val="24"/>
          <w:szCs w:val="24"/>
        </w:rPr>
      </w:pPr>
      <w:r>
        <w:rPr>
          <w:rFonts w:hint="eastAsia" w:eastAsia="宋体"/>
          <w:b/>
          <w:bCs/>
          <w:i/>
          <w:iCs/>
          <w:snapToGrid w:val="0"/>
          <w:color w:val="000000"/>
          <w:sz w:val="24"/>
          <w:szCs w:val="24"/>
        </w:rPr>
        <w:t>本指南代表美国食品药品监督管理局（FDA）对该主题的当前看法。本文件不赋予任何人任何权利，对FDA或公众不具有约束力。如果替代方法满足适用的情形和法规的要求，则贵司可使用替代方法。如需讨论替代方法，请联系标题页所列负责本指南的FDA工作人员或办公室。</w:t>
      </w:r>
    </w:p>
    <w:p>
      <w:pPr>
        <w:snapToGrid w:val="0"/>
        <w:jc w:val="both"/>
        <w:rPr>
          <w:rFonts w:eastAsia="宋体"/>
          <w:snapToGrid w:val="0"/>
          <w:sz w:val="24"/>
          <w:szCs w:val="24"/>
        </w:rPr>
      </w:pPr>
    </w:p>
    <w:p>
      <w:pPr>
        <w:pStyle w:val="2"/>
        <w:spacing w:before="0" w:beforeLines="0" w:after="0" w:afterLines="0"/>
        <w:rPr>
          <w:sz w:val="32"/>
        </w:rPr>
      </w:pPr>
      <w:bookmarkStart w:id="1" w:name="_Toc98779738"/>
      <w:bookmarkStart w:id="2" w:name="_Toc97472518"/>
      <w:r>
        <w:rPr>
          <w:sz w:val="32"/>
        </w:rPr>
        <w:t>I.</w:t>
      </w:r>
      <w:r>
        <w:rPr>
          <w:sz w:val="32"/>
        </w:rPr>
        <w:tab/>
      </w:r>
      <w:r>
        <w:rPr>
          <w:rFonts w:hint="eastAsia"/>
          <w:sz w:val="32"/>
        </w:rPr>
        <w:t>前</w:t>
      </w:r>
      <w:r>
        <w:rPr>
          <w:rFonts w:hint="eastAsia"/>
          <w:sz w:val="32"/>
        </w:rPr>
        <w:t>言</w:t>
      </w:r>
      <w:bookmarkEnd w:id="1"/>
      <w:bookmarkEnd w:id="2"/>
    </w:p>
    <w:p>
      <w:pPr>
        <w:snapToGrid w:val="0"/>
        <w:ind w:firstLine="480" w:firstLineChars="200"/>
        <w:jc w:val="both"/>
        <w:rPr>
          <w:rFonts w:eastAsia="宋体"/>
          <w:snapToGrid w:val="0"/>
          <w:color w:val="000000"/>
          <w:sz w:val="24"/>
          <w:szCs w:val="24"/>
        </w:rPr>
      </w:pPr>
    </w:p>
    <w:p>
      <w:pPr>
        <w:snapToGrid w:val="0"/>
        <w:ind w:firstLine="480" w:firstLineChars="200"/>
        <w:jc w:val="both"/>
        <w:rPr>
          <w:rFonts w:eastAsia="宋体"/>
          <w:snapToGrid w:val="0"/>
          <w:color w:val="000000"/>
          <w:sz w:val="24"/>
          <w:szCs w:val="24"/>
        </w:rPr>
      </w:pPr>
      <w:r>
        <w:rPr>
          <w:rFonts w:eastAsia="宋体"/>
          <w:snapToGrid w:val="0"/>
          <w:color w:val="000000"/>
          <w:sz w:val="24"/>
          <w:szCs w:val="24"/>
        </w:rPr>
        <w:t>上市前通知申请（510（k））的申请人必须向美国食品药品监督管理局（FDA）证明</w:t>
      </w:r>
      <w:r>
        <w:rPr>
          <w:rFonts w:ascii="宋体" w:hAnsi="宋体" w:eastAsia="宋体"/>
          <w:snapToGrid w:val="0"/>
          <w:color w:val="000000"/>
          <w:sz w:val="24"/>
          <w:szCs w:val="24"/>
        </w:rPr>
        <w:t>“</w:t>
      </w:r>
      <w:r>
        <w:rPr>
          <w:rFonts w:eastAsia="宋体"/>
          <w:snapToGrid w:val="0"/>
          <w:color w:val="000000"/>
          <w:sz w:val="24"/>
          <w:szCs w:val="24"/>
        </w:rPr>
        <w:t>新器械</w:t>
      </w:r>
      <w:r>
        <w:rPr>
          <w:rFonts w:ascii="宋体" w:hAnsi="宋体" w:eastAsia="宋体"/>
          <w:snapToGrid w:val="0"/>
          <w:color w:val="000000"/>
          <w:sz w:val="24"/>
          <w:szCs w:val="24"/>
        </w:rPr>
        <w:t>”</w:t>
      </w:r>
      <w:r>
        <w:rPr>
          <w:rFonts w:eastAsia="宋体"/>
          <w:snapToGrid w:val="0"/>
          <w:color w:val="000000"/>
          <w:sz w:val="24"/>
          <w:szCs w:val="24"/>
        </w:rPr>
        <w:t>与合法上市的同品种器械</w:t>
      </w:r>
      <w:r>
        <w:rPr>
          <w:rFonts w:ascii="宋体" w:hAnsi="宋体" w:eastAsia="宋体"/>
          <w:snapToGrid w:val="0"/>
          <w:color w:val="000000"/>
          <w:sz w:val="24"/>
          <w:szCs w:val="24"/>
        </w:rPr>
        <w:t>“</w:t>
      </w:r>
      <w:r>
        <w:rPr>
          <w:rFonts w:eastAsia="宋体"/>
          <w:snapToGrid w:val="0"/>
          <w:color w:val="000000"/>
          <w:sz w:val="24"/>
          <w:szCs w:val="24"/>
        </w:rPr>
        <w:t>实质等同性</w:t>
      </w:r>
      <w:r>
        <w:rPr>
          <w:rFonts w:ascii="宋体" w:hAnsi="宋体" w:eastAsia="宋体"/>
          <w:snapToGrid w:val="0"/>
          <w:color w:val="000000"/>
          <w:sz w:val="24"/>
          <w:szCs w:val="24"/>
        </w:rPr>
        <w:t>”</w:t>
      </w:r>
      <w:r>
        <w:rPr>
          <w:rFonts w:eastAsia="宋体"/>
          <w:snapToGrid w:val="0"/>
          <w:color w:val="000000"/>
          <w:sz w:val="24"/>
          <w:szCs w:val="24"/>
        </w:rPr>
        <w:t>（SE）</w:t>
      </w:r>
      <w:r>
        <w:rPr>
          <w:rStyle w:val="18"/>
          <w:rFonts w:eastAsia="宋体"/>
          <w:snapToGrid w:val="0"/>
          <w:color w:val="000000"/>
          <w:sz w:val="24"/>
          <w:szCs w:val="24"/>
        </w:rPr>
        <w:footnoteReference w:id="0"/>
      </w:r>
      <w:r>
        <w:rPr>
          <w:rFonts w:eastAsia="宋体"/>
          <w:snapToGrid w:val="0"/>
          <w:color w:val="000000"/>
          <w:sz w:val="24"/>
          <w:szCs w:val="24"/>
        </w:rPr>
        <w:t>。</w:t>
      </w:r>
      <w:r>
        <w:rPr>
          <w:rStyle w:val="18"/>
          <w:rFonts w:eastAsia="宋体"/>
          <w:snapToGrid w:val="0"/>
          <w:color w:val="000000"/>
          <w:sz w:val="24"/>
          <w:szCs w:val="24"/>
        </w:rPr>
        <w:footnoteReference w:id="1"/>
      </w:r>
      <w:r>
        <w:rPr>
          <w:rFonts w:eastAsia="宋体"/>
          <w:snapToGrid w:val="0"/>
          <w:color w:val="000000"/>
          <w:sz w:val="24"/>
          <w:szCs w:val="24"/>
        </w:rPr>
        <w:t xml:space="preserve"> 本指南旨在帮助510（k）申请人证明实质等同性。本指南未对申请人增加新的监管要求，未改变510（k）的上市前审评标准，也没有对传统上在510（k）中提交的内容造成额外或新的负担。FDA制定该指南是为了提高510（k）上市前审评程序的可预测性、一致性和透明度。此外，本文件的目的是作为一种辅助工具来评估新器械与同品种器械相比的获益-风险状况。</w:t>
      </w:r>
    </w:p>
    <w:p>
      <w:pPr>
        <w:snapToGrid w:val="0"/>
        <w:ind w:firstLine="480" w:firstLineChars="200"/>
        <w:jc w:val="both"/>
        <w:rPr>
          <w:rFonts w:eastAsia="宋体"/>
          <w:snapToGrid w:val="0"/>
          <w:sz w:val="24"/>
          <w:szCs w:val="24"/>
        </w:rPr>
      </w:pPr>
    </w:p>
    <w:p>
      <w:pPr>
        <w:snapToGrid w:val="0"/>
        <w:ind w:firstLine="480" w:firstLineChars="200"/>
        <w:jc w:val="both"/>
        <w:rPr>
          <w:rFonts w:eastAsia="宋体"/>
          <w:snapToGrid w:val="0"/>
          <w:sz w:val="24"/>
          <w:szCs w:val="24"/>
        </w:rPr>
      </w:pPr>
      <w:r>
        <w:rPr>
          <w:rFonts w:eastAsia="宋体"/>
          <w:snapToGrid w:val="0"/>
          <w:color w:val="000000"/>
          <w:sz w:val="24"/>
          <w:szCs w:val="24"/>
        </w:rPr>
        <w:t>新器械的获益-风险无需与同品种器械完全相同，因为其与同品种器械具备SE。本文件旨在当新器械与同品种器械的获益-风险不同时提供指导。更具体地说，FDA认为该文件在以下情况下有帮助：比较新器械与同品种器械时，1）风险增加而获益增加或相等，或2）获益减少而风险减少或相等。在这些情况下，应进行获益-风险评估，来比较新器械与同品种器械的获益和风险。通过评估新器械是否与同品种器械</w:t>
      </w:r>
      <w:r>
        <w:rPr>
          <w:rFonts w:ascii="宋体" w:hAnsi="宋体" w:eastAsia="宋体"/>
          <w:snapToGrid w:val="0"/>
          <w:color w:val="000000"/>
          <w:sz w:val="24"/>
          <w:szCs w:val="24"/>
        </w:rPr>
        <w:t>“</w:t>
      </w:r>
      <w:r>
        <w:rPr>
          <w:rFonts w:eastAsia="宋体"/>
          <w:snapToGrid w:val="0"/>
          <w:color w:val="000000"/>
          <w:sz w:val="24"/>
          <w:szCs w:val="24"/>
        </w:rPr>
        <w:t>同样安全有效</w:t>
      </w:r>
      <w:r>
        <w:rPr>
          <w:rFonts w:ascii="宋体" w:hAnsi="宋体" w:eastAsia="宋体"/>
          <w:snapToGrid w:val="0"/>
          <w:color w:val="000000"/>
          <w:sz w:val="24"/>
          <w:szCs w:val="24"/>
        </w:rPr>
        <w:t>”</w:t>
      </w:r>
      <w:r>
        <w:rPr>
          <w:rFonts w:eastAsia="宋体"/>
          <w:snapToGrid w:val="0"/>
          <w:color w:val="000000"/>
          <w:sz w:val="24"/>
          <w:szCs w:val="24"/>
        </w:rPr>
        <w:t xml:space="preserve"> 这种评估可以帮助SE评价。</w:t>
      </w:r>
    </w:p>
    <w:p>
      <w:pPr>
        <w:snapToGrid w:val="0"/>
        <w:jc w:val="both"/>
        <w:rPr>
          <w:rFonts w:eastAsia="宋体"/>
          <w:snapToGrid w:val="0"/>
          <w:sz w:val="24"/>
          <w:szCs w:val="24"/>
        </w:rPr>
      </w:pPr>
    </w:p>
    <w:p>
      <w:pPr>
        <w:tabs>
          <w:tab w:val="left" w:pos="115"/>
        </w:tabs>
        <w:snapToGrid w:val="0"/>
        <w:jc w:val="both"/>
        <w:rPr>
          <w:rFonts w:eastAsia="宋体"/>
          <w:snapToGrid w:val="0"/>
          <w:color w:val="000000"/>
          <w:sz w:val="24"/>
          <w:szCs w:val="24"/>
          <w:vertAlign w:val="superscript"/>
        </w:rPr>
      </w:pPr>
    </w:p>
    <w:p>
      <w:pPr>
        <w:tabs>
          <w:tab w:val="left" w:pos="115"/>
        </w:tabs>
        <w:snapToGrid w:val="0"/>
        <w:jc w:val="both"/>
        <w:rPr>
          <w:rFonts w:eastAsia="宋体"/>
          <w:snapToGrid w:val="0"/>
          <w:sz w:val="24"/>
          <w:szCs w:val="24"/>
        </w:rPr>
        <w:sectPr>
          <w:footerReference r:id="rId5" w:type="default"/>
          <w:pgSz w:w="11906" w:h="16838"/>
          <w:pgMar w:top="1134" w:right="1134" w:bottom="1134" w:left="1418" w:header="567" w:footer="567" w:gutter="0"/>
          <w:cols w:space="60" w:num="1"/>
          <w:docGrid w:linePitch="272" w:charSpace="0"/>
        </w:sectPr>
      </w:pPr>
    </w:p>
    <w:p>
      <w:pPr>
        <w:snapToGrid w:val="0"/>
        <w:ind w:firstLine="480" w:firstLineChars="200"/>
        <w:jc w:val="both"/>
        <w:rPr>
          <w:rFonts w:eastAsia="宋体"/>
          <w:snapToGrid w:val="0"/>
          <w:color w:val="000000"/>
          <w:sz w:val="24"/>
          <w:szCs w:val="24"/>
        </w:rPr>
      </w:pPr>
      <w:r>
        <w:rPr>
          <w:rFonts w:eastAsia="宋体"/>
          <w:snapToGrid w:val="0"/>
          <w:color w:val="000000"/>
          <w:sz w:val="24"/>
          <w:szCs w:val="24"/>
        </w:rPr>
        <w:t>本指南和在SE背景下评估获益-风险因素的相关建议与FDA指南</w:t>
      </w:r>
      <w:r>
        <w:rPr>
          <w:rFonts w:ascii="宋体" w:hAnsi="宋体"/>
          <w:color w:val="000000"/>
          <w:sz w:val="24"/>
        </w:rPr>
        <w:t>“</w:t>
      </w:r>
      <w:r>
        <w:rPr>
          <w:rFonts w:eastAsia="宋体"/>
          <w:snapToGrid w:val="0"/>
          <w:color w:val="0000FF"/>
          <w:sz w:val="24"/>
          <w:szCs w:val="24"/>
          <w:u w:val="single"/>
        </w:rPr>
        <w:fldChar w:fldCharType="begin"/>
      </w:r>
      <w:r>
        <w:rPr>
          <w:rFonts w:eastAsia="宋体"/>
          <w:snapToGrid w:val="0"/>
          <w:color w:val="0000FF"/>
          <w:sz w:val="24"/>
          <w:szCs w:val="24"/>
          <w:u w:val="single"/>
        </w:rPr>
        <w:instrText xml:space="preserve"> HYPERLINK "https://www.fda.gov/MedicalDevices/DeviceRegulationandGuidance/GuidanceDocuments/UCM284443" </w:instrText>
      </w:r>
      <w:r>
        <w:rPr>
          <w:rFonts w:eastAsia="宋体"/>
          <w:snapToGrid w:val="0"/>
          <w:color w:val="0000FF"/>
          <w:sz w:val="24"/>
          <w:szCs w:val="24"/>
          <w:u w:val="single"/>
        </w:rPr>
        <w:fldChar w:fldCharType="separate"/>
      </w:r>
      <w:r>
        <w:rPr>
          <w:rStyle w:val="16"/>
          <w:rFonts w:eastAsia="宋体"/>
          <w:snapToGrid w:val="0"/>
          <w:color w:val="0000FF"/>
          <w:sz w:val="24"/>
          <w:szCs w:val="24"/>
        </w:rPr>
        <w:t>510（k）计划：评估上市前通知中的实质等同性</w:t>
      </w:r>
      <w:r>
        <w:rPr>
          <w:rStyle w:val="16"/>
          <w:rFonts w:hint="eastAsia" w:eastAsia="宋体"/>
          <w:snapToGrid w:val="0"/>
          <w:color w:val="0000FF"/>
          <w:sz w:val="24"/>
          <w:szCs w:val="24"/>
        </w:rPr>
        <w:t>[</w:t>
      </w:r>
      <w:r>
        <w:rPr>
          <w:rStyle w:val="16"/>
          <w:rFonts w:eastAsia="宋体"/>
          <w:snapToGrid w:val="0"/>
          <w:color w:val="0000FF"/>
          <w:sz w:val="24"/>
          <w:szCs w:val="24"/>
        </w:rPr>
        <w:t>510（k）</w:t>
      </w:r>
      <w:r>
        <w:rPr>
          <w:rStyle w:val="16"/>
          <w:rFonts w:hint="eastAsia" w:eastAsia="宋体"/>
          <w:snapToGrid w:val="0"/>
          <w:color w:val="0000FF"/>
          <w:sz w:val="24"/>
          <w:szCs w:val="24"/>
        </w:rPr>
        <w:t>]</w:t>
      </w:r>
      <w:r>
        <w:rPr>
          <w:rStyle w:val="16"/>
          <w:rFonts w:eastAsia="宋体"/>
          <w:snapToGrid w:val="0"/>
          <w:color w:val="0000FF"/>
          <w:sz w:val="24"/>
          <w:szCs w:val="24"/>
        </w:rPr>
        <w:t>》</w:t>
      </w:r>
      <w:r>
        <w:rPr>
          <w:rFonts w:eastAsia="宋体"/>
          <w:snapToGrid w:val="0"/>
          <w:color w:val="0000FF"/>
          <w:sz w:val="24"/>
          <w:szCs w:val="24"/>
          <w:u w:val="single"/>
        </w:rPr>
        <w:fldChar w:fldCharType="end"/>
      </w:r>
      <w:r>
        <w:rPr>
          <w:rFonts w:ascii="宋体" w:hAnsi="宋体" w:eastAsia="宋体"/>
          <w:snapToGrid w:val="0"/>
          <w:color w:val="000000"/>
          <w:sz w:val="24"/>
          <w:szCs w:val="24"/>
        </w:rPr>
        <w:t>”</w:t>
      </w:r>
      <w:r>
        <w:rPr>
          <w:rStyle w:val="18"/>
          <w:rFonts w:eastAsia="宋体"/>
          <w:snapToGrid w:val="0"/>
          <w:color w:val="000000"/>
          <w:sz w:val="24"/>
          <w:szCs w:val="24"/>
        </w:rPr>
        <w:footnoteReference w:id="2"/>
      </w:r>
      <w:r>
        <w:rPr>
          <w:rFonts w:eastAsia="宋体"/>
          <w:snapToGrid w:val="0"/>
          <w:color w:val="000000"/>
          <w:sz w:val="24"/>
          <w:szCs w:val="24"/>
        </w:rPr>
        <w:t>（以下简称《510（k）计划指南》）以及《FD&amp;C法案》和FDA相关指南中的最小负担条款具有一致性。</w:t>
      </w:r>
    </w:p>
    <w:p>
      <w:pPr>
        <w:snapToGrid w:val="0"/>
        <w:jc w:val="both"/>
        <w:rPr>
          <w:rFonts w:eastAsia="宋体"/>
          <w:snapToGrid w:val="0"/>
          <w:sz w:val="24"/>
          <w:szCs w:val="24"/>
        </w:rPr>
      </w:pPr>
    </w:p>
    <w:p>
      <w:pPr>
        <w:snapToGrid w:val="0"/>
        <w:ind w:firstLine="480" w:firstLineChars="200"/>
        <w:jc w:val="both"/>
        <w:rPr>
          <w:rFonts w:eastAsia="宋体"/>
          <w:snapToGrid w:val="0"/>
          <w:color w:val="000000"/>
          <w:sz w:val="24"/>
          <w:szCs w:val="24"/>
        </w:rPr>
      </w:pPr>
      <w:r>
        <w:rPr>
          <w:rFonts w:eastAsia="宋体"/>
          <w:snapToGrid w:val="0"/>
          <w:color w:val="000000"/>
          <w:sz w:val="24"/>
          <w:szCs w:val="24"/>
        </w:rPr>
        <w:t>FDA认识并预计到，FDA和行业可能需要长达60天的时间来开展活动，以落实指南中的政策。如果在本指南发布前或发布后60天内，FDA收到的510（k）申请中没有包括本指南中概述的获益-风险评估，FDA工作人员一般不会要求在审评510（k）文件时提供此类信息。但如果提交，FDA打算审评任何此类信息。</w:t>
      </w:r>
    </w:p>
    <w:p>
      <w:pPr>
        <w:snapToGrid w:val="0"/>
        <w:jc w:val="both"/>
        <w:rPr>
          <w:rFonts w:eastAsia="宋体"/>
          <w:snapToGrid w:val="0"/>
          <w:sz w:val="24"/>
          <w:szCs w:val="24"/>
        </w:rPr>
      </w:pPr>
    </w:p>
    <w:p>
      <w:pPr>
        <w:snapToGrid w:val="0"/>
        <w:ind w:firstLine="480" w:firstLineChars="200"/>
        <w:jc w:val="both"/>
        <w:rPr>
          <w:color w:val="000000"/>
          <w:sz w:val="24"/>
        </w:rPr>
      </w:pPr>
      <w:r>
        <w:rPr>
          <w:rFonts w:hint="eastAsia" w:eastAsia="宋体"/>
          <w:snapToGrid w:val="0"/>
          <w:color w:val="000000"/>
          <w:sz w:val="24"/>
          <w:szCs w:val="24"/>
        </w:rPr>
        <w:t>FDA指南文件，包括本指南，并未规定具有法律强制力的责任。相反，指南描述了FDA对该主题的当前看法，除非引用了具体监管或法定要求，否则应仅视为建议。FDA指南中使用的“</w:t>
      </w:r>
      <w:r>
        <w:rPr>
          <w:rFonts w:hint="eastAsia" w:eastAsia="宋体"/>
          <w:i/>
          <w:iCs/>
          <w:snapToGrid w:val="0"/>
          <w:color w:val="000000"/>
          <w:sz w:val="24"/>
          <w:szCs w:val="24"/>
        </w:rPr>
        <w:t>应该（should）</w:t>
      </w:r>
      <w:r>
        <w:rPr>
          <w:rFonts w:hint="eastAsia" w:eastAsia="宋体"/>
          <w:snapToGrid w:val="0"/>
          <w:color w:val="000000"/>
          <w:sz w:val="24"/>
          <w:szCs w:val="24"/>
        </w:rPr>
        <w:t>”一词指建议或推荐进行某一事项，并非强制要求。</w:t>
      </w:r>
    </w:p>
    <w:p>
      <w:pPr>
        <w:snapToGrid w:val="0"/>
        <w:ind w:firstLine="480" w:firstLineChars="200"/>
        <w:jc w:val="both"/>
        <w:rPr>
          <w:rFonts w:eastAsia="宋体"/>
          <w:snapToGrid w:val="0"/>
          <w:sz w:val="24"/>
          <w:szCs w:val="24"/>
        </w:rPr>
      </w:pPr>
    </w:p>
    <w:p>
      <w:pPr>
        <w:pStyle w:val="2"/>
        <w:spacing w:before="0" w:beforeLines="0" w:after="0" w:afterLines="0"/>
        <w:rPr>
          <w:sz w:val="32"/>
        </w:rPr>
      </w:pPr>
      <w:bookmarkStart w:id="3" w:name="bookmark2"/>
      <w:bookmarkStart w:id="4" w:name="_Toc98779739"/>
      <w:bookmarkStart w:id="5" w:name="_Toc97472519"/>
      <w:r>
        <w:rPr>
          <w:sz w:val="32"/>
        </w:rPr>
        <w:t>I</w:t>
      </w:r>
      <w:bookmarkEnd w:id="3"/>
      <w:r>
        <w:rPr>
          <w:sz w:val="32"/>
        </w:rPr>
        <w:t>I.</w:t>
      </w:r>
      <w:r>
        <w:rPr>
          <w:sz w:val="32"/>
        </w:rPr>
        <w:tab/>
      </w:r>
      <w:r>
        <w:rPr>
          <w:rFonts w:hint="eastAsia"/>
          <w:sz w:val="32"/>
        </w:rPr>
        <w:t>背景</w:t>
      </w:r>
      <w:bookmarkEnd w:id="4"/>
      <w:bookmarkEnd w:id="5"/>
    </w:p>
    <w:p>
      <w:pPr>
        <w:snapToGrid w:val="0"/>
        <w:jc w:val="both"/>
        <w:rPr>
          <w:rFonts w:eastAsia="宋体"/>
          <w:snapToGrid w:val="0"/>
          <w:sz w:val="28"/>
          <w:szCs w:val="28"/>
        </w:rPr>
      </w:pPr>
      <w:bookmarkStart w:id="6" w:name="_Toc98779740"/>
    </w:p>
    <w:p>
      <w:pPr>
        <w:pStyle w:val="3"/>
        <w:spacing w:before="0" w:beforeLines="0" w:after="0" w:afterLines="0"/>
        <w:ind w:left="1193" w:hanging="563"/>
        <w:rPr>
          <w:sz w:val="28"/>
        </w:rPr>
      </w:pPr>
      <w:bookmarkStart w:id="7" w:name="_Toc97472520"/>
      <w:r>
        <w:rPr>
          <w:sz w:val="28"/>
        </w:rPr>
        <w:t>A.</w:t>
      </w:r>
      <w:r>
        <w:rPr>
          <w:rFonts w:eastAsia="宋体"/>
          <w:snapToGrid w:val="0"/>
          <w:sz w:val="28"/>
          <w:szCs w:val="28"/>
        </w:rPr>
        <w:tab/>
      </w:r>
      <w:r>
        <w:rPr>
          <w:rFonts w:eastAsia="宋体"/>
          <w:snapToGrid w:val="0"/>
          <w:color w:val="000000"/>
          <w:sz w:val="28"/>
          <w:szCs w:val="28"/>
        </w:rPr>
        <w:t>实质等同性</w:t>
      </w:r>
      <w:r>
        <w:rPr>
          <w:rFonts w:hint="eastAsia"/>
          <w:sz w:val="28"/>
        </w:rPr>
        <w:t>的法定标准</w:t>
      </w:r>
      <w:bookmarkEnd w:id="6"/>
      <w:bookmarkEnd w:id="7"/>
    </w:p>
    <w:p>
      <w:pPr>
        <w:snapToGrid w:val="0"/>
        <w:jc w:val="both"/>
        <w:rPr>
          <w:rFonts w:eastAsia="宋体"/>
          <w:snapToGrid w:val="0"/>
          <w:color w:val="000000"/>
          <w:sz w:val="24"/>
          <w:szCs w:val="24"/>
        </w:rPr>
      </w:pPr>
    </w:p>
    <w:p>
      <w:pPr>
        <w:snapToGrid w:val="0"/>
        <w:ind w:firstLine="480" w:firstLineChars="200"/>
        <w:jc w:val="both"/>
        <w:rPr>
          <w:rFonts w:eastAsia="宋体"/>
          <w:snapToGrid w:val="0"/>
          <w:color w:val="000000"/>
          <w:sz w:val="24"/>
          <w:szCs w:val="24"/>
        </w:rPr>
      </w:pPr>
      <w:r>
        <w:rPr>
          <w:rFonts w:eastAsia="宋体"/>
          <w:snapToGrid w:val="0"/>
          <w:color w:val="000000"/>
          <w:sz w:val="24"/>
          <w:szCs w:val="24"/>
        </w:rPr>
        <w:t>寻求器械许可的申请人必须在其提交的510（k）申请中向FDA证明</w:t>
      </w:r>
      <w:r>
        <w:rPr>
          <w:rFonts w:ascii="宋体" w:hAnsi="宋体" w:eastAsia="宋体"/>
          <w:snapToGrid w:val="0"/>
          <w:color w:val="000000"/>
          <w:sz w:val="24"/>
          <w:szCs w:val="24"/>
        </w:rPr>
        <w:t>“</w:t>
      </w:r>
      <w:r>
        <w:rPr>
          <w:rFonts w:eastAsia="宋体"/>
          <w:snapToGrid w:val="0"/>
          <w:color w:val="000000"/>
          <w:sz w:val="24"/>
          <w:szCs w:val="24"/>
        </w:rPr>
        <w:t>新器械</w:t>
      </w:r>
      <w:r>
        <w:rPr>
          <w:rFonts w:ascii="宋体" w:hAnsi="宋体" w:eastAsia="宋体"/>
          <w:snapToGrid w:val="0"/>
          <w:color w:val="000000"/>
          <w:sz w:val="24"/>
          <w:szCs w:val="24"/>
        </w:rPr>
        <w:t>”</w:t>
      </w:r>
      <w:r>
        <w:rPr>
          <w:rFonts w:eastAsia="宋体"/>
          <w:snapToGrid w:val="0"/>
          <w:color w:val="000000"/>
          <w:sz w:val="24"/>
          <w:szCs w:val="24"/>
        </w:rPr>
        <w:t>与</w:t>
      </w:r>
      <w:r>
        <w:rPr>
          <w:rFonts w:ascii="宋体" w:hAnsi="宋体" w:eastAsia="宋体"/>
          <w:snapToGrid w:val="0"/>
          <w:color w:val="000000"/>
          <w:sz w:val="24"/>
          <w:szCs w:val="24"/>
        </w:rPr>
        <w:t>“</w:t>
      </w:r>
      <w:r>
        <w:rPr>
          <w:rFonts w:eastAsia="宋体"/>
          <w:snapToGrid w:val="0"/>
          <w:color w:val="000000"/>
          <w:sz w:val="24"/>
          <w:szCs w:val="24"/>
        </w:rPr>
        <w:t>同品种器械</w:t>
      </w:r>
      <w:r>
        <w:rPr>
          <w:rFonts w:ascii="宋体" w:hAnsi="宋体" w:eastAsia="宋体"/>
          <w:snapToGrid w:val="0"/>
          <w:color w:val="000000"/>
          <w:sz w:val="24"/>
          <w:szCs w:val="24"/>
        </w:rPr>
        <w:t>”</w:t>
      </w:r>
      <w:r>
        <w:rPr>
          <w:rFonts w:eastAsia="宋体"/>
          <w:snapToGrid w:val="0"/>
          <w:color w:val="000000"/>
          <w:sz w:val="24"/>
          <w:szCs w:val="24"/>
        </w:rPr>
        <w:t>为SE。在本指南中，</w:t>
      </w:r>
      <w:r>
        <w:rPr>
          <w:rFonts w:ascii="宋体" w:hAnsi="宋体" w:eastAsia="宋体"/>
          <w:snapToGrid w:val="0"/>
          <w:color w:val="000000"/>
          <w:sz w:val="24"/>
          <w:szCs w:val="24"/>
        </w:rPr>
        <w:t>“</w:t>
      </w:r>
      <w:r>
        <w:rPr>
          <w:rFonts w:eastAsia="宋体"/>
          <w:snapToGrid w:val="0"/>
          <w:color w:val="000000"/>
          <w:sz w:val="24"/>
          <w:szCs w:val="24"/>
        </w:rPr>
        <w:t>新器械</w:t>
      </w:r>
      <w:r>
        <w:rPr>
          <w:rFonts w:ascii="宋体" w:hAnsi="宋体" w:eastAsia="宋体"/>
          <w:snapToGrid w:val="0"/>
          <w:color w:val="000000"/>
          <w:sz w:val="24"/>
          <w:szCs w:val="24"/>
        </w:rPr>
        <w:t>”</w:t>
      </w:r>
      <w:r>
        <w:rPr>
          <w:rFonts w:eastAsia="宋体"/>
          <w:snapToGrid w:val="0"/>
          <w:color w:val="000000"/>
          <w:sz w:val="24"/>
          <w:szCs w:val="24"/>
        </w:rPr>
        <w:t>指《FD&amp;C法案》第201（h）条（21 U.S.C. § 321（h））意义上的、未合法上市的器械。它既可以是一个全新的器械，也可以是对合法上市的器械的修改，需要根据21 CFR 807.81的规定申请新的510（k）。</w:t>
      </w:r>
      <w:r>
        <w:rPr>
          <w:rFonts w:ascii="宋体" w:hAnsi="宋体" w:eastAsia="宋体"/>
          <w:snapToGrid w:val="0"/>
          <w:color w:val="000000"/>
          <w:sz w:val="24"/>
          <w:szCs w:val="24"/>
        </w:rPr>
        <w:t>“</w:t>
      </w:r>
      <w:r>
        <w:rPr>
          <w:rFonts w:eastAsia="宋体"/>
          <w:snapToGrid w:val="0"/>
          <w:color w:val="000000"/>
          <w:sz w:val="24"/>
          <w:szCs w:val="24"/>
        </w:rPr>
        <w:t>同品种器械</w:t>
      </w:r>
      <w:r>
        <w:rPr>
          <w:rFonts w:ascii="宋体" w:hAnsi="宋体" w:eastAsia="宋体"/>
          <w:snapToGrid w:val="0"/>
          <w:color w:val="000000"/>
          <w:sz w:val="24"/>
          <w:szCs w:val="24"/>
        </w:rPr>
        <w:t>”</w:t>
      </w:r>
      <w:r>
        <w:rPr>
          <w:rFonts w:eastAsia="宋体"/>
          <w:snapToGrid w:val="0"/>
          <w:color w:val="000000"/>
          <w:sz w:val="24"/>
          <w:szCs w:val="24"/>
        </w:rPr>
        <w:t>指（1）在1976年5月28日之前合法上市的器械（修正前器械），并且不需要申请上市前批准（PMA）</w:t>
      </w:r>
      <w:r>
        <w:rPr>
          <w:rStyle w:val="18"/>
          <w:rFonts w:eastAsia="宋体"/>
          <w:snapToGrid w:val="0"/>
          <w:color w:val="000000"/>
          <w:sz w:val="24"/>
          <w:szCs w:val="24"/>
        </w:rPr>
        <w:footnoteReference w:id="3"/>
      </w:r>
      <w:r>
        <w:rPr>
          <w:rFonts w:eastAsia="宋体"/>
          <w:snapToGrid w:val="0"/>
          <w:color w:val="000000"/>
          <w:sz w:val="24"/>
          <w:szCs w:val="24"/>
        </w:rPr>
        <w:t>；</w:t>
      </w:r>
      <w:r>
        <w:rPr>
          <w:rFonts w:eastAsia="宋体"/>
          <w:b/>
          <w:bCs/>
          <w:i/>
          <w:iCs/>
          <w:snapToGrid w:val="0"/>
          <w:color w:val="000000"/>
          <w:sz w:val="24"/>
          <w:szCs w:val="24"/>
        </w:rPr>
        <w:t>或</w:t>
      </w:r>
      <w:r>
        <w:rPr>
          <w:rFonts w:eastAsia="宋体"/>
          <w:snapToGrid w:val="0"/>
          <w:color w:val="000000"/>
          <w:sz w:val="24"/>
          <w:szCs w:val="24"/>
        </w:rPr>
        <w:t>（2）已分类或重新分类为I类或II类；</w:t>
      </w:r>
      <w:r>
        <w:rPr>
          <w:rStyle w:val="18"/>
          <w:rFonts w:eastAsia="宋体"/>
          <w:snapToGrid w:val="0"/>
          <w:color w:val="000000"/>
          <w:sz w:val="24"/>
          <w:szCs w:val="24"/>
        </w:rPr>
        <w:footnoteReference w:id="4"/>
      </w:r>
      <w:r>
        <w:rPr>
          <w:rFonts w:eastAsia="宋体"/>
          <w:snapToGrid w:val="0"/>
          <w:color w:val="000000"/>
          <w:sz w:val="24"/>
          <w:szCs w:val="24"/>
          <w:vertAlign w:val="superscript"/>
        </w:rPr>
        <w:t xml:space="preserve"> </w:t>
      </w:r>
      <w:r>
        <w:rPr>
          <w:rFonts w:eastAsia="宋体"/>
          <w:b/>
          <w:bCs/>
          <w:i/>
          <w:iCs/>
          <w:snapToGrid w:val="0"/>
          <w:color w:val="000000"/>
          <w:sz w:val="24"/>
          <w:szCs w:val="24"/>
        </w:rPr>
        <w:t>或</w:t>
      </w:r>
      <w:r>
        <w:rPr>
          <w:rFonts w:eastAsia="宋体"/>
          <w:snapToGrid w:val="0"/>
          <w:color w:val="000000"/>
          <w:sz w:val="24"/>
          <w:szCs w:val="24"/>
        </w:rPr>
        <w:t>（3）通过510（k）上市前审评程序认定为SE的。关于证明SE所需程序的更多信息，请参阅《510（k）计划指南》。</w:t>
      </w:r>
    </w:p>
    <w:p>
      <w:pPr>
        <w:snapToGrid w:val="0"/>
        <w:jc w:val="both"/>
        <w:rPr>
          <w:rFonts w:eastAsia="宋体"/>
          <w:snapToGrid w:val="0"/>
          <w:sz w:val="24"/>
          <w:szCs w:val="24"/>
        </w:rPr>
      </w:pPr>
    </w:p>
    <w:p>
      <w:pPr>
        <w:snapToGrid w:val="0"/>
        <w:ind w:firstLine="480" w:firstLineChars="200"/>
        <w:jc w:val="both"/>
        <w:rPr>
          <w:rFonts w:eastAsia="宋体"/>
          <w:snapToGrid w:val="0"/>
          <w:color w:val="000000"/>
          <w:sz w:val="24"/>
          <w:szCs w:val="24"/>
        </w:rPr>
      </w:pPr>
      <w:r>
        <w:rPr>
          <w:rFonts w:eastAsia="宋体"/>
          <w:snapToGrid w:val="0"/>
          <w:color w:val="000000"/>
          <w:sz w:val="24"/>
          <w:szCs w:val="24"/>
        </w:rPr>
        <w:t>在510（k）上市前审评中确定SE的标准载于《FD&amp;C法案》（21 U.S.C § 360c（i）（1）（A））的第513（i）（1）（A）条，其中规定。</w:t>
      </w:r>
    </w:p>
    <w:p>
      <w:pPr>
        <w:snapToGrid w:val="0"/>
        <w:jc w:val="both"/>
        <w:rPr>
          <w:rFonts w:eastAsia="宋体"/>
          <w:snapToGrid w:val="0"/>
          <w:sz w:val="24"/>
          <w:szCs w:val="24"/>
        </w:rPr>
      </w:pPr>
    </w:p>
    <w:p>
      <w:pPr>
        <w:snapToGrid w:val="0"/>
        <w:ind w:left="614" w:leftChars="307" w:firstLine="480" w:firstLineChars="200"/>
        <w:jc w:val="both"/>
        <w:rPr>
          <w:rFonts w:eastAsia="宋体"/>
          <w:snapToGrid w:val="0"/>
          <w:sz w:val="24"/>
          <w:szCs w:val="24"/>
        </w:rPr>
      </w:pPr>
      <w:r>
        <w:rPr>
          <w:rFonts w:hint="eastAsia" w:eastAsia="宋体"/>
          <w:snapToGrid w:val="0"/>
          <w:color w:val="000000"/>
          <w:sz w:val="24"/>
          <w:szCs w:val="24"/>
        </w:rPr>
        <w:t>“</w:t>
      </w:r>
      <w:r>
        <w:rPr>
          <w:rFonts w:eastAsia="宋体"/>
          <w:snapToGrid w:val="0"/>
          <w:color w:val="000000"/>
          <w:sz w:val="24"/>
          <w:szCs w:val="24"/>
        </w:rPr>
        <w:t>为了根据第（f）款和第520（l）条确定实质等同性，术语</w:t>
      </w:r>
      <w:r>
        <w:rPr>
          <w:rFonts w:ascii="宋体" w:hAnsi="宋体" w:eastAsia="宋体"/>
          <w:snapToGrid w:val="0"/>
          <w:color w:val="000000"/>
          <w:sz w:val="24"/>
          <w:szCs w:val="24"/>
        </w:rPr>
        <w:t>“</w:t>
      </w:r>
      <w:r>
        <w:rPr>
          <w:rFonts w:eastAsia="宋体"/>
          <w:snapToGrid w:val="0"/>
          <w:color w:val="000000"/>
          <w:sz w:val="24"/>
          <w:szCs w:val="24"/>
        </w:rPr>
        <w:t>实质等同</w:t>
      </w:r>
      <w:r>
        <w:rPr>
          <w:rFonts w:ascii="宋体" w:hAnsi="宋体" w:eastAsia="宋体"/>
          <w:snapToGrid w:val="0"/>
          <w:color w:val="000000"/>
          <w:sz w:val="24"/>
          <w:szCs w:val="24"/>
        </w:rPr>
        <w:t>”</w:t>
      </w:r>
      <w:r>
        <w:rPr>
          <w:rFonts w:eastAsia="宋体"/>
          <w:snapToGrid w:val="0"/>
          <w:color w:val="000000"/>
          <w:sz w:val="24"/>
          <w:szCs w:val="24"/>
        </w:rPr>
        <w:t>或</w:t>
      </w:r>
      <w:r>
        <w:rPr>
          <w:rFonts w:ascii="宋体" w:hAnsi="宋体" w:eastAsia="宋体"/>
          <w:snapToGrid w:val="0"/>
          <w:color w:val="000000"/>
          <w:sz w:val="24"/>
          <w:szCs w:val="24"/>
        </w:rPr>
        <w:t>“</w:t>
      </w:r>
      <w:r>
        <w:rPr>
          <w:rFonts w:eastAsia="宋体"/>
          <w:snapToGrid w:val="0"/>
          <w:color w:val="000000"/>
          <w:sz w:val="24"/>
          <w:szCs w:val="24"/>
        </w:rPr>
        <w:t>实质等同性</w:t>
      </w:r>
      <w:r>
        <w:rPr>
          <w:rFonts w:ascii="宋体" w:hAnsi="宋体" w:eastAsia="宋体"/>
          <w:snapToGrid w:val="0"/>
          <w:color w:val="000000"/>
          <w:sz w:val="24"/>
          <w:szCs w:val="24"/>
        </w:rPr>
        <w:t>”</w:t>
      </w:r>
      <w:r>
        <w:rPr>
          <w:rFonts w:eastAsia="宋体"/>
          <w:snapToGrid w:val="0"/>
          <w:color w:val="000000"/>
          <w:sz w:val="24"/>
          <w:szCs w:val="24"/>
        </w:rPr>
        <w:t>指当器械与同品种器械进行比较时，该器械具有与同品种器械相同的预期用途，并且部长通过命令认定该器械—</w:t>
      </w:r>
    </w:p>
    <w:p>
      <w:pPr>
        <w:tabs>
          <w:tab w:val="left" w:pos="115"/>
        </w:tabs>
        <w:snapToGrid w:val="0"/>
        <w:jc w:val="both"/>
        <w:rPr>
          <w:rFonts w:eastAsia="宋体"/>
          <w:snapToGrid w:val="0"/>
          <w:sz w:val="24"/>
          <w:szCs w:val="24"/>
        </w:rPr>
      </w:pPr>
    </w:p>
    <w:p>
      <w:pPr>
        <w:tabs>
          <w:tab w:val="left" w:pos="115"/>
        </w:tabs>
        <w:snapToGrid w:val="0"/>
        <w:jc w:val="both"/>
        <w:rPr>
          <w:sz w:val="24"/>
        </w:rPr>
        <w:sectPr>
          <w:pgSz w:w="11906" w:h="16838"/>
          <w:pgMar w:top="1134" w:right="1134" w:bottom="1134" w:left="1418" w:header="567" w:footer="567" w:gutter="0"/>
          <w:cols w:space="60" w:num="1"/>
          <w:docGrid w:linePitch="272" w:charSpace="0"/>
        </w:sectPr>
      </w:pPr>
    </w:p>
    <w:p>
      <w:pPr>
        <w:snapToGrid w:val="0"/>
        <w:ind w:left="614" w:leftChars="307"/>
        <w:jc w:val="both"/>
        <w:rPr>
          <w:rFonts w:eastAsia="宋体"/>
          <w:snapToGrid w:val="0"/>
          <w:sz w:val="24"/>
          <w:szCs w:val="24"/>
        </w:rPr>
      </w:pPr>
      <w:r>
        <w:rPr>
          <w:rFonts w:eastAsia="宋体"/>
          <w:snapToGrid w:val="0"/>
          <w:color w:val="000000"/>
          <w:sz w:val="24"/>
          <w:szCs w:val="24"/>
        </w:rPr>
        <w:t>（i）（具有与同品种器械相同的技术特征，或</w:t>
      </w:r>
    </w:p>
    <w:p>
      <w:pPr>
        <w:snapToGrid w:val="0"/>
        <w:ind w:left="614" w:leftChars="307"/>
        <w:jc w:val="both"/>
        <w:rPr>
          <w:rFonts w:eastAsia="宋体"/>
          <w:snapToGrid w:val="0"/>
          <w:color w:val="000000"/>
          <w:sz w:val="24"/>
          <w:szCs w:val="24"/>
        </w:rPr>
      </w:pPr>
    </w:p>
    <w:p>
      <w:pPr>
        <w:snapToGrid w:val="0"/>
        <w:ind w:left="614" w:leftChars="307"/>
        <w:jc w:val="both"/>
        <w:rPr>
          <w:rFonts w:eastAsia="宋体"/>
          <w:snapToGrid w:val="0"/>
          <w:sz w:val="24"/>
          <w:szCs w:val="24"/>
        </w:rPr>
      </w:pPr>
      <w:r>
        <w:rPr>
          <w:rFonts w:eastAsia="宋体"/>
          <w:snapToGrid w:val="0"/>
          <w:color w:val="000000"/>
          <w:sz w:val="24"/>
          <w:szCs w:val="24"/>
        </w:rPr>
        <w:t>（ii）（I）具有不同的技术特征，并且如果部长或根据第523条认可的人认为有必要的话，所提交的信息表明该器械实质上等同于同品种器械，包括适当的临床或科学数据，，同时这些信息表明该器械与合法上市的器械同样安全有效，并且（II）没有引起与同品种器械不同的安全有效性问题。</w:t>
      </w:r>
      <w:r>
        <w:rPr>
          <w:rFonts w:hint="eastAsia" w:eastAsia="宋体"/>
          <w:snapToGrid w:val="0"/>
          <w:color w:val="000000"/>
          <w:sz w:val="24"/>
          <w:szCs w:val="24"/>
        </w:rPr>
        <w:t>”</w:t>
      </w:r>
    </w:p>
    <w:p>
      <w:pPr>
        <w:snapToGrid w:val="0"/>
        <w:jc w:val="both"/>
        <w:rPr>
          <w:rFonts w:eastAsia="宋体"/>
          <w:snapToGrid w:val="0"/>
          <w:color w:val="000000"/>
          <w:sz w:val="24"/>
          <w:szCs w:val="24"/>
        </w:rPr>
      </w:pPr>
    </w:p>
    <w:p>
      <w:pPr>
        <w:snapToGrid w:val="0"/>
        <w:ind w:firstLine="480" w:firstLineChars="200"/>
        <w:jc w:val="both"/>
        <w:rPr>
          <w:rFonts w:eastAsia="宋体"/>
          <w:snapToGrid w:val="0"/>
          <w:color w:val="000000"/>
          <w:sz w:val="24"/>
          <w:szCs w:val="24"/>
        </w:rPr>
      </w:pPr>
      <w:r>
        <w:rPr>
          <w:rFonts w:eastAsia="宋体"/>
          <w:snapToGrid w:val="0"/>
          <w:color w:val="000000"/>
          <w:sz w:val="24"/>
          <w:szCs w:val="24"/>
        </w:rPr>
        <w:t>因此，为了发现新器械与同品种器械的SE，FDA首先必须发现这些器械具有</w:t>
      </w:r>
      <w:r>
        <w:rPr>
          <w:rFonts w:ascii="宋体" w:hAnsi="宋体" w:eastAsia="宋体"/>
          <w:snapToGrid w:val="0"/>
          <w:color w:val="000000"/>
          <w:sz w:val="24"/>
          <w:szCs w:val="24"/>
        </w:rPr>
        <w:t>“</w:t>
      </w:r>
      <w:r>
        <w:rPr>
          <w:rFonts w:eastAsia="宋体"/>
          <w:snapToGrid w:val="0"/>
          <w:color w:val="000000"/>
          <w:sz w:val="24"/>
          <w:szCs w:val="24"/>
        </w:rPr>
        <w:t>相同的预期用途</w:t>
      </w:r>
      <w:r>
        <w:rPr>
          <w:rFonts w:ascii="宋体" w:hAnsi="宋体" w:eastAsia="宋体"/>
          <w:snapToGrid w:val="0"/>
          <w:color w:val="000000"/>
          <w:sz w:val="24"/>
          <w:szCs w:val="24"/>
        </w:rPr>
        <w:t>”</w:t>
      </w:r>
      <w:r>
        <w:rPr>
          <w:rFonts w:eastAsia="宋体"/>
          <w:snapToGrid w:val="0"/>
          <w:color w:val="000000"/>
          <w:sz w:val="24"/>
          <w:szCs w:val="24"/>
        </w:rPr>
        <w:t>。然后，FDA必须确定这些器械具有</w:t>
      </w:r>
      <w:r>
        <w:rPr>
          <w:rFonts w:ascii="宋体" w:hAnsi="宋体" w:eastAsia="宋体"/>
          <w:snapToGrid w:val="0"/>
          <w:color w:val="000000"/>
          <w:sz w:val="24"/>
          <w:szCs w:val="24"/>
        </w:rPr>
        <w:t>“</w:t>
      </w:r>
      <w:r>
        <w:rPr>
          <w:rFonts w:eastAsia="宋体"/>
          <w:snapToGrid w:val="0"/>
          <w:color w:val="000000"/>
          <w:sz w:val="24"/>
          <w:szCs w:val="24"/>
        </w:rPr>
        <w:t>相同的技术特征</w:t>
      </w:r>
      <w:r>
        <w:rPr>
          <w:rFonts w:ascii="宋体" w:hAnsi="宋体" w:eastAsia="宋体"/>
          <w:snapToGrid w:val="0"/>
          <w:color w:val="000000"/>
          <w:sz w:val="24"/>
          <w:szCs w:val="24"/>
        </w:rPr>
        <w:t>”</w:t>
      </w:r>
      <w:r>
        <w:rPr>
          <w:rFonts w:eastAsia="宋体"/>
          <w:snapToGrid w:val="0"/>
          <w:color w:val="000000"/>
          <w:sz w:val="24"/>
          <w:szCs w:val="24"/>
        </w:rPr>
        <w:t>，或者任何技术特征的差异不会引起不同的安全有效性问题，并且该器械与同品种器械</w:t>
      </w:r>
      <w:r>
        <w:rPr>
          <w:rFonts w:ascii="宋体" w:hAnsi="宋体" w:eastAsia="宋体"/>
          <w:snapToGrid w:val="0"/>
          <w:color w:val="000000"/>
          <w:sz w:val="24"/>
          <w:szCs w:val="24"/>
        </w:rPr>
        <w:t>“</w:t>
      </w:r>
      <w:r>
        <w:rPr>
          <w:rFonts w:eastAsia="宋体"/>
          <w:snapToGrid w:val="0"/>
          <w:color w:val="000000"/>
          <w:sz w:val="24"/>
          <w:szCs w:val="24"/>
        </w:rPr>
        <w:t>同样安全有效</w:t>
      </w:r>
      <w:r>
        <w:rPr>
          <w:rFonts w:ascii="宋体" w:hAnsi="宋体" w:eastAsia="宋体"/>
          <w:snapToGrid w:val="0"/>
          <w:color w:val="000000"/>
          <w:sz w:val="24"/>
          <w:szCs w:val="24"/>
        </w:rPr>
        <w:t>”</w:t>
      </w:r>
      <w:r>
        <w:rPr>
          <w:rFonts w:eastAsia="宋体"/>
          <w:snapToGrid w:val="0"/>
          <w:color w:val="000000"/>
          <w:sz w:val="24"/>
          <w:szCs w:val="24"/>
        </w:rPr>
        <w:t>。</w:t>
      </w:r>
      <w:r>
        <w:rPr>
          <w:rFonts w:ascii="宋体" w:hAnsi="宋体" w:eastAsia="宋体"/>
          <w:snapToGrid w:val="0"/>
          <w:color w:val="000000"/>
          <w:sz w:val="24"/>
          <w:szCs w:val="24"/>
        </w:rPr>
        <w:t>“</w:t>
      </w:r>
      <w:r>
        <w:rPr>
          <w:rFonts w:eastAsia="宋体"/>
          <w:snapToGrid w:val="0"/>
          <w:color w:val="000000"/>
          <w:sz w:val="24"/>
          <w:szCs w:val="24"/>
        </w:rPr>
        <w:t>不同的技术特征</w:t>
      </w:r>
      <w:r>
        <w:rPr>
          <w:rFonts w:ascii="宋体" w:hAnsi="宋体" w:eastAsia="宋体"/>
          <w:snapToGrid w:val="0"/>
          <w:color w:val="000000"/>
          <w:sz w:val="24"/>
          <w:szCs w:val="24"/>
        </w:rPr>
        <w:t>”</w:t>
      </w:r>
      <w:r>
        <w:rPr>
          <w:rFonts w:eastAsia="宋体"/>
          <w:snapToGrid w:val="0"/>
          <w:color w:val="000000"/>
          <w:sz w:val="24"/>
          <w:szCs w:val="24"/>
        </w:rPr>
        <w:t>在《FD&amp;C法案》（21 U.S.C. § 360c（i）（1）（B））第513（i）（1）（B）条中有定义，其中规定：</w:t>
      </w:r>
    </w:p>
    <w:p>
      <w:pPr>
        <w:snapToGrid w:val="0"/>
        <w:jc w:val="both"/>
        <w:rPr>
          <w:rFonts w:eastAsia="宋体"/>
          <w:snapToGrid w:val="0"/>
          <w:sz w:val="24"/>
          <w:szCs w:val="24"/>
        </w:rPr>
      </w:pPr>
    </w:p>
    <w:p>
      <w:pPr>
        <w:snapToGrid w:val="0"/>
        <w:ind w:left="614" w:leftChars="307" w:firstLine="480" w:firstLineChars="200"/>
        <w:jc w:val="both"/>
        <w:rPr>
          <w:rFonts w:eastAsia="宋体"/>
          <w:snapToGrid w:val="0"/>
          <w:sz w:val="24"/>
          <w:szCs w:val="24"/>
        </w:rPr>
      </w:pPr>
      <w:r>
        <w:rPr>
          <w:rFonts w:ascii="宋体" w:hAnsi="宋体" w:eastAsia="宋体"/>
          <w:snapToGrid w:val="0"/>
          <w:color w:val="000000"/>
          <w:sz w:val="24"/>
          <w:szCs w:val="24"/>
        </w:rPr>
        <w:t>“</w:t>
      </w:r>
      <w:r>
        <w:rPr>
          <w:rFonts w:eastAsia="宋体"/>
          <w:snapToGrid w:val="0"/>
          <w:color w:val="000000"/>
          <w:sz w:val="24"/>
          <w:szCs w:val="24"/>
        </w:rPr>
        <w:t>……术语</w:t>
      </w:r>
      <w:r>
        <w:rPr>
          <w:rFonts w:ascii="宋体" w:hAnsi="宋体" w:eastAsia="宋体"/>
          <w:snapToGrid w:val="0"/>
          <w:color w:val="000000"/>
          <w:sz w:val="24"/>
          <w:szCs w:val="24"/>
        </w:rPr>
        <w:t>“</w:t>
      </w:r>
      <w:r>
        <w:rPr>
          <w:rFonts w:eastAsia="宋体"/>
          <w:snapToGrid w:val="0"/>
          <w:color w:val="000000"/>
          <w:sz w:val="24"/>
          <w:szCs w:val="24"/>
        </w:rPr>
        <w:t>不同技术特征</w:t>
      </w:r>
      <w:r>
        <w:rPr>
          <w:rFonts w:ascii="宋体" w:hAnsi="宋体" w:eastAsia="宋体"/>
          <w:snapToGrid w:val="0"/>
          <w:color w:val="000000"/>
          <w:sz w:val="24"/>
          <w:szCs w:val="24"/>
        </w:rPr>
        <w:t>”</w:t>
      </w:r>
      <w:r>
        <w:rPr>
          <w:rFonts w:eastAsia="宋体"/>
          <w:snapToGrid w:val="0"/>
          <w:color w:val="000000"/>
          <w:sz w:val="24"/>
          <w:szCs w:val="24"/>
        </w:rPr>
        <w:t>指，当一个器械与同品种的器械作比较时，该器械的材料、设计、能源或其他特征与同品种器械相比有重大变化。</w:t>
      </w:r>
      <w:r>
        <w:rPr>
          <w:rFonts w:ascii="宋体" w:hAnsi="宋体" w:eastAsia="宋体"/>
          <w:snapToGrid w:val="0"/>
          <w:color w:val="000000"/>
          <w:sz w:val="24"/>
          <w:szCs w:val="24"/>
        </w:rPr>
        <w:t>”</w:t>
      </w:r>
    </w:p>
    <w:p>
      <w:pPr>
        <w:snapToGrid w:val="0"/>
        <w:jc w:val="both"/>
        <w:rPr>
          <w:rFonts w:eastAsia="宋体"/>
          <w:snapToGrid w:val="0"/>
          <w:color w:val="000000"/>
          <w:sz w:val="24"/>
          <w:szCs w:val="24"/>
        </w:rPr>
      </w:pPr>
    </w:p>
    <w:p>
      <w:pPr>
        <w:snapToGrid w:val="0"/>
        <w:ind w:firstLine="480" w:firstLineChars="200"/>
        <w:jc w:val="both"/>
        <w:rPr>
          <w:rFonts w:eastAsia="宋体"/>
          <w:snapToGrid w:val="0"/>
          <w:color w:val="000000"/>
          <w:sz w:val="24"/>
          <w:szCs w:val="24"/>
        </w:rPr>
      </w:pPr>
      <w:r>
        <w:rPr>
          <w:rFonts w:eastAsia="宋体"/>
          <w:snapToGrid w:val="0"/>
          <w:color w:val="000000"/>
          <w:sz w:val="24"/>
          <w:szCs w:val="24"/>
        </w:rPr>
        <w:t>如果FDA确定新器械和同品种器械在技术特征上存在差异，并且不同的技术特征会引起不同的安全有效性问题，FDA将确定新器械是同品种器械的NSE。关于510（k）上市前审评过程中的关键决策点的更多信息，请参考510（k）计划指南附录A中的510（k）决策流程图（</w:t>
      </w:r>
      <w:r>
        <w:rPr>
          <w:rFonts w:hint="eastAsia"/>
          <w:b w:val="0"/>
          <w:color w:val="000000"/>
          <w:sz w:val="24"/>
        </w:rPr>
        <w:t>见</w:t>
      </w:r>
      <w:r>
        <w:rPr>
          <w:rFonts w:eastAsia="宋体"/>
          <w:b/>
          <w:bCs/>
          <w:snapToGrid w:val="0"/>
          <w:color w:val="000000"/>
          <w:sz w:val="24"/>
          <w:szCs w:val="24"/>
        </w:rPr>
        <w:t>图1</w:t>
      </w:r>
      <w:r>
        <w:rPr>
          <w:rFonts w:eastAsia="宋体"/>
          <w:snapToGrid w:val="0"/>
          <w:color w:val="000000"/>
          <w:sz w:val="24"/>
          <w:szCs w:val="24"/>
        </w:rPr>
        <w:t>中的改编流程图）。</w:t>
      </w:r>
    </w:p>
    <w:p>
      <w:pPr>
        <w:snapToGrid w:val="0"/>
        <w:ind w:firstLine="480" w:firstLineChars="200"/>
        <w:jc w:val="both"/>
        <w:rPr>
          <w:rFonts w:eastAsia="宋体"/>
          <w:snapToGrid w:val="0"/>
          <w:sz w:val="24"/>
          <w:szCs w:val="24"/>
        </w:rPr>
      </w:pPr>
    </w:p>
    <w:p>
      <w:pPr>
        <w:snapToGrid w:val="0"/>
        <w:ind w:firstLine="480" w:firstLineChars="200"/>
        <w:jc w:val="both"/>
        <w:rPr>
          <w:color w:val="000000"/>
          <w:sz w:val="24"/>
        </w:rPr>
      </w:pPr>
      <w:r>
        <w:rPr>
          <w:rFonts w:eastAsia="宋体"/>
          <w:snapToGrid w:val="0"/>
          <w:color w:val="000000"/>
          <w:sz w:val="24"/>
          <w:szCs w:val="24"/>
        </w:rPr>
        <w:t>如果FDA确定不同的技术特征不会引起不同的安全有效性问题，FDA随后将评估新器械和同品种器械之间技术特征的差异，以确定对安全有效性的影响（即，新器械是否与同品种器械</w:t>
      </w:r>
      <w:r>
        <w:rPr>
          <w:rFonts w:ascii="宋体" w:hAnsi="宋体" w:eastAsia="宋体"/>
          <w:snapToGrid w:val="0"/>
          <w:color w:val="000000"/>
          <w:sz w:val="24"/>
          <w:szCs w:val="24"/>
        </w:rPr>
        <w:t>“</w:t>
      </w:r>
      <w:r>
        <w:rPr>
          <w:rFonts w:eastAsia="宋体"/>
          <w:snapToGrid w:val="0"/>
          <w:color w:val="000000"/>
          <w:sz w:val="24"/>
          <w:szCs w:val="24"/>
        </w:rPr>
        <w:t>同样安全有效</w:t>
      </w:r>
      <w:r>
        <w:rPr>
          <w:rFonts w:ascii="宋体" w:hAnsi="宋体" w:eastAsia="宋体"/>
          <w:snapToGrid w:val="0"/>
          <w:color w:val="000000"/>
          <w:sz w:val="24"/>
          <w:szCs w:val="24"/>
        </w:rPr>
        <w:t>”</w:t>
      </w:r>
      <w:r>
        <w:rPr>
          <w:rFonts w:eastAsia="宋体"/>
          <w:snapToGrid w:val="0"/>
          <w:color w:val="000000"/>
          <w:sz w:val="24"/>
          <w:szCs w:val="24"/>
        </w:rPr>
        <w:t>）。如果申请人对自己的FDA批准的器械进行了修改，并提交了新的510（k）申请，FDA将评估这些修改和提交的信息，以确定修改后的器械是否仍然和同品种器械</w:t>
      </w:r>
      <w:r>
        <w:rPr>
          <w:rFonts w:ascii="宋体" w:hAnsi="宋体" w:eastAsia="宋体"/>
          <w:snapToGrid w:val="0"/>
          <w:color w:val="000000"/>
          <w:sz w:val="24"/>
          <w:szCs w:val="24"/>
        </w:rPr>
        <w:t>“</w:t>
      </w:r>
      <w:r>
        <w:rPr>
          <w:rFonts w:eastAsia="宋体"/>
          <w:snapToGrid w:val="0"/>
          <w:color w:val="000000"/>
          <w:sz w:val="24"/>
          <w:szCs w:val="24"/>
        </w:rPr>
        <w:t>同样安全有效</w:t>
      </w:r>
      <w:r>
        <w:rPr>
          <w:rFonts w:ascii="宋体" w:hAnsi="宋体" w:eastAsia="宋体"/>
          <w:snapToGrid w:val="0"/>
          <w:color w:val="000000"/>
          <w:sz w:val="24"/>
          <w:szCs w:val="24"/>
        </w:rPr>
        <w:t>”</w:t>
      </w:r>
      <w:r>
        <w:rPr>
          <w:rFonts w:eastAsia="宋体"/>
          <w:snapToGrid w:val="0"/>
          <w:color w:val="000000"/>
          <w:sz w:val="24"/>
          <w:szCs w:val="24"/>
        </w:rPr>
        <w:t>。在这种情况下，FDA的审评重点是对器械安全性和有效性修改的评估。</w:t>
      </w:r>
    </w:p>
    <w:p>
      <w:pPr>
        <w:snapToGrid w:val="0"/>
        <w:ind w:firstLine="480" w:firstLineChars="200"/>
        <w:jc w:val="both"/>
        <w:rPr>
          <w:rFonts w:eastAsia="宋体"/>
          <w:snapToGrid w:val="0"/>
          <w:sz w:val="24"/>
          <w:szCs w:val="24"/>
        </w:rPr>
      </w:pPr>
    </w:p>
    <w:p>
      <w:pPr>
        <w:snapToGrid w:val="0"/>
        <w:ind w:firstLine="480" w:firstLineChars="200"/>
        <w:jc w:val="both"/>
        <w:rPr>
          <w:rFonts w:eastAsia="宋体"/>
          <w:snapToGrid w:val="0"/>
          <w:color w:val="000000"/>
          <w:sz w:val="24"/>
          <w:szCs w:val="24"/>
        </w:rPr>
      </w:pPr>
      <w:r>
        <w:rPr>
          <w:rFonts w:eastAsia="宋体"/>
          <w:snapToGrid w:val="0"/>
          <w:color w:val="000000"/>
          <w:sz w:val="24"/>
          <w:szCs w:val="24"/>
        </w:rPr>
        <w:t>根据《FD&amp;C法案》第513（a）（2）条（21 U.S.C. § 360c（a）（2）），FDA通过</w:t>
      </w:r>
      <w:r>
        <w:rPr>
          <w:rFonts w:ascii="宋体" w:hAnsi="宋体" w:eastAsia="宋体"/>
          <w:snapToGrid w:val="0"/>
          <w:color w:val="000000"/>
          <w:sz w:val="24"/>
          <w:szCs w:val="24"/>
        </w:rPr>
        <w:t>“</w:t>
      </w:r>
      <w:r>
        <w:rPr>
          <w:rFonts w:eastAsia="宋体"/>
          <w:snapToGrid w:val="0"/>
          <w:color w:val="000000"/>
          <w:sz w:val="24"/>
          <w:szCs w:val="24"/>
        </w:rPr>
        <w:t>权衡使用该设备对健康产生的任何可能获益与使用该设备可能造成的伤害或疾病风险</w:t>
      </w:r>
      <w:r>
        <w:rPr>
          <w:rFonts w:ascii="宋体" w:hAnsi="宋体" w:eastAsia="宋体"/>
          <w:snapToGrid w:val="0"/>
          <w:color w:val="000000"/>
          <w:sz w:val="24"/>
          <w:szCs w:val="24"/>
        </w:rPr>
        <w:t>”</w:t>
      </w:r>
      <w:r>
        <w:rPr>
          <w:rFonts w:eastAsia="宋体"/>
          <w:snapToGrid w:val="0"/>
          <w:color w:val="000000"/>
          <w:sz w:val="24"/>
          <w:szCs w:val="24"/>
        </w:rPr>
        <w:t>以及其他相关因素来确定</w:t>
      </w:r>
      <w:r>
        <w:rPr>
          <w:rFonts w:ascii="宋体" w:hAnsi="宋体" w:eastAsia="宋体"/>
          <w:snapToGrid w:val="0"/>
          <w:color w:val="000000"/>
          <w:sz w:val="24"/>
          <w:szCs w:val="24"/>
        </w:rPr>
        <w:t>“</w:t>
      </w:r>
      <w:r>
        <w:rPr>
          <w:rFonts w:eastAsia="宋体"/>
          <w:snapToGrid w:val="0"/>
          <w:color w:val="000000"/>
          <w:sz w:val="24"/>
          <w:szCs w:val="24"/>
        </w:rPr>
        <w:t>设备的安全性和有效性</w:t>
      </w:r>
      <w:r>
        <w:rPr>
          <w:rFonts w:ascii="宋体" w:hAnsi="宋体" w:eastAsia="宋体"/>
          <w:snapToGrid w:val="0"/>
          <w:color w:val="000000"/>
          <w:sz w:val="24"/>
          <w:szCs w:val="24"/>
        </w:rPr>
        <w:t>”</w:t>
      </w:r>
      <w:r>
        <w:rPr>
          <w:rFonts w:eastAsia="宋体"/>
          <w:snapToGrid w:val="0"/>
          <w:color w:val="000000"/>
          <w:sz w:val="24"/>
          <w:szCs w:val="24"/>
        </w:rPr>
        <w:t>。</w:t>
      </w:r>
      <w:r>
        <w:rPr>
          <w:rStyle w:val="18"/>
          <w:rFonts w:eastAsia="宋体"/>
          <w:snapToGrid w:val="0"/>
          <w:color w:val="000000"/>
          <w:sz w:val="24"/>
          <w:szCs w:val="24"/>
        </w:rPr>
        <w:footnoteReference w:id="5"/>
      </w:r>
    </w:p>
    <w:p>
      <w:pPr>
        <w:snapToGrid w:val="0"/>
        <w:jc w:val="both"/>
        <w:rPr>
          <w:sz w:val="24"/>
        </w:rPr>
      </w:pPr>
    </w:p>
    <w:p>
      <w:pPr>
        <w:snapToGrid w:val="0"/>
        <w:jc w:val="both"/>
        <w:rPr>
          <w:sz w:val="24"/>
        </w:rPr>
        <w:sectPr>
          <w:pgSz w:w="11906" w:h="16838"/>
          <w:pgMar w:top="1134" w:right="1134" w:bottom="1134" w:left="1418" w:header="567" w:footer="567" w:gutter="0"/>
          <w:cols w:space="60" w:num="1"/>
          <w:docGrid w:linePitch="272" w:charSpace="0"/>
        </w:sectPr>
      </w:pPr>
    </w:p>
    <w:p>
      <w:pPr>
        <w:snapToGrid w:val="0"/>
        <w:ind w:firstLine="480" w:firstLineChars="200"/>
        <w:jc w:val="both"/>
        <w:rPr>
          <w:color w:val="000000"/>
          <w:sz w:val="24"/>
        </w:rPr>
      </w:pPr>
      <w:bookmarkStart w:id="8" w:name="bookmark6"/>
      <w:bookmarkEnd w:id="8"/>
      <w:r>
        <w:rPr>
          <w:rFonts w:eastAsia="宋体"/>
          <w:snapToGrid w:val="0"/>
          <w:color w:val="000000"/>
          <w:sz w:val="24"/>
          <w:szCs w:val="24"/>
        </w:rPr>
        <w:t>本指南与《510（k）计划指南》一致，并对FDA在评估新器械与同品种器械的获益-风险状况时考虑的因素做了进一步说明。如前所述，本文件对申请人和FDA发现的新器械与同品种器械之间的获益减少和/或风险增加的情况提供指导。</w:t>
      </w:r>
    </w:p>
    <w:p>
      <w:pPr>
        <w:snapToGrid w:val="0"/>
        <w:ind w:firstLine="480" w:firstLineChars="200"/>
        <w:jc w:val="both"/>
        <w:rPr>
          <w:rFonts w:eastAsia="宋体"/>
          <w:snapToGrid w:val="0"/>
          <w:sz w:val="24"/>
          <w:szCs w:val="24"/>
        </w:rPr>
      </w:pPr>
    </w:p>
    <w:p>
      <w:pPr>
        <w:pStyle w:val="3"/>
        <w:spacing w:before="0" w:beforeLines="0" w:after="0" w:afterLines="0"/>
        <w:ind w:left="1193" w:hanging="563"/>
        <w:rPr>
          <w:sz w:val="28"/>
        </w:rPr>
      </w:pPr>
      <w:bookmarkStart w:id="9" w:name="_Toc98779741"/>
      <w:bookmarkStart w:id="10" w:name="_Toc97472521"/>
      <w:r>
        <w:rPr>
          <w:sz w:val="28"/>
        </w:rPr>
        <w:t>B.</w:t>
      </w:r>
      <w:r>
        <w:rPr>
          <w:sz w:val="28"/>
        </w:rPr>
        <w:tab/>
      </w:r>
      <w:r>
        <w:rPr>
          <w:rFonts w:hint="eastAsia"/>
          <w:sz w:val="28"/>
        </w:rPr>
        <w:t>性能数据</w:t>
      </w:r>
      <w:bookmarkEnd w:id="9"/>
      <w:bookmarkEnd w:id="10"/>
    </w:p>
    <w:p>
      <w:pPr>
        <w:snapToGrid w:val="0"/>
        <w:ind w:firstLine="480" w:firstLineChars="200"/>
        <w:jc w:val="both"/>
        <w:rPr>
          <w:rFonts w:eastAsia="宋体"/>
          <w:snapToGrid w:val="0"/>
          <w:color w:val="000000"/>
          <w:sz w:val="24"/>
          <w:szCs w:val="24"/>
        </w:rPr>
      </w:pPr>
    </w:p>
    <w:p>
      <w:pPr>
        <w:snapToGrid w:val="0"/>
        <w:ind w:firstLine="480" w:firstLineChars="200"/>
        <w:jc w:val="both"/>
        <w:rPr>
          <w:rFonts w:eastAsia="宋体"/>
          <w:snapToGrid w:val="0"/>
          <w:color w:val="000000"/>
          <w:sz w:val="24"/>
          <w:szCs w:val="24"/>
        </w:rPr>
      </w:pPr>
      <w:r>
        <w:rPr>
          <w:rFonts w:eastAsia="宋体"/>
          <w:snapToGrid w:val="0"/>
          <w:color w:val="000000"/>
          <w:sz w:val="24"/>
          <w:szCs w:val="24"/>
        </w:rPr>
        <w:t>当FDA审评一个新器械的510（k），该器械的技术特征与同品种器械不同，可能需要性能数据来评估新器械是否与同品种器械</w:t>
      </w:r>
      <w:r>
        <w:rPr>
          <w:rFonts w:ascii="宋体" w:hAnsi="宋体" w:eastAsia="宋体"/>
          <w:snapToGrid w:val="0"/>
          <w:color w:val="000000"/>
          <w:sz w:val="24"/>
          <w:szCs w:val="24"/>
        </w:rPr>
        <w:t>“</w:t>
      </w:r>
      <w:r>
        <w:rPr>
          <w:rFonts w:eastAsia="宋体"/>
          <w:snapToGrid w:val="0"/>
          <w:color w:val="000000"/>
          <w:sz w:val="24"/>
          <w:szCs w:val="24"/>
        </w:rPr>
        <w:t>同样安全有效</w:t>
      </w:r>
      <w:r>
        <w:rPr>
          <w:rFonts w:ascii="宋体" w:hAnsi="宋体" w:eastAsia="宋体"/>
          <w:snapToGrid w:val="0"/>
          <w:color w:val="000000"/>
          <w:sz w:val="24"/>
          <w:szCs w:val="24"/>
        </w:rPr>
        <w:t>”</w:t>
      </w:r>
      <w:r>
        <w:rPr>
          <w:rFonts w:eastAsia="宋体"/>
          <w:snapToGrid w:val="0"/>
          <w:color w:val="000000"/>
          <w:sz w:val="24"/>
          <w:szCs w:val="24"/>
        </w:rPr>
        <w:t>。为支持确定SE而可能需要的性能数据的类型和数量取决于新器械。</w:t>
      </w:r>
      <w:r>
        <w:rPr>
          <w:rStyle w:val="18"/>
          <w:rFonts w:eastAsia="宋体"/>
          <w:snapToGrid w:val="0"/>
          <w:color w:val="000000"/>
          <w:sz w:val="24"/>
          <w:szCs w:val="24"/>
        </w:rPr>
        <w:footnoteReference w:id="6"/>
      </w:r>
      <w:r>
        <w:rPr>
          <w:rFonts w:eastAsia="宋体"/>
          <w:snapToGrid w:val="0"/>
          <w:color w:val="000000"/>
          <w:sz w:val="24"/>
          <w:szCs w:val="24"/>
        </w:rPr>
        <w:t>有效的科学证据可以从非临床和临床表现数据中产生。这些类型的性能数据由FDA在上市前审评过程中进行评估，可以提供与本指南中讨论的获益和风险因素有关的信息。</w:t>
      </w:r>
    </w:p>
    <w:p>
      <w:pPr>
        <w:snapToGrid w:val="0"/>
        <w:ind w:firstLine="480" w:firstLineChars="200"/>
        <w:jc w:val="both"/>
        <w:rPr>
          <w:rFonts w:eastAsia="宋体"/>
          <w:snapToGrid w:val="0"/>
          <w:sz w:val="24"/>
          <w:szCs w:val="24"/>
        </w:rPr>
      </w:pPr>
    </w:p>
    <w:p>
      <w:pPr>
        <w:snapToGrid w:val="0"/>
        <w:ind w:firstLine="480" w:firstLineChars="200"/>
        <w:jc w:val="both"/>
        <w:rPr>
          <w:rFonts w:eastAsia="宋体"/>
          <w:snapToGrid w:val="0"/>
          <w:color w:val="000000"/>
          <w:sz w:val="24"/>
          <w:szCs w:val="24"/>
        </w:rPr>
      </w:pPr>
      <w:r>
        <w:rPr>
          <w:rFonts w:eastAsia="宋体"/>
          <w:snapToGrid w:val="0"/>
          <w:color w:val="000000"/>
          <w:sz w:val="24"/>
          <w:szCs w:val="24"/>
        </w:rPr>
        <w:t>非临床测试可以包括一系列的方法，包括但不限于产品的安全性、可靠性、特性化、人为因素、可用性、模拟条件下的机械测试、动物研究、</w:t>
      </w:r>
      <w:r>
        <w:rPr>
          <w:rStyle w:val="18"/>
          <w:rFonts w:eastAsia="宋体"/>
          <w:snapToGrid w:val="0"/>
          <w:color w:val="000000"/>
          <w:sz w:val="24"/>
          <w:szCs w:val="24"/>
        </w:rPr>
        <w:t xml:space="preserve"> </w:t>
      </w:r>
      <w:r>
        <w:rPr>
          <w:rStyle w:val="18"/>
          <w:rFonts w:eastAsia="宋体"/>
          <w:snapToGrid w:val="0"/>
          <w:color w:val="000000"/>
          <w:sz w:val="24"/>
          <w:szCs w:val="24"/>
        </w:rPr>
        <w:footnoteReference w:id="7"/>
      </w:r>
      <w:r>
        <w:rPr>
          <w:rFonts w:eastAsia="宋体"/>
          <w:snapToGrid w:val="0"/>
          <w:color w:val="000000"/>
          <w:sz w:val="24"/>
          <w:szCs w:val="24"/>
          <w:vertAlign w:val="superscript"/>
        </w:rPr>
        <w:t xml:space="preserve"> </w:t>
      </w:r>
      <w:r>
        <w:rPr>
          <w:rFonts w:eastAsia="宋体"/>
          <w:snapToGrid w:val="0"/>
          <w:color w:val="000000"/>
          <w:sz w:val="24"/>
          <w:szCs w:val="24"/>
        </w:rPr>
        <w:t>基于细胞的研究和计算机模拟的性能测试。这些测试表征器械的特性，包括但不限于精度、重现性、线性、磨损、抗拉强度、压缩、流速、爆破压力、生物相容性、毒性、电磁兼容性（EMC）、无菌性、稳定性/寿命数据、软件验证以及合成样品的测试。</w:t>
      </w:r>
    </w:p>
    <w:p>
      <w:pPr>
        <w:snapToGrid w:val="0"/>
        <w:ind w:firstLine="480" w:firstLineChars="200"/>
        <w:jc w:val="both"/>
        <w:rPr>
          <w:rFonts w:eastAsia="宋体"/>
          <w:snapToGrid w:val="0"/>
          <w:sz w:val="24"/>
          <w:szCs w:val="24"/>
        </w:rPr>
      </w:pPr>
    </w:p>
    <w:p>
      <w:pPr>
        <w:snapToGrid w:val="0"/>
        <w:ind w:firstLine="480" w:firstLineChars="200"/>
        <w:jc w:val="both"/>
        <w:rPr>
          <w:rFonts w:eastAsia="宋体"/>
          <w:snapToGrid w:val="0"/>
          <w:color w:val="000000"/>
          <w:sz w:val="24"/>
          <w:szCs w:val="24"/>
        </w:rPr>
      </w:pPr>
      <w:r>
        <w:rPr>
          <w:rFonts w:eastAsia="宋体"/>
          <w:snapToGrid w:val="0"/>
          <w:color w:val="000000"/>
          <w:sz w:val="24"/>
          <w:szCs w:val="24"/>
        </w:rPr>
        <w:t>临床数据通常不包括在510（k）申请中以证明SE。但在适当的时候，有效的科学证据可以包括在适当的目标人群中进行的随机临床试验、充分控制的调查、部分控制的研究、没有匹配对照的研究和客观试验、由合格的专家进行的有据可查的病例史、某些重要的人类经验报告，以及对临床来源的人类标本（DNA、组织、器官和尸体研究）的测试。</w:t>
      </w:r>
      <w:r>
        <w:rPr>
          <w:rStyle w:val="18"/>
          <w:rFonts w:eastAsia="宋体"/>
          <w:snapToGrid w:val="0"/>
          <w:color w:val="000000"/>
          <w:sz w:val="24"/>
          <w:szCs w:val="24"/>
        </w:rPr>
        <w:footnoteReference w:id="8"/>
      </w:r>
      <w:r>
        <w:rPr>
          <w:rFonts w:eastAsia="宋体"/>
          <w:snapToGrid w:val="0"/>
          <w:color w:val="000000"/>
          <w:sz w:val="24"/>
          <w:szCs w:val="24"/>
        </w:rPr>
        <w:t xml:space="preserve"> 从临床和/或非临床测试中产生的有效科学证据可以在FDA审评获益-风险评估时予以考虑。</w:t>
      </w:r>
    </w:p>
    <w:p>
      <w:pPr>
        <w:snapToGrid w:val="0"/>
        <w:ind w:firstLine="480" w:firstLineChars="200"/>
        <w:jc w:val="both"/>
        <w:rPr>
          <w:rFonts w:eastAsia="宋体"/>
          <w:snapToGrid w:val="0"/>
          <w:sz w:val="24"/>
          <w:szCs w:val="24"/>
        </w:rPr>
      </w:pPr>
    </w:p>
    <w:p>
      <w:pPr>
        <w:pStyle w:val="30"/>
        <w:widowControl w:val="0"/>
        <w:autoSpaceDE w:val="0"/>
        <w:autoSpaceDN w:val="0"/>
        <w:adjustRightInd w:val="0"/>
        <w:snapToGrid w:val="0"/>
        <w:spacing w:before="0" w:beforeAutospacing="0" w:after="0" w:afterAutospacing="0"/>
        <w:ind w:firstLine="480" w:firstLineChars="200"/>
        <w:jc w:val="both"/>
      </w:pPr>
      <w:r>
        <w:rPr>
          <w:rFonts w:hint="eastAsia" w:ascii="Times New Roman" w:hAnsi="Times New Roman"/>
          <w:color w:val="000000"/>
        </w:rPr>
        <w:t>在评估和比较新器械与</w:t>
      </w:r>
      <w:r>
        <w:rPr>
          <w:rFonts w:ascii="Times New Roman" w:hAnsi="Times New Roman" w:cs="Times New Roman"/>
          <w:snapToGrid w:val="0"/>
          <w:color w:val="000000"/>
        </w:rPr>
        <w:t>同品种</w:t>
      </w:r>
      <w:r>
        <w:rPr>
          <w:rFonts w:hint="eastAsia" w:ascii="Times New Roman" w:hAnsi="Times New Roman"/>
          <w:color w:val="000000"/>
        </w:rPr>
        <w:t>器械的获益和风险时，</w:t>
      </w:r>
      <w:r>
        <w:rPr>
          <w:rFonts w:ascii="Times New Roman" w:hAnsi="Times New Roman"/>
          <w:color w:val="000000"/>
        </w:rPr>
        <w:t>FDA</w:t>
      </w:r>
      <w:r>
        <w:rPr>
          <w:rFonts w:hint="eastAsia" w:ascii="Times New Roman" w:hAnsi="Times New Roman"/>
          <w:color w:val="000000"/>
        </w:rPr>
        <w:t>评估了这种风险和获益的</w:t>
      </w:r>
      <w:r>
        <w:rPr>
          <w:color w:val="000000"/>
        </w:rPr>
        <w:t>“</w:t>
      </w:r>
      <w:r>
        <w:rPr>
          <w:rFonts w:hint="eastAsia" w:ascii="Times New Roman" w:hAnsi="Times New Roman"/>
          <w:color w:val="000000"/>
        </w:rPr>
        <w:t>可能</w:t>
      </w:r>
      <w:r>
        <w:rPr>
          <w:color w:val="000000"/>
        </w:rPr>
        <w:t>”</w:t>
      </w:r>
      <w:r>
        <w:rPr>
          <w:rFonts w:hint="eastAsia" w:ascii="Times New Roman" w:hAnsi="Times New Roman"/>
          <w:color w:val="000000"/>
        </w:rPr>
        <w:t>或</w:t>
      </w:r>
      <w:r>
        <w:rPr>
          <w:color w:val="000000"/>
        </w:rPr>
        <w:t>“</w:t>
      </w:r>
      <w:r>
        <w:rPr>
          <w:rFonts w:hint="eastAsia" w:ascii="Times New Roman" w:hAnsi="Times New Roman"/>
          <w:color w:val="000000"/>
        </w:rPr>
        <w:t>概率</w:t>
      </w:r>
      <w:r>
        <w:rPr>
          <w:color w:val="000000"/>
        </w:rPr>
        <w:t>”</w:t>
      </w:r>
      <w:r>
        <w:rPr>
          <w:rFonts w:hint="eastAsia" w:ascii="Times New Roman" w:hAnsi="Times New Roman"/>
          <w:color w:val="000000"/>
        </w:rPr>
        <w:t>。本指南中使用的术语</w:t>
      </w:r>
      <w:r>
        <w:rPr>
          <w:color w:val="000000"/>
        </w:rPr>
        <w:t>“</w:t>
      </w:r>
      <w:r>
        <w:rPr>
          <w:rFonts w:hint="eastAsia" w:ascii="Times New Roman" w:hAnsi="Times New Roman"/>
          <w:color w:val="000000"/>
        </w:rPr>
        <w:t>可能</w:t>
      </w:r>
      <w:r>
        <w:rPr>
          <w:color w:val="000000"/>
        </w:rPr>
        <w:t>”</w:t>
      </w:r>
      <w:r>
        <w:rPr>
          <w:rFonts w:hint="eastAsia" w:ascii="Times New Roman" w:hAnsi="Times New Roman"/>
          <w:color w:val="000000"/>
        </w:rPr>
        <w:t>和</w:t>
      </w:r>
      <w:r>
        <w:rPr>
          <w:color w:val="000000"/>
        </w:rPr>
        <w:t>“</w:t>
      </w:r>
      <w:r>
        <w:rPr>
          <w:rFonts w:hint="eastAsia" w:ascii="Times New Roman" w:hAnsi="Times New Roman"/>
          <w:color w:val="000000"/>
        </w:rPr>
        <w:t>概率</w:t>
      </w:r>
      <w:r>
        <w:rPr>
          <w:color w:val="000000"/>
        </w:rPr>
        <w:t>”</w:t>
      </w:r>
      <w:r>
        <w:rPr>
          <w:rFonts w:hint="eastAsia" w:ascii="Times New Roman" w:hAnsi="Times New Roman"/>
          <w:color w:val="000000"/>
        </w:rPr>
        <w:t>与</w:t>
      </w:r>
      <w:r>
        <w:rPr>
          <w:rFonts w:ascii="Times New Roman" w:hAnsi="Times New Roman"/>
          <w:color w:val="000000"/>
        </w:rPr>
        <w:t>21 CFR 860.7</w:t>
      </w:r>
      <w:r>
        <w:rPr>
          <w:rFonts w:hint="eastAsia" w:ascii="Times New Roman" w:hAnsi="Times New Roman"/>
          <w:color w:val="000000"/>
        </w:rPr>
        <w:t>（</w:t>
      </w:r>
      <w:r>
        <w:rPr>
          <w:rFonts w:ascii="Times New Roman" w:hAnsi="Times New Roman"/>
          <w:color w:val="000000"/>
        </w:rPr>
        <w:t>b</w:t>
      </w:r>
      <w:r>
        <w:rPr>
          <w:rFonts w:hint="eastAsia" w:ascii="Times New Roman" w:hAnsi="Times New Roman"/>
          <w:color w:val="000000"/>
        </w:rPr>
        <w:t>）（</w:t>
      </w:r>
      <w:r>
        <w:rPr>
          <w:rFonts w:ascii="Times New Roman" w:hAnsi="Times New Roman"/>
          <w:color w:val="000000"/>
        </w:rPr>
        <w:t>3</w:t>
      </w:r>
      <w:r>
        <w:rPr>
          <w:rFonts w:hint="eastAsia" w:ascii="Times New Roman" w:hAnsi="Times New Roman"/>
          <w:color w:val="000000"/>
        </w:rPr>
        <w:t>）中的内涵相同，即，它们指的是使用该器械对患者健康可能带来的获益与使用该器械可能带来的伤害或疾病相权衡。假设检验、概率和预测概率的正式概念、可能性等通常是评估</w:t>
      </w:r>
      <w:r>
        <w:rPr>
          <w:rFonts w:cs="Times New Roman"/>
          <w:snapToGrid w:val="0"/>
          <w:color w:val="000000"/>
        </w:rPr>
        <w:t>“</w:t>
      </w:r>
      <w:r>
        <w:rPr>
          <w:rFonts w:ascii="Times New Roman" w:hAnsi="Times New Roman" w:cs="Times New Roman"/>
          <w:snapToGrid w:val="0"/>
          <w:color w:val="000000"/>
        </w:rPr>
        <w:t>可能</w:t>
      </w:r>
      <w:r>
        <w:rPr>
          <w:rFonts w:cs="Times New Roman"/>
          <w:snapToGrid w:val="0"/>
          <w:color w:val="000000"/>
        </w:rPr>
        <w:t>”</w:t>
      </w:r>
      <w:r>
        <w:rPr>
          <w:rFonts w:hint="eastAsia" w:ascii="Times New Roman" w:hAnsi="Times New Roman"/>
          <w:color w:val="000000"/>
        </w:rPr>
        <w:t>获益和风险的重要内容。一般来说，</w:t>
      </w:r>
      <w:r>
        <w:rPr>
          <w:color w:val="000000"/>
        </w:rPr>
        <w:t>“</w:t>
      </w:r>
      <w:r>
        <w:rPr>
          <w:rFonts w:hint="eastAsia" w:ascii="Times New Roman" w:hAnsi="Times New Roman"/>
          <w:color w:val="000000"/>
        </w:rPr>
        <w:t>可能的风险</w:t>
      </w:r>
      <w:r>
        <w:rPr>
          <w:color w:val="000000"/>
        </w:rPr>
        <w:t>”</w:t>
      </w:r>
      <w:r>
        <w:rPr>
          <w:rFonts w:hint="eastAsia" w:ascii="Times New Roman" w:hAnsi="Times New Roman"/>
          <w:color w:val="000000"/>
        </w:rPr>
        <w:t>和</w:t>
      </w:r>
      <w:r>
        <w:rPr>
          <w:color w:val="000000"/>
        </w:rPr>
        <w:t>“</w:t>
      </w:r>
      <w:r>
        <w:rPr>
          <w:rFonts w:hint="eastAsia" w:ascii="Times New Roman" w:hAnsi="Times New Roman"/>
          <w:color w:val="000000"/>
        </w:rPr>
        <w:t>可能的获益</w:t>
      </w:r>
      <w:r>
        <w:rPr>
          <w:color w:val="000000"/>
        </w:rPr>
        <w:t>”</w:t>
      </w:r>
      <w:r>
        <w:rPr>
          <w:rFonts w:hint="eastAsia" w:ascii="Times New Roman" w:hAnsi="Times New Roman"/>
          <w:color w:val="000000"/>
        </w:rPr>
        <w:t>不包括纯粹的理论风险和获益，而是包括那些得到有效科学证据支持的风险和获益。</w:t>
      </w:r>
      <w:r>
        <w:rPr>
          <w:rFonts w:ascii="Times New Roman" w:hAnsi="Times New Roman"/>
          <w:color w:val="000000"/>
        </w:rPr>
        <w:t>FDA</w:t>
      </w:r>
      <w:r>
        <w:rPr>
          <w:rFonts w:hint="eastAsia" w:ascii="Times New Roman" w:hAnsi="Times New Roman"/>
          <w:color w:val="000000"/>
        </w:rPr>
        <w:t>并不</w:t>
      </w:r>
      <w:r>
        <w:rPr>
          <w:rFonts w:ascii="Times New Roman" w:hAnsi="Times New Roman" w:cs="Times New Roman"/>
          <w:snapToGrid w:val="0"/>
          <w:color w:val="000000"/>
        </w:rPr>
        <w:t>打算</w:t>
      </w:r>
      <w:r>
        <w:rPr>
          <w:rFonts w:hint="eastAsia" w:ascii="Times New Roman" w:hAnsi="Times New Roman"/>
          <w:color w:val="000000"/>
        </w:rPr>
        <w:t>在本指南中使用</w:t>
      </w:r>
      <w:r>
        <w:rPr>
          <w:color w:val="000000"/>
        </w:rPr>
        <w:t>“</w:t>
      </w:r>
      <w:r>
        <w:rPr>
          <w:rFonts w:hint="eastAsia" w:ascii="Times New Roman" w:hAnsi="Times New Roman"/>
          <w:color w:val="000000"/>
        </w:rPr>
        <w:t>可能的获益</w:t>
      </w:r>
      <w:r>
        <w:rPr>
          <w:color w:val="000000"/>
        </w:rPr>
        <w:t>”</w:t>
      </w:r>
      <w:r>
        <w:rPr>
          <w:rFonts w:hint="eastAsia" w:ascii="Times New Roman" w:hAnsi="Times New Roman"/>
          <w:color w:val="000000"/>
        </w:rPr>
        <w:t>一词，</w:t>
      </w:r>
      <w:r>
        <w:rPr>
          <w:rFonts w:ascii="Times New Roman" w:hAnsi="Times New Roman" w:cs="Times New Roman"/>
          <w:snapToGrid w:val="0"/>
          <w:color w:val="000000"/>
        </w:rPr>
        <w:t>来</w:t>
      </w:r>
      <w:r>
        <w:rPr>
          <w:rFonts w:hint="eastAsia" w:ascii="Times New Roman" w:hAnsi="Times New Roman"/>
          <w:color w:val="000000"/>
        </w:rPr>
        <w:t>指</w:t>
      </w:r>
      <w:r>
        <w:rPr>
          <w:rFonts w:ascii="Times New Roman" w:hAnsi="Times New Roman" w:cs="Times New Roman"/>
          <w:snapToGrid w:val="0"/>
          <w:color w:val="000000"/>
        </w:rPr>
        <w:t>代</w:t>
      </w:r>
      <w:r>
        <w:rPr>
          <w:rFonts w:hint="eastAsia" w:ascii="Times New Roman" w:hAnsi="Times New Roman"/>
          <w:color w:val="000000"/>
        </w:rPr>
        <w:t>根据《</w:t>
      </w:r>
      <w:r>
        <w:rPr>
          <w:rFonts w:ascii="Times New Roman" w:hAnsi="Times New Roman"/>
          <w:color w:val="000000"/>
        </w:rPr>
        <w:t>FD&amp;C</w:t>
      </w:r>
      <w:r>
        <w:rPr>
          <w:rFonts w:hint="eastAsia" w:ascii="Times New Roman" w:hAnsi="Times New Roman"/>
          <w:color w:val="000000"/>
        </w:rPr>
        <w:t>法案》第</w:t>
      </w:r>
      <w:r>
        <w:rPr>
          <w:rFonts w:ascii="Times New Roman" w:hAnsi="Times New Roman"/>
          <w:color w:val="000000"/>
        </w:rPr>
        <w:t>520</w:t>
      </w:r>
      <w:r>
        <w:rPr>
          <w:rFonts w:hint="eastAsia" w:ascii="Times New Roman" w:hAnsi="Times New Roman"/>
          <w:color w:val="000000"/>
        </w:rPr>
        <w:t>（</w:t>
      </w:r>
      <w:r>
        <w:rPr>
          <w:rFonts w:ascii="Times New Roman" w:hAnsi="Times New Roman"/>
          <w:color w:val="000000"/>
        </w:rPr>
        <w:t>m</w:t>
      </w:r>
      <w:r>
        <w:rPr>
          <w:rFonts w:hint="eastAsia" w:ascii="Times New Roman" w:hAnsi="Times New Roman"/>
          <w:color w:val="000000"/>
        </w:rPr>
        <w:t>）节（</w:t>
      </w:r>
      <w:r>
        <w:rPr>
          <w:rFonts w:ascii="Times New Roman" w:hAnsi="Times New Roman"/>
          <w:color w:val="000000"/>
        </w:rPr>
        <w:t>21 U.S.C. § 360j</w:t>
      </w:r>
      <w:r>
        <w:rPr>
          <w:rFonts w:hint="eastAsia" w:ascii="Times New Roman" w:hAnsi="Times New Roman"/>
          <w:color w:val="000000"/>
        </w:rPr>
        <w:t>（</w:t>
      </w:r>
      <w:r>
        <w:rPr>
          <w:rFonts w:ascii="Times New Roman" w:hAnsi="Times New Roman"/>
          <w:color w:val="000000"/>
        </w:rPr>
        <w:t>m</w:t>
      </w:r>
      <w:r>
        <w:rPr>
          <w:rFonts w:hint="eastAsia" w:ascii="Times New Roman" w:hAnsi="Times New Roman"/>
          <w:color w:val="000000"/>
        </w:rPr>
        <w:t>））和</w:t>
      </w:r>
      <w:r>
        <w:rPr>
          <w:rFonts w:ascii="Times New Roman" w:hAnsi="Times New Roman"/>
          <w:color w:val="000000"/>
        </w:rPr>
        <w:t>FDA</w:t>
      </w:r>
      <w:r>
        <w:rPr>
          <w:rFonts w:hint="eastAsia" w:ascii="Times New Roman" w:hAnsi="Times New Roman"/>
          <w:color w:val="000000"/>
        </w:rPr>
        <w:t>实施的</w:t>
      </w:r>
      <w:r>
        <w:rPr>
          <w:rFonts w:hint="eastAsia" w:ascii="Times New Roman" w:hAnsi="Times New Roman"/>
          <w:color w:val="333333"/>
        </w:rPr>
        <w:t>人道主义器械豁免</w:t>
      </w:r>
      <w:r>
        <w:rPr>
          <w:rFonts w:hint="eastAsia" w:ascii="Times New Roman" w:hAnsi="Times New Roman"/>
          <w:color w:val="000000"/>
        </w:rPr>
        <w:t>（</w:t>
      </w:r>
      <w:r>
        <w:rPr>
          <w:rFonts w:ascii="Times New Roman" w:hAnsi="Times New Roman"/>
          <w:color w:val="000000"/>
        </w:rPr>
        <w:t>HDE</w:t>
      </w:r>
      <w:r>
        <w:rPr>
          <w:rFonts w:hint="eastAsia" w:ascii="Times New Roman" w:hAnsi="Times New Roman"/>
          <w:color w:val="000000"/>
        </w:rPr>
        <w:t>）</w:t>
      </w:r>
      <w:r>
        <w:rPr>
          <w:rFonts w:ascii="Times New Roman" w:hAnsi="Times New Roman" w:cs="Times New Roman"/>
          <w:snapToGrid w:val="0"/>
          <w:color w:val="000000"/>
        </w:rPr>
        <w:t>条例，用于HDE</w:t>
      </w:r>
      <w:r>
        <w:rPr>
          <w:rFonts w:hint="eastAsia" w:ascii="Times New Roman" w:hAnsi="Times New Roman"/>
          <w:color w:val="000000"/>
        </w:rPr>
        <w:t>的批准要求的监管术语。</w:t>
      </w:r>
    </w:p>
    <w:p>
      <w:pPr>
        <w:tabs>
          <w:tab w:val="left" w:pos="115"/>
        </w:tabs>
        <w:snapToGrid w:val="0"/>
        <w:jc w:val="both"/>
        <w:rPr>
          <w:rFonts w:eastAsia="宋体"/>
          <w:snapToGrid w:val="0"/>
          <w:sz w:val="24"/>
          <w:szCs w:val="24"/>
        </w:rPr>
      </w:pPr>
    </w:p>
    <w:p>
      <w:pPr>
        <w:tabs>
          <w:tab w:val="left" w:pos="115"/>
        </w:tabs>
        <w:snapToGrid w:val="0"/>
        <w:jc w:val="both"/>
        <w:rPr>
          <w:rFonts w:eastAsia="宋体"/>
          <w:snapToGrid w:val="0"/>
          <w:sz w:val="24"/>
          <w:szCs w:val="24"/>
        </w:rPr>
        <w:sectPr>
          <w:pgSz w:w="11906" w:h="16838"/>
          <w:pgMar w:top="1134" w:right="1134" w:bottom="1134" w:left="1418" w:header="567" w:footer="567" w:gutter="0"/>
          <w:cols w:space="60" w:num="1"/>
          <w:docGrid w:linePitch="272" w:charSpace="0"/>
        </w:sectPr>
      </w:pPr>
    </w:p>
    <w:p>
      <w:pPr>
        <w:pStyle w:val="2"/>
        <w:spacing w:before="0" w:beforeLines="0" w:after="0" w:afterLines="0"/>
        <w:rPr>
          <w:sz w:val="32"/>
        </w:rPr>
      </w:pPr>
      <w:bookmarkStart w:id="11" w:name="bookmark10"/>
      <w:bookmarkStart w:id="12" w:name="_Toc98779742"/>
      <w:bookmarkStart w:id="13" w:name="_Toc97472522"/>
      <w:r>
        <w:rPr>
          <w:sz w:val="32"/>
        </w:rPr>
        <w:t>I</w:t>
      </w:r>
      <w:bookmarkEnd w:id="11"/>
      <w:r>
        <w:rPr>
          <w:sz w:val="32"/>
        </w:rPr>
        <w:t>II.</w:t>
      </w:r>
      <w:r>
        <w:rPr>
          <w:sz w:val="32"/>
        </w:rPr>
        <w:tab/>
      </w:r>
      <w:r>
        <w:rPr>
          <w:rFonts w:hint="eastAsia"/>
          <w:sz w:val="32"/>
        </w:rPr>
        <w:t>范围</w:t>
      </w:r>
      <w:bookmarkEnd w:id="12"/>
      <w:bookmarkEnd w:id="13"/>
    </w:p>
    <w:p>
      <w:pPr>
        <w:snapToGrid w:val="0"/>
        <w:ind w:firstLine="480" w:firstLineChars="200"/>
        <w:jc w:val="both"/>
        <w:rPr>
          <w:rFonts w:eastAsia="宋体"/>
          <w:snapToGrid w:val="0"/>
          <w:color w:val="000000"/>
          <w:sz w:val="24"/>
          <w:szCs w:val="24"/>
        </w:rPr>
      </w:pPr>
    </w:p>
    <w:p>
      <w:pPr>
        <w:snapToGrid w:val="0"/>
        <w:ind w:firstLine="480" w:firstLineChars="200"/>
        <w:jc w:val="both"/>
        <w:rPr>
          <w:rFonts w:eastAsia="宋体"/>
          <w:snapToGrid w:val="0"/>
          <w:color w:val="000000"/>
          <w:sz w:val="24"/>
          <w:szCs w:val="24"/>
        </w:rPr>
      </w:pPr>
      <w:r>
        <w:rPr>
          <w:rFonts w:eastAsia="宋体"/>
          <w:snapToGrid w:val="0"/>
          <w:color w:val="000000"/>
          <w:sz w:val="24"/>
          <w:szCs w:val="24"/>
        </w:rPr>
        <w:t>510（k）上市前审评标准（即新器械与同品种器械比较时具有SE）并不要求新器械与同品种器械完全相同。根据《FD&amp;C法案》第513（i）节（21 U.S.C. § 360c（i）），FDA可以确定新器械与同品种器械实质等同性，如果除其他事项外，则其具有相同的预期用途。使用适应症的不同，如器械的使用人群或器械要治疗的疾病，不一定会导致新的预期用途。</w:t>
      </w:r>
      <w:r>
        <w:rPr>
          <w:rStyle w:val="18"/>
          <w:rFonts w:eastAsia="宋体"/>
          <w:snapToGrid w:val="0"/>
          <w:color w:val="000000"/>
          <w:sz w:val="24"/>
          <w:szCs w:val="24"/>
        </w:rPr>
        <w:footnoteReference w:id="9"/>
      </w:r>
      <w:r>
        <w:rPr>
          <w:rFonts w:eastAsia="宋体"/>
          <w:snapToGrid w:val="0"/>
          <w:color w:val="000000"/>
          <w:sz w:val="24"/>
          <w:szCs w:val="24"/>
        </w:rPr>
        <w:t>换言之，FDA可能会发现一种新器械，其使用适应症或技术特征与那些实质等同于同品种器械的使用适应症或技术特征不同。同样，新器械的获益-风险状况不需要与实质等同于同品种器械的获益-风险完全相同。</w:t>
      </w:r>
    </w:p>
    <w:p>
      <w:pPr>
        <w:snapToGrid w:val="0"/>
        <w:ind w:firstLine="480" w:firstLineChars="200"/>
        <w:jc w:val="both"/>
        <w:rPr>
          <w:rFonts w:eastAsia="宋体"/>
          <w:snapToGrid w:val="0"/>
          <w:sz w:val="24"/>
          <w:szCs w:val="24"/>
        </w:rPr>
      </w:pPr>
    </w:p>
    <w:p>
      <w:pPr>
        <w:snapToGrid w:val="0"/>
        <w:ind w:firstLine="480" w:firstLineChars="200"/>
        <w:jc w:val="both"/>
        <w:rPr>
          <w:rFonts w:eastAsia="宋体"/>
          <w:snapToGrid w:val="0"/>
          <w:color w:val="000000"/>
          <w:sz w:val="24"/>
          <w:szCs w:val="24"/>
        </w:rPr>
      </w:pPr>
      <w:r>
        <w:rPr>
          <w:rFonts w:eastAsia="宋体"/>
          <w:snapToGrid w:val="0"/>
          <w:color w:val="000000"/>
          <w:sz w:val="24"/>
          <w:szCs w:val="24"/>
        </w:rPr>
        <w:t>本指南的重点在于FDA发现新器械和同品种器械的预期用途相同且具有不同技术特征，但不会引起不同安全性和有效性问题后的510（k）上市前审评流程的步骤。具言之，该指南侧重于FDA评价新器械是否与同品种器械</w:t>
      </w:r>
      <w:r>
        <w:rPr>
          <w:rFonts w:ascii="宋体" w:hAnsi="宋体" w:eastAsia="宋体"/>
          <w:snapToGrid w:val="0"/>
          <w:color w:val="000000"/>
          <w:sz w:val="24"/>
          <w:szCs w:val="24"/>
        </w:rPr>
        <w:t>“</w:t>
      </w:r>
      <w:r>
        <w:rPr>
          <w:rFonts w:eastAsia="宋体"/>
          <w:snapToGrid w:val="0"/>
          <w:color w:val="000000"/>
          <w:sz w:val="24"/>
          <w:szCs w:val="24"/>
        </w:rPr>
        <w:t>同样安全有效</w:t>
      </w:r>
      <w:r>
        <w:rPr>
          <w:rFonts w:ascii="宋体" w:hAnsi="宋体" w:eastAsia="宋体"/>
          <w:snapToGrid w:val="0"/>
          <w:color w:val="000000"/>
          <w:sz w:val="24"/>
          <w:szCs w:val="24"/>
        </w:rPr>
        <w:t>”</w:t>
      </w:r>
      <w:r>
        <w:rPr>
          <w:rFonts w:eastAsia="宋体"/>
          <w:snapToGrid w:val="0"/>
          <w:color w:val="000000"/>
          <w:sz w:val="24"/>
          <w:szCs w:val="24"/>
        </w:rPr>
        <w:t>的步骤。</w:t>
      </w:r>
      <w:r>
        <w:rPr>
          <w:rFonts w:hint="eastAsia"/>
          <w:b w:val="0"/>
          <w:color w:val="000000"/>
          <w:sz w:val="24"/>
        </w:rPr>
        <w:t>如</w:t>
      </w:r>
      <w:r>
        <w:rPr>
          <w:rFonts w:eastAsia="宋体"/>
          <w:b/>
          <w:bCs/>
          <w:snapToGrid w:val="0"/>
          <w:color w:val="000000"/>
          <w:sz w:val="24"/>
          <w:szCs w:val="24"/>
        </w:rPr>
        <w:t>图1</w:t>
      </w:r>
      <w:r>
        <w:rPr>
          <w:rFonts w:eastAsia="宋体"/>
          <w:snapToGrid w:val="0"/>
          <w:color w:val="000000"/>
          <w:sz w:val="24"/>
          <w:szCs w:val="24"/>
        </w:rPr>
        <w:t>的决策流程图所示，本指南侧重于FDA 对决定#1和#2回答为</w:t>
      </w:r>
      <w:r>
        <w:rPr>
          <w:rFonts w:ascii="宋体" w:hAnsi="宋体" w:eastAsia="宋体"/>
          <w:snapToGrid w:val="0"/>
          <w:color w:val="000000"/>
          <w:sz w:val="24"/>
          <w:szCs w:val="24"/>
        </w:rPr>
        <w:t>“</w:t>
      </w:r>
      <w:r>
        <w:rPr>
          <w:rFonts w:eastAsia="宋体"/>
          <w:snapToGrid w:val="0"/>
          <w:color w:val="000000"/>
          <w:sz w:val="24"/>
          <w:szCs w:val="24"/>
        </w:rPr>
        <w:t>是</w:t>
      </w:r>
      <w:r>
        <w:rPr>
          <w:rFonts w:ascii="宋体" w:hAnsi="宋体" w:eastAsia="宋体"/>
          <w:snapToGrid w:val="0"/>
          <w:color w:val="000000"/>
          <w:sz w:val="24"/>
          <w:szCs w:val="24"/>
        </w:rPr>
        <w:t>”</w:t>
      </w:r>
      <w:r>
        <w:rPr>
          <w:rFonts w:eastAsia="宋体"/>
          <w:snapToGrid w:val="0"/>
          <w:color w:val="000000"/>
          <w:sz w:val="24"/>
          <w:szCs w:val="24"/>
        </w:rPr>
        <w:t>，对决定#3和#4回答为</w:t>
      </w:r>
      <w:r>
        <w:rPr>
          <w:rFonts w:ascii="宋体" w:hAnsi="宋体" w:eastAsia="宋体"/>
          <w:snapToGrid w:val="0"/>
          <w:color w:val="000000"/>
          <w:sz w:val="24"/>
          <w:szCs w:val="24"/>
        </w:rPr>
        <w:t>“</w:t>
      </w:r>
      <w:r>
        <w:rPr>
          <w:rFonts w:eastAsia="宋体"/>
          <w:snapToGrid w:val="0"/>
          <w:color w:val="000000"/>
          <w:sz w:val="24"/>
          <w:szCs w:val="24"/>
        </w:rPr>
        <w:t>否</w:t>
      </w:r>
      <w:r>
        <w:rPr>
          <w:rFonts w:ascii="宋体" w:hAnsi="宋体" w:eastAsia="宋体"/>
          <w:snapToGrid w:val="0"/>
          <w:color w:val="000000"/>
          <w:sz w:val="24"/>
          <w:szCs w:val="24"/>
        </w:rPr>
        <w:t>”</w:t>
      </w:r>
      <w:r>
        <w:rPr>
          <w:rFonts w:eastAsia="宋体"/>
          <w:snapToGrid w:val="0"/>
          <w:color w:val="000000"/>
          <w:sz w:val="24"/>
          <w:szCs w:val="24"/>
        </w:rPr>
        <w:t>之后的审评步骤。（注：该流程图改编自《510（k）计划指南》的附录A）。</w:t>
      </w:r>
    </w:p>
    <w:p>
      <w:pPr>
        <w:snapToGrid w:val="0"/>
        <w:ind w:firstLine="480" w:firstLineChars="200"/>
        <w:jc w:val="both"/>
        <w:rPr>
          <w:rFonts w:eastAsia="宋体"/>
          <w:snapToGrid w:val="0"/>
          <w:sz w:val="24"/>
          <w:szCs w:val="24"/>
        </w:rPr>
      </w:pPr>
    </w:p>
    <w:p>
      <w:pPr>
        <w:snapToGrid w:val="0"/>
        <w:ind w:firstLine="480" w:firstLineChars="200"/>
        <w:jc w:val="both"/>
        <w:rPr>
          <w:rFonts w:eastAsia="宋体"/>
          <w:snapToGrid w:val="0"/>
          <w:color w:val="000000"/>
          <w:sz w:val="24"/>
          <w:szCs w:val="24"/>
        </w:rPr>
      </w:pPr>
      <w:r>
        <w:rPr>
          <w:rFonts w:eastAsia="宋体"/>
          <w:snapToGrid w:val="0"/>
          <w:color w:val="000000"/>
          <w:sz w:val="24"/>
          <w:szCs w:val="24"/>
        </w:rPr>
        <w:t>对于审评过程中的这一点，FDA通过查看所提交的性能数据以及其他事项来确定新器械是否与同品种器械</w:t>
      </w:r>
      <w:r>
        <w:rPr>
          <w:rFonts w:ascii="宋体" w:hAnsi="宋体" w:eastAsia="宋体"/>
          <w:snapToGrid w:val="0"/>
          <w:color w:val="000000"/>
          <w:sz w:val="24"/>
          <w:szCs w:val="24"/>
        </w:rPr>
        <w:t>“</w:t>
      </w:r>
      <w:r>
        <w:rPr>
          <w:rFonts w:eastAsia="宋体"/>
          <w:snapToGrid w:val="0"/>
          <w:color w:val="000000"/>
          <w:sz w:val="24"/>
          <w:szCs w:val="24"/>
        </w:rPr>
        <w:t>同样安全有效</w:t>
      </w:r>
      <w:r>
        <w:rPr>
          <w:rFonts w:ascii="宋体" w:hAnsi="宋体" w:eastAsia="宋体"/>
          <w:snapToGrid w:val="0"/>
          <w:color w:val="000000"/>
          <w:sz w:val="24"/>
          <w:szCs w:val="24"/>
        </w:rPr>
        <w:t>”</w:t>
      </w:r>
      <w:r>
        <w:rPr>
          <w:rFonts w:eastAsia="宋体"/>
          <w:snapToGrid w:val="0"/>
          <w:color w:val="000000"/>
          <w:sz w:val="24"/>
          <w:szCs w:val="24"/>
        </w:rPr>
        <w:t>。在审评过程中，如果FDA发现当新器械与同品种器械比较时，风险增加而获益增加或相当，或获益减少而风险减少或相当，则获益-风险评估可能有利于帮助评估SE或NSE。</w:t>
      </w:r>
      <w:r>
        <w:rPr>
          <w:rFonts w:eastAsia="宋体"/>
          <w:b/>
          <w:bCs/>
          <w:snapToGrid w:val="0"/>
          <w:color w:val="000000"/>
          <w:sz w:val="24"/>
          <w:szCs w:val="24"/>
        </w:rPr>
        <w:t>图1</w:t>
      </w:r>
      <w:r>
        <w:rPr>
          <w:rFonts w:eastAsia="宋体"/>
          <w:snapToGrid w:val="0"/>
          <w:color w:val="000000"/>
          <w:sz w:val="24"/>
          <w:szCs w:val="24"/>
        </w:rPr>
        <w:t>强调了决策过程中的一些步骤，在这些步骤中，审评510（k）时考虑获益-风险评估可能是有意义的。</w:t>
      </w:r>
    </w:p>
    <w:p>
      <w:pPr>
        <w:snapToGrid w:val="0"/>
        <w:jc w:val="both"/>
        <w:rPr>
          <w:rFonts w:eastAsia="宋体"/>
          <w:snapToGrid w:val="0"/>
          <w:sz w:val="24"/>
          <w:szCs w:val="24"/>
        </w:rPr>
      </w:pPr>
    </w:p>
    <w:p>
      <w:pPr>
        <w:snapToGrid w:val="0"/>
        <w:jc w:val="both"/>
        <w:rPr>
          <w:rFonts w:eastAsia="宋体"/>
          <w:snapToGrid w:val="0"/>
          <w:sz w:val="24"/>
          <w:szCs w:val="24"/>
        </w:rPr>
      </w:pPr>
    </w:p>
    <w:p>
      <w:pPr>
        <w:snapToGrid w:val="0"/>
        <w:jc w:val="both"/>
        <w:rPr>
          <w:rFonts w:eastAsia="宋体"/>
          <w:snapToGrid w:val="0"/>
          <w:sz w:val="24"/>
          <w:szCs w:val="24"/>
        </w:rPr>
      </w:pPr>
    </w:p>
    <w:p>
      <w:pPr>
        <w:snapToGrid w:val="0"/>
        <w:jc w:val="both"/>
        <w:rPr>
          <w:sz w:val="24"/>
        </w:rPr>
        <w:sectPr>
          <w:pgSz w:w="11906" w:h="16838"/>
          <w:pgMar w:top="1134" w:right="1134" w:bottom="1134" w:left="1418" w:header="567" w:footer="567" w:gutter="0"/>
          <w:cols w:space="60" w:num="1"/>
          <w:docGrid w:linePitch="272" w:charSpace="0"/>
        </w:sectPr>
      </w:pPr>
    </w:p>
    <w:p>
      <w:pPr>
        <w:snapToGrid w:val="0"/>
        <w:ind w:firstLine="480" w:firstLineChars="200"/>
        <w:jc w:val="both"/>
        <w:rPr>
          <w:rFonts w:eastAsia="宋体"/>
          <w:snapToGrid w:val="0"/>
          <w:color w:val="000000"/>
          <w:sz w:val="24"/>
          <w:szCs w:val="24"/>
        </w:rPr>
      </w:pPr>
      <w:r>
        <w:rPr>
          <w:rFonts w:eastAsia="宋体"/>
          <w:snapToGrid w:val="0"/>
          <w:color w:val="000000"/>
          <w:sz w:val="24"/>
          <w:szCs w:val="24"/>
        </w:rPr>
        <w:t>在对与同品种器械具有相同的预期用途和不同的技术特征的新器械做出SE或NSE的决定时，通常会考虑获益-风险因素，但不会引起不同的安全性和有效性问题。以下是FDA可能考虑的一些获益和风险因素。本指南中所列的因素并非都适用于每个510（k）。本指南</w:t>
      </w:r>
      <w:r>
        <w:rPr>
          <w:rFonts w:eastAsia="宋体"/>
          <w:b/>
          <w:bCs/>
          <w:snapToGrid w:val="0"/>
          <w:color w:val="000000"/>
          <w:sz w:val="24"/>
          <w:szCs w:val="24"/>
        </w:rPr>
        <w:t>第V节</w:t>
      </w:r>
      <w:r>
        <w:rPr>
          <w:rFonts w:eastAsia="宋体"/>
          <w:snapToGrid w:val="0"/>
          <w:color w:val="000000"/>
          <w:sz w:val="24"/>
          <w:szCs w:val="24"/>
        </w:rPr>
        <w:t>提供了在510（k）上市前审评中如何考虑这些因素的示例。</w:t>
      </w:r>
    </w:p>
    <w:p>
      <w:pPr>
        <w:snapToGrid w:val="0"/>
        <w:jc w:val="both"/>
        <w:rPr>
          <w:rFonts w:eastAsia="宋体"/>
          <w:snapToGrid w:val="0"/>
          <w:color w:val="000000"/>
          <w:sz w:val="24"/>
          <w:szCs w:val="24"/>
        </w:rPr>
      </w:pPr>
    </w:p>
    <w:p>
      <w:pPr>
        <w:snapToGrid w:val="0"/>
        <w:jc w:val="both"/>
        <w:rPr>
          <w:rFonts w:eastAsia="宋体"/>
          <w:snapToGrid w:val="0"/>
          <w:sz w:val="24"/>
          <w:szCs w:val="24"/>
        </w:rPr>
      </w:pPr>
      <w:r>
        <w:rPr>
          <w:rFonts w:eastAsia="宋体"/>
          <w:snapToGrid w:val="0"/>
          <w:sz w:val="24"/>
          <w:szCs w:val="24"/>
        </w:rPr>
        <w:pict>
          <v:rect id="矩形 31" o:spid="_x0000_s2077" o:spt="1" style="position:absolute;left:0pt;margin-left:319.25pt;margin-top:232.8pt;height:105.05pt;width:116.1pt;z-index:251688960;mso-width-relative:margin;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">
            <v:path arrowok="t"/>
            <v:fill on="f" focussize="0,0"/>
            <v:stroke on="f"/>
            <v:imagedata o:title=""/>
            <o:lock v:ext="edit"/>
            <v:textbox inset="0mm,0mm,0mm,0mm">
              <w:txbxContent>
                <w:p>
                  <w:pPr>
                    <w:jc w:val="center"/>
                    <w:rPr>
                      <w:rFonts w:eastAsia="宋体"/>
                      <w:sz w:val="15"/>
                      <w:szCs w:val="15"/>
                    </w:rPr>
                  </w:pPr>
                  <w:r>
                    <w:rPr>
                      <w:rFonts w:eastAsia="宋体"/>
                      <w:color w:val="000000"/>
                      <w:kern w:val="24"/>
                      <w:sz w:val="15"/>
                      <w:szCs w:val="15"/>
                    </w:rPr>
                    <w:t>本指南适用于</w:t>
                  </w:r>
                  <w:r>
                    <w:rPr>
                      <w:rFonts w:eastAsia="宋体"/>
                      <w:b/>
                      <w:bCs/>
                      <w:color w:val="000000"/>
                      <w:kern w:val="24"/>
                      <w:sz w:val="15"/>
                      <w:szCs w:val="15"/>
                    </w:rPr>
                    <w:t>具有相同的预期用途的新器械与</w:t>
                  </w:r>
                  <w:r>
                    <w:rPr>
                      <w:rFonts w:hint="eastAsia" w:eastAsia="宋体"/>
                      <w:b/>
                      <w:bCs/>
                      <w:color w:val="000000"/>
                      <w:kern w:val="24"/>
                      <w:sz w:val="15"/>
                      <w:szCs w:val="15"/>
                    </w:rPr>
                    <w:t>同品种</w:t>
                  </w:r>
                  <w:r>
                    <w:rPr>
                      <w:rFonts w:eastAsia="宋体"/>
                      <w:b/>
                      <w:bCs/>
                      <w:color w:val="000000"/>
                      <w:kern w:val="24"/>
                      <w:sz w:val="15"/>
                      <w:szCs w:val="15"/>
                    </w:rPr>
                    <w:t>器械，且不同的技术特征不会引起不同的安全性和有效性问题。</w:t>
                  </w:r>
                  <w:r>
                    <w:rPr>
                      <w:rFonts w:eastAsia="宋体"/>
                      <w:color w:val="000000"/>
                      <w:kern w:val="24"/>
                      <w:sz w:val="15"/>
                      <w:szCs w:val="15"/>
                    </w:rPr>
                    <w:t>正如第III节和第IV节所讨论的，FDA认为</w:t>
                  </w:r>
                  <w:r>
                    <w:rPr>
                      <w:rFonts w:hint="eastAsia" w:eastAsia="宋体"/>
                      <w:color w:val="000000"/>
                      <w:kern w:val="24"/>
                      <w:sz w:val="15"/>
                      <w:szCs w:val="15"/>
                    </w:rPr>
                    <w:t>本指南</w:t>
                  </w:r>
                  <w:r>
                    <w:rPr>
                      <w:rFonts w:eastAsia="宋体"/>
                      <w:color w:val="000000"/>
                      <w:kern w:val="24"/>
                      <w:sz w:val="15"/>
                      <w:szCs w:val="15"/>
                    </w:rPr>
                    <w:t>在以下情况下最有帮助：1）风险增加，而获益增加或相等；2）获益减少，而获益增加。在将新器械与</w:t>
                  </w:r>
                  <w:r>
                    <w:rPr>
                      <w:rFonts w:hint="eastAsia" w:eastAsia="宋体"/>
                      <w:color w:val="000000"/>
                      <w:kern w:val="24"/>
                      <w:sz w:val="15"/>
                      <w:szCs w:val="15"/>
                    </w:rPr>
                    <w:t>同品种</w:t>
                  </w:r>
                  <w:r>
                    <w:rPr>
                      <w:rFonts w:eastAsia="宋体"/>
                      <w:color w:val="000000"/>
                      <w:kern w:val="24"/>
                      <w:sz w:val="15"/>
                      <w:szCs w:val="15"/>
                    </w:rPr>
                    <w:t>器械进行比较时，</w:t>
                  </w:r>
                  <w:r>
                    <w:rPr>
                      <w:rFonts w:hint="eastAsia" w:eastAsia="宋体"/>
                      <w:color w:val="000000"/>
                      <w:kern w:val="24"/>
                      <w:sz w:val="15"/>
                      <w:szCs w:val="15"/>
                    </w:rPr>
                    <w:t>风险</w:t>
                  </w:r>
                  <w:r>
                    <w:rPr>
                      <w:rFonts w:eastAsia="宋体"/>
                      <w:color w:val="000000"/>
                      <w:kern w:val="24"/>
                      <w:sz w:val="15"/>
                      <w:szCs w:val="15"/>
                    </w:rPr>
                    <w:t>减少或同等风险。</w:t>
                  </w:r>
                </w:p>
              </w:txbxContent>
            </v:textbox>
          </v:rect>
        </w:pict>
      </w:r>
      <w:r>
        <w:rPr>
          <w:rFonts w:eastAsia="宋体"/>
          <w:snapToGrid w:val="0"/>
          <w:sz w:val="24"/>
          <w:szCs w:val="24"/>
        </w:rPr>
        <w:pict>
          <v:rect id="矩形 26" o:spid="_x0000_s2068" o:spt="1" style="position:absolute;left:0pt;margin-left:153.45pt;margin-top:349.8pt;height:10.05pt;width:20.8pt;z-index:2516838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">
            <v:path arrowok="t"/>
            <v:fill on="f" focussize="0,0"/>
            <v:stroke on="f"/>
            <v:imagedata o:title=""/>
            <o:lock v:ext="edit"/>
            <v:textbox inset="0mm,0mm,0mm,0mm">
              <w:txbxContent>
                <w:p>
                  <w:pPr>
                    <w:jc w:val="center"/>
                    <w:rPr>
                      <w:rFonts w:eastAsia="宋体"/>
                      <w:b/>
                      <w:sz w:val="15"/>
                      <w:szCs w:val="15"/>
                    </w:rPr>
                  </w:pPr>
                  <w:r>
                    <w:rPr>
                      <w:rFonts w:eastAsia="宋体"/>
                      <w:b/>
                      <w:color w:val="FFFFFF"/>
                      <w:kern w:val="24"/>
                      <w:sz w:val="15"/>
                      <w:szCs w:val="15"/>
                      <w:highlight w:val="green"/>
                    </w:rPr>
                    <w:t>NSE</w:t>
                  </w:r>
                </w:p>
              </w:txbxContent>
            </v:textbox>
          </v:rect>
        </w:pict>
      </w:r>
      <w:r>
        <w:rPr>
          <w:rFonts w:eastAsia="宋体"/>
          <w:snapToGrid w:val="0"/>
          <w:sz w:val="24"/>
          <w:szCs w:val="24"/>
        </w:rPr>
        <w:pict>
          <v:rect id="矩形 15" o:spid="_x0000_s2061" o:spt="1" style="position:absolute;left:0pt;margin-left:151.95pt;margin-top:209.45pt;height:7.4pt;width:20.8pt;z-index:25167360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">
            <v:path arrowok="t"/>
            <v:fill on="f" focussize="0,0"/>
            <v:stroke on="f"/>
            <v:imagedata o:title=""/>
            <o:lock v:ext="edit"/>
            <v:textbox inset="0mm,0mm,0mm,0mm">
              <w:txbxContent>
                <w:p>
                  <w:pPr>
                    <w:jc w:val="center"/>
                    <w:rPr>
                      <w:rFonts w:eastAsia="宋体"/>
                      <w:b/>
                      <w:sz w:val="15"/>
                      <w:szCs w:val="15"/>
                    </w:rPr>
                  </w:pPr>
                  <w:r>
                    <w:rPr>
                      <w:rFonts w:eastAsia="宋体"/>
                      <w:b/>
                      <w:color w:val="FFFFFF"/>
                      <w:kern w:val="24"/>
                      <w:sz w:val="15"/>
                      <w:szCs w:val="15"/>
                      <w:highlight w:val="green"/>
                    </w:rPr>
                    <w:t>NSE</w:t>
                  </w:r>
                </w:p>
              </w:txbxContent>
            </v:textbox>
          </v:rect>
        </w:pict>
      </w:r>
      <w:r>
        <w:rPr>
          <w:rFonts w:eastAsia="宋体"/>
          <w:snapToGrid w:val="0"/>
          <w:sz w:val="24"/>
          <w:szCs w:val="24"/>
        </w:rPr>
        <w:pict>
          <v:rect id="矩形 4" o:spid="_x0000_s2055" o:spt="1" style="position:absolute;left:0pt;margin-left:143.95pt;margin-top:77.65pt;height:8.6pt;width:22.15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">
            <v:path arrowok="t"/>
            <v:fill on="f" focussize="0,0"/>
            <v:stroke on="f"/>
            <v:imagedata o:title=""/>
            <o:lock v:ext="edit"/>
            <v:textbox inset="0mm,0mm,0mm,0mm">
              <w:txbxContent>
                <w:p>
                  <w:pPr>
                    <w:jc w:val="center"/>
                    <w:rPr>
                      <w:rFonts w:eastAsia="宋体"/>
                      <w:b/>
                      <w:sz w:val="15"/>
                      <w:szCs w:val="15"/>
                    </w:rPr>
                  </w:pPr>
                  <w:r>
                    <w:rPr>
                      <w:rFonts w:eastAsia="宋体"/>
                      <w:b/>
                      <w:color w:val="FFFFFF"/>
                      <w:kern w:val="24"/>
                      <w:sz w:val="15"/>
                      <w:szCs w:val="15"/>
                      <w:highlight w:val="green"/>
                    </w:rPr>
                    <w:t>NSE</w:t>
                  </w:r>
                </w:p>
              </w:txbxContent>
            </v:textbox>
          </v:rect>
        </w:pict>
      </w:r>
      <w:r>
        <w:rPr>
          <w:rFonts w:eastAsia="宋体"/>
          <w:snapToGrid w:val="0"/>
          <w:sz w:val="24"/>
          <w:szCs w:val="24"/>
        </w:rPr>
        <w:pict>
          <v:rect id="矩形 3" o:spid="_x0000_s2054" o:spt="1" style="position:absolute;left:0pt;margin-left:114.65pt;margin-top:76.35pt;height:9.9pt;width:16.25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">
            <v:path arrowok="t"/>
            <v:fill on="f" focussize="0,0"/>
            <v:stroke on="f"/>
            <v:imagedata o:title=""/>
            <o:lock v:ext="edit"/>
            <v:textbox inset="0mm,0mm,0mm,0mm">
              <w:txbxContent>
                <w:p>
                  <w:pPr>
                    <w:jc w:val="center"/>
                    <w:rPr>
                      <w:rFonts w:eastAsia="宋体"/>
                      <w:b/>
                      <w:sz w:val="15"/>
                      <w:szCs w:val="15"/>
                    </w:rPr>
                  </w:pPr>
                  <w:r>
                    <w:rPr>
                      <w:rFonts w:eastAsia="宋体"/>
                      <w:b/>
                      <w:color w:val="FFFFFF"/>
                      <w:kern w:val="24"/>
                      <w:sz w:val="15"/>
                      <w:szCs w:val="15"/>
                      <w:highlight w:val="green"/>
                    </w:rPr>
                    <w:t>NSE</w:t>
                  </w:r>
                </w:p>
              </w:txbxContent>
            </v:textbox>
          </v:rect>
        </w:pict>
      </w:r>
      <w:r>
        <w:rPr>
          <w:rFonts w:eastAsia="宋体"/>
          <w:snapToGrid w:val="0"/>
          <w:sz w:val="24"/>
          <w:szCs w:val="24"/>
        </w:rPr>
        <w:pict>
          <v:rect id="_x0000_s2057" o:spid="_x0000_s2057" o:spt="1" style="position:absolute;left:0pt;margin-left:50.25pt;margin-top:109.9pt;height:12.75pt;width:14.25pt;z-index:25166745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">
            <v:path arrowok="t"/>
            <v:fill on="f" focussize="0,0"/>
            <v:stroke on="f"/>
            <v:imagedata o:title=""/>
            <o:lock v:ext="edit"/>
            <v:textbox inset="0mm,0mm,0mm,0mm">
              <w:txbxContent>
                <w:p>
                  <w:pPr>
                    <w:jc w:val="center"/>
                    <w:rPr>
                      <w:rFonts w:eastAsia="宋体"/>
                      <w:sz w:val="15"/>
                      <w:szCs w:val="15"/>
                    </w:rPr>
                  </w:pPr>
                  <w:r>
                    <w:rPr>
                      <w:rFonts w:eastAsia="宋体"/>
                      <w:color w:val="000000"/>
                      <w:kern w:val="24"/>
                      <w:sz w:val="15"/>
                      <w:szCs w:val="15"/>
                      <w:highlight w:val="green"/>
                    </w:rPr>
                    <w:t>是</w:t>
                  </w:r>
                </w:p>
              </w:txbxContent>
            </v:textbox>
          </v:rect>
        </w:pict>
      </w:r>
      <w:r>
        <w:rPr>
          <w:rFonts w:eastAsia="宋体"/>
          <w:snapToGrid w:val="0"/>
          <w:sz w:val="24"/>
          <w:szCs w:val="24"/>
        </w:rPr>
        <w:pict>
          <v:rect id="矩形 5" o:spid="_x0000_s2056" o:spt="1" style="position:absolute;left:0pt;margin-left:170.5pt;margin-top:75.4pt;height:11.35pt;width:9.8pt;z-index:25166336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">
            <v:path arrowok="t"/>
            <v:fill on="f" focussize="0,0"/>
            <v:stroke on="f"/>
            <v:imagedata o:title=""/>
            <o:lock v:ext="edit"/>
            <v:textbox inset="0mm,0mm,0mm,0mm">
              <w:txbxContent>
                <w:p>
                  <w:pPr>
                    <w:jc w:val="center"/>
                    <w:rPr>
                      <w:rFonts w:eastAsia="宋体"/>
                      <w:sz w:val="15"/>
                      <w:szCs w:val="15"/>
                    </w:rPr>
                  </w:pPr>
                  <w:r>
                    <w:rPr>
                      <w:rFonts w:eastAsia="宋体"/>
                      <w:color w:val="000000"/>
                      <w:kern w:val="24"/>
                      <w:sz w:val="15"/>
                      <w:szCs w:val="15"/>
                    </w:rPr>
                    <w:t>是</w:t>
                  </w:r>
                </w:p>
              </w:txbxContent>
            </v:textbox>
          </v:rect>
        </w:pict>
      </w:r>
      <w:r>
        <w:rPr>
          <w:rFonts w:eastAsia="宋体"/>
          <w:snapToGrid w:val="0"/>
          <w:sz w:val="24"/>
          <w:szCs w:val="24"/>
        </w:rPr>
        <w:pict>
          <v:rect id="矩形 14" o:spid="_x0000_s2079" o:spt="1" style="position:absolute;left:0pt;margin-left:26.3pt;margin-top:197.65pt;height:37.2pt;width:62.85pt;z-index:251672576;mso-width-relative:margin;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">
            <v:path arrowok="t"/>
            <v:fill on="f" focussize="0,0"/>
            <v:stroke on="f"/>
            <v:imagedata o:title=""/>
            <o:lock v:ext="edit"/>
            <v:textbox inset="0mm,0mm,0mm,0mm">
              <w:txbxContent>
                <w:p>
                  <w:pPr>
                    <w:jc w:val="center"/>
                    <w:rPr>
                      <w:rFonts w:eastAsia="宋体"/>
                      <w:b/>
                      <w:bCs/>
                      <w:sz w:val="15"/>
                      <w:szCs w:val="15"/>
                      <w:u w:val="single"/>
                    </w:rPr>
                  </w:pPr>
                  <w:r>
                    <w:rPr>
                      <w:rFonts w:eastAsia="宋体"/>
                      <w:b/>
                      <w:bCs/>
                      <w:color w:val="000000"/>
                      <w:kern w:val="24"/>
                      <w:sz w:val="15"/>
                      <w:szCs w:val="15"/>
                      <w:u w:val="single"/>
                    </w:rPr>
                    <w:t>决定2</w:t>
                  </w:r>
                </w:p>
                <w:p>
                  <w:pPr>
                    <w:jc w:val="center"/>
                    <w:rPr>
                      <w:rFonts w:eastAsia="宋体"/>
                      <w:sz w:val="15"/>
                      <w:szCs w:val="15"/>
                    </w:rPr>
                  </w:pPr>
                  <w:r>
                    <w:rPr>
                      <w:rFonts w:eastAsia="宋体"/>
                      <w:color w:val="000000"/>
                      <w:kern w:val="24"/>
                      <w:sz w:val="15"/>
                      <w:szCs w:val="15"/>
                    </w:rPr>
                    <w:t>这些器械是否有相同的预期用途？</w:t>
                  </w:r>
                </w:p>
              </w:txbxContent>
            </v:textbox>
          </v:rect>
        </w:pict>
      </w:r>
      <w:r>
        <w:rPr>
          <w:rFonts w:eastAsia="宋体"/>
          <w:snapToGrid w:val="0"/>
          <w:sz w:val="24"/>
          <w:szCs w:val="24"/>
        </w:rPr>
        <w:pict>
          <v:rect id="矩形 2" o:spid="_x0000_s2053" o:spt="1" style="position:absolute;left:0pt;margin-left:96.75pt;margin-top:77.9pt;height:8.6pt;width:10.05pt;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">
            <v:path arrowok="t"/>
            <v:fill on="f" focussize="0,0"/>
            <v:stroke on="f"/>
            <v:imagedata o:title=""/>
            <o:lock v:ext="edit"/>
            <v:textbox inset="0mm,0mm,0mm,0mm">
              <w:txbxContent>
                <w:p>
                  <w:pPr>
                    <w:jc w:val="center"/>
                    <w:rPr>
                      <w:rFonts w:eastAsia="宋体"/>
                      <w:sz w:val="15"/>
                      <w:szCs w:val="15"/>
                    </w:rPr>
                  </w:pPr>
                  <w:r>
                    <w:rPr>
                      <w:rFonts w:eastAsia="宋体"/>
                      <w:color w:val="000000"/>
                      <w:kern w:val="24"/>
                      <w:sz w:val="15"/>
                      <w:szCs w:val="15"/>
                    </w:rPr>
                    <w:t>否</w:t>
                  </w:r>
                </w:p>
              </w:txbxContent>
            </v:textbox>
          </v:rect>
        </w:pict>
      </w:r>
      <w:r>
        <w:rPr>
          <w:rFonts w:eastAsia="宋体"/>
          <w:snapToGrid w:val="0"/>
          <w:sz w:val="24"/>
          <w:szCs w:val="24"/>
        </w:rPr>
        <w:pict>
          <v:rect id="矩形 6" o:spid="_x0000_s2075" o:spt="1" style="position:absolute;left:0pt;margin-left:197.8pt;margin-top:62.4pt;height:39.35pt;width:76.05pt;z-index:25166438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">
            <v:path arrowok="t"/>
            <v:fill on="f" focussize="0,0"/>
            <v:stroke on="f"/>
            <v:imagedata o:title=""/>
            <o:lock v:ext="edit"/>
            <v:textbox inset="0mm,0mm,0mm,0mm">
              <w:txbxContent>
                <w:p>
                  <w:pPr>
                    <w:jc w:val="center"/>
                    <w:rPr>
                      <w:rFonts w:eastAsia="宋体"/>
                      <w:b/>
                      <w:bCs/>
                      <w:sz w:val="15"/>
                      <w:szCs w:val="15"/>
                      <w:u w:val="single"/>
                    </w:rPr>
                  </w:pPr>
                  <w:r>
                    <w:rPr>
                      <w:rFonts w:eastAsia="宋体"/>
                      <w:b/>
                      <w:bCs/>
                      <w:color w:val="000000"/>
                      <w:kern w:val="24"/>
                      <w:sz w:val="15"/>
                      <w:szCs w:val="15"/>
                      <w:u w:val="single"/>
                    </w:rPr>
                    <w:t>决定4</w:t>
                  </w:r>
                </w:p>
                <w:p>
                  <w:pPr>
                    <w:jc w:val="center"/>
                    <w:rPr>
                      <w:rFonts w:eastAsia="宋体"/>
                      <w:sz w:val="15"/>
                      <w:szCs w:val="15"/>
                    </w:rPr>
                  </w:pPr>
                  <w:r>
                    <w:rPr>
                      <w:rFonts w:eastAsia="宋体"/>
                      <w:color w:val="000000"/>
                      <w:kern w:val="24"/>
                      <w:sz w:val="15"/>
                      <w:szCs w:val="15"/>
                    </w:rPr>
                    <w:t>器械的不同技术特点是否会引起不同的安全和</w:t>
                  </w:r>
                  <w:r>
                    <w:rPr>
                      <w:rFonts w:ascii="宋体" w:hAnsi="宋体" w:eastAsia="宋体"/>
                      <w:color w:val="000000"/>
                      <w:kern w:val="24"/>
                      <w:sz w:val="15"/>
                      <w:szCs w:val="15"/>
                    </w:rPr>
                    <w:t>“</w:t>
                  </w:r>
                  <w:r>
                    <w:rPr>
                      <w:rFonts w:eastAsia="宋体"/>
                      <w:color w:val="000000"/>
                      <w:kern w:val="24"/>
                      <w:sz w:val="15"/>
                      <w:szCs w:val="15"/>
                    </w:rPr>
                    <w:t>有效性问题？</w:t>
                  </w:r>
                </w:p>
              </w:txbxContent>
            </v:textbox>
          </v:rect>
        </w:pict>
      </w:r>
      <w:r>
        <w:rPr>
          <w:rFonts w:eastAsia="宋体"/>
          <w:snapToGrid w:val="0"/>
          <w:sz w:val="24"/>
          <w:szCs w:val="24"/>
        </w:rPr>
        <w:pict>
          <v:rect id="矩形 17" o:spid="_x0000_s2078" o:spt="1" style="position:absolute;left:0pt;margin-left:205.9pt;margin-top:201.3pt;height:32.7pt;width:57pt;z-index:251675648;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">
            <v:path arrowok="t"/>
            <v:fill on="f" focussize="0,0"/>
            <v:stroke on="f"/>
            <v:imagedata o:title=""/>
            <o:lock v:ext="edit"/>
            <v:textbox inset="0mm,0mm,0mm,0mm">
              <w:txbxContent>
                <w:p>
                  <w:pPr>
                    <w:jc w:val="center"/>
                    <w:rPr>
                      <w:rFonts w:eastAsia="宋体"/>
                      <w:b/>
                      <w:bCs/>
                      <w:sz w:val="15"/>
                      <w:szCs w:val="15"/>
                      <w:u w:val="single"/>
                    </w:rPr>
                  </w:pPr>
                  <w:r>
                    <w:rPr>
                      <w:rFonts w:eastAsia="宋体"/>
                      <w:b/>
                      <w:bCs/>
                      <w:color w:val="000000"/>
                      <w:kern w:val="24"/>
                      <w:sz w:val="15"/>
                      <w:szCs w:val="15"/>
                      <w:u w:val="single"/>
                    </w:rPr>
                    <w:t>决定5a</w:t>
                  </w:r>
                </w:p>
                <w:p>
                  <w:pPr>
                    <w:jc w:val="center"/>
                    <w:rPr>
                      <w:rFonts w:eastAsia="宋体"/>
                      <w:sz w:val="15"/>
                      <w:szCs w:val="15"/>
                    </w:rPr>
                  </w:pPr>
                  <w:r>
                    <w:rPr>
                      <w:rFonts w:eastAsia="宋体"/>
                      <w:color w:val="000000"/>
                      <w:kern w:val="24"/>
                      <w:sz w:val="15"/>
                      <w:szCs w:val="15"/>
                    </w:rPr>
                    <w:t>这些方法是否可以接受？</w:t>
                  </w:r>
                </w:p>
              </w:txbxContent>
            </v:textbox>
          </v:rect>
        </w:pict>
      </w:r>
      <w:r>
        <w:rPr>
          <w:rFonts w:eastAsia="宋体"/>
          <w:snapToGrid w:val="0"/>
          <w:sz w:val="24"/>
          <w:szCs w:val="24"/>
        </w:rPr>
        <w:pict>
          <v:rect id="矩形 16" o:spid="_x0000_s2062" o:spt="1" style="position:absolute;left:0pt;margin-left:181.65pt;margin-top:211pt;height:8.5pt;width:7.35pt;z-index:251674624;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">
            <v:path arrowok="t"/>
            <v:fill on="f" focussize="0,0"/>
            <v:stroke on="f"/>
            <v:imagedata o:title=""/>
            <o:lock v:ext="edit"/>
            <v:textbox inset="0mm,0mm,0mm,0mm">
              <w:txbxContent>
                <w:p>
                  <w:pPr>
                    <w:jc w:val="center"/>
                    <w:rPr>
                      <w:rFonts w:eastAsia="宋体"/>
                      <w:sz w:val="15"/>
                      <w:szCs w:val="15"/>
                    </w:rPr>
                  </w:pPr>
                  <w:r>
                    <w:rPr>
                      <w:rFonts w:eastAsia="宋体"/>
                      <w:color w:val="000000"/>
                      <w:kern w:val="24"/>
                      <w:sz w:val="15"/>
                      <w:szCs w:val="15"/>
                    </w:rPr>
                    <w:t>否</w:t>
                  </w:r>
                </w:p>
              </w:txbxContent>
            </v:textbox>
          </v:rect>
        </w:pict>
      </w:r>
      <w:r>
        <w:rPr>
          <w:rFonts w:eastAsia="宋体"/>
          <w:snapToGrid w:val="0"/>
          <w:sz w:val="24"/>
          <w:szCs w:val="24"/>
        </w:rPr>
        <w:pict>
          <v:rect id="矩形 27" o:spid="_x0000_s2069" o:spt="1" style="position:absolute;left:0pt;margin-left:177.95pt;margin-top:350.6pt;height:8.5pt;width:7.2pt;z-index:2516848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">
            <v:path arrowok="t"/>
            <v:fill on="f" focussize="0,0"/>
            <v:stroke on="f"/>
            <v:imagedata o:title=""/>
            <o:lock v:ext="edit"/>
            <v:textbox inset="0mm,0mm,0mm,0mm">
              <w:txbxContent>
                <w:p>
                  <w:pPr>
                    <w:jc w:val="center"/>
                    <w:rPr>
                      <w:rFonts w:eastAsia="宋体"/>
                      <w:sz w:val="15"/>
                      <w:szCs w:val="15"/>
                    </w:rPr>
                  </w:pPr>
                  <w:r>
                    <w:rPr>
                      <w:rFonts w:eastAsia="宋体"/>
                      <w:color w:val="000000"/>
                      <w:kern w:val="24"/>
                      <w:sz w:val="15"/>
                      <w:szCs w:val="15"/>
                    </w:rPr>
                    <w:t>否</w:t>
                  </w:r>
                </w:p>
              </w:txbxContent>
            </v:textbox>
          </v:rect>
        </w:pict>
      </w:r>
      <w:r>
        <w:rPr>
          <w:rFonts w:eastAsia="宋体"/>
          <w:snapToGrid w:val="0"/>
          <w:sz w:val="24"/>
          <w:szCs w:val="24"/>
        </w:rPr>
        <w:pict>
          <v:rect id="矩形 30" o:spid="_x0000_s2072" o:spt="1" style="position:absolute;left:0pt;margin-left:227.85pt;margin-top:414.4pt;height:10.65pt;width:12.8pt;z-index:251687936;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">
            <v:path arrowok="t"/>
            <v:fill on="f" focussize="0,0"/>
            <v:stroke on="f"/>
            <v:imagedata o:title=""/>
            <o:lock v:ext="edit"/>
            <v:textbox inset="0mm,0mm,0mm,0mm">
              <w:txbxContent>
                <w:p>
                  <w:pPr>
                    <w:jc w:val="center"/>
                    <w:rPr>
                      <w:rFonts w:eastAsia="宋体"/>
                      <w:b/>
                      <w:color w:val="FFFFFF"/>
                      <w:kern w:val="24"/>
                      <w:sz w:val="15"/>
                      <w:szCs w:val="15"/>
                    </w:rPr>
                  </w:pPr>
                  <w:r>
                    <w:rPr>
                      <w:rFonts w:eastAsia="宋体"/>
                      <w:b/>
                      <w:color w:val="FFFFFF"/>
                      <w:kern w:val="24"/>
                      <w:sz w:val="15"/>
                      <w:szCs w:val="15"/>
                    </w:rPr>
                    <w:t>SE</w:t>
                  </w:r>
                </w:p>
              </w:txbxContent>
            </v:textbox>
          </v:rect>
        </w:pict>
      </w:r>
      <w:r>
        <w:rPr>
          <w:rFonts w:eastAsia="宋体"/>
          <w:snapToGrid w:val="0"/>
          <w:sz w:val="24"/>
          <w:szCs w:val="24"/>
        </w:rPr>
        <w:pict>
          <v:rect id="_x0000_s2073" o:spid="_x0000_s2073" o:spt="1" style="position:absolute;left:0pt;margin-left:50.55pt;margin-top:415.2pt;height:10.65pt;width:12.8pt;z-index:251689984;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">
            <v:path arrowok="t"/>
            <v:fill on="f" focussize="0,0"/>
            <v:stroke on="f"/>
            <v:imagedata o:title=""/>
            <o:lock v:ext="edit"/>
            <v:textbox inset="0mm,0mm,0mm,0mm">
              <w:txbxContent>
                <w:p>
                  <w:pPr>
                    <w:jc w:val="center"/>
                    <w:rPr>
                      <w:rFonts w:eastAsia="宋体"/>
                      <w:b/>
                      <w:color w:val="FFFFFF"/>
                      <w:kern w:val="24"/>
                      <w:sz w:val="15"/>
                      <w:szCs w:val="15"/>
                    </w:rPr>
                  </w:pPr>
                  <w:r>
                    <w:rPr>
                      <w:rFonts w:eastAsia="宋体"/>
                      <w:b/>
                      <w:color w:val="FFFFFF"/>
                      <w:kern w:val="24"/>
                      <w:sz w:val="15"/>
                      <w:szCs w:val="15"/>
                    </w:rPr>
                    <w:t>SE</w:t>
                  </w:r>
                </w:p>
              </w:txbxContent>
            </v:textbox>
          </v:rect>
        </w:pict>
      </w:r>
      <w:r>
        <w:rPr>
          <w:rFonts w:eastAsia="宋体"/>
          <w:snapToGrid w:val="0"/>
          <w:sz w:val="24"/>
          <w:szCs w:val="24"/>
        </w:rPr>
        <w:pict>
          <v:rect id="矩形 24" o:spid="_x0000_s2067" o:spt="1" style="position:absolute;left:0pt;margin-left:49.4pt;margin-top:393.55pt;height:8.5pt;width:15.1pt;z-index:2516828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">
            <v:path arrowok="t"/>
            <v:fill on="f" focussize="0,0"/>
            <v:stroke on="f"/>
            <v:imagedata o:title=""/>
            <o:lock v:ext="edit"/>
            <v:textbox inset="0mm,0mm,0mm,0mm">
              <w:txbxContent>
                <w:p>
                  <w:pPr>
                    <w:jc w:val="center"/>
                    <w:rPr>
                      <w:rFonts w:eastAsia="宋体"/>
                      <w:sz w:val="15"/>
                      <w:szCs w:val="15"/>
                    </w:rPr>
                  </w:pPr>
                  <w:r>
                    <w:rPr>
                      <w:rFonts w:eastAsia="宋体"/>
                      <w:color w:val="000000"/>
                      <w:kern w:val="24"/>
                      <w:sz w:val="15"/>
                      <w:szCs w:val="15"/>
                    </w:rPr>
                    <w:t>是</w:t>
                  </w:r>
                </w:p>
              </w:txbxContent>
            </v:textbox>
          </v:rect>
        </w:pict>
      </w:r>
      <w:r>
        <w:rPr>
          <w:rFonts w:eastAsia="宋体"/>
          <w:snapToGrid w:val="0"/>
          <w:sz w:val="24"/>
          <w:szCs w:val="24"/>
        </w:rPr>
        <w:pict>
          <v:rect id="矩形 10" o:spid="_x0000_s2076" o:spt="1" style="position:absolute;left:0pt;margin-left:8.45pt;margin-top:132.05pt;height:27.35pt;width:96.7pt;z-index:251668480;mso-width-relative:margin;mso-height-relative:page;" fillcolor="#F5F5F5"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">
            <v:path arrowok="t"/>
            <v:fill on="t" focussize="0,0"/>
            <v:stroke on="f"/>
            <v:imagedata o:title=""/>
            <o:lock v:ext="edit"/>
            <v:textbox inset="0mm,0mm,0mm,0mm">
              <w:txbxContent>
                <w:p>
                  <w:pPr>
                    <w:jc w:val="center"/>
                    <w:rPr>
                      <w:rFonts w:eastAsia="宋体"/>
                      <w:sz w:val="15"/>
                      <w:szCs w:val="15"/>
                    </w:rPr>
                  </w:pPr>
                  <w:r>
                    <w:rPr>
                      <w:rFonts w:eastAsia="宋体"/>
                      <w:color w:val="000000"/>
                      <w:kern w:val="24"/>
                      <w:sz w:val="15"/>
                      <w:szCs w:val="15"/>
                    </w:rPr>
                    <w:t>审</w:t>
                  </w:r>
                  <w:r>
                    <w:rPr>
                      <w:rFonts w:hint="eastAsia" w:eastAsia="宋体"/>
                      <w:color w:val="000000"/>
                      <w:kern w:val="24"/>
                      <w:sz w:val="15"/>
                      <w:szCs w:val="15"/>
                    </w:rPr>
                    <w:t>评</w:t>
                  </w:r>
                  <w:r>
                    <w:rPr>
                      <w:rFonts w:eastAsia="宋体"/>
                      <w:color w:val="000000"/>
                      <w:kern w:val="24"/>
                      <w:sz w:val="15"/>
                      <w:szCs w:val="15"/>
                    </w:rPr>
                    <w:t>所有的标签，确保其与IFU声明一致。</w:t>
                  </w:r>
                </w:p>
              </w:txbxContent>
            </v:textbox>
          </v:rect>
        </w:pict>
      </w:r>
      <w:r>
        <w:rPr>
          <w:rFonts w:eastAsia="宋体"/>
          <w:snapToGrid w:val="0"/>
          <w:sz w:val="24"/>
          <w:szCs w:val="24"/>
        </w:rPr>
        <w:pict>
          <v:rect id="矩形 8" o:spid="_x0000_s2050" o:spt="1" style="position:absolute;left:0pt;margin-left:34.2pt;margin-top:64.3pt;height:36.7pt;width:48.2pt;z-index:25166643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">
            <v:path arrowok="t"/>
            <v:fill on="f" focussize="0,0"/>
            <v:stroke on="f"/>
            <v:imagedata o:title=""/>
            <o:lock v:ext="edit"/>
            <v:textbox inset="0mm,0mm,0mm,0mm">
              <w:txbxContent>
                <w:p>
                  <w:pPr>
                    <w:jc w:val="center"/>
                    <w:rPr>
                      <w:rFonts w:eastAsia="宋体"/>
                      <w:b/>
                      <w:bCs/>
                      <w:sz w:val="15"/>
                      <w:szCs w:val="15"/>
                      <w:u w:val="single"/>
                    </w:rPr>
                  </w:pPr>
                  <w:r>
                    <w:rPr>
                      <w:rFonts w:eastAsia="宋体"/>
                      <w:b/>
                      <w:bCs/>
                      <w:color w:val="000000"/>
                      <w:kern w:val="24"/>
                      <w:sz w:val="15"/>
                      <w:szCs w:val="15"/>
                      <w:u w:val="single"/>
                    </w:rPr>
                    <w:t>决定1</w:t>
                  </w:r>
                </w:p>
                <w:p>
                  <w:pPr>
                    <w:jc w:val="center"/>
                    <w:rPr>
                      <w:rFonts w:eastAsia="宋体"/>
                      <w:sz w:val="15"/>
                      <w:szCs w:val="15"/>
                    </w:rPr>
                  </w:pPr>
                  <w:r>
                    <w:rPr>
                      <w:rFonts w:hint="eastAsia" w:eastAsia="宋体"/>
                      <w:color w:val="000000"/>
                      <w:kern w:val="24"/>
                      <w:sz w:val="15"/>
                      <w:szCs w:val="15"/>
                    </w:rPr>
                    <w:t>同品种</w:t>
                  </w:r>
                  <w:r>
                    <w:rPr>
                      <w:rFonts w:eastAsia="宋体"/>
                      <w:color w:val="000000"/>
                      <w:kern w:val="24"/>
                      <w:sz w:val="15"/>
                      <w:szCs w:val="15"/>
                    </w:rPr>
                    <w:t>器械是否合法销售？</w:t>
                  </w:r>
                </w:p>
              </w:txbxContent>
            </v:textbox>
          </v:rect>
        </w:pict>
      </w:r>
      <w:r>
        <w:rPr>
          <w:rFonts w:eastAsia="宋体"/>
          <w:snapToGrid w:val="0"/>
          <w:sz w:val="24"/>
          <w:szCs w:val="24"/>
        </w:rPr>
        <w:pict>
          <v:rect id="矩形 22" o:spid="_x0000_s2081" o:spt="1" style="position:absolute;left:0pt;margin-left:114.35pt;margin-top:350.2pt;height:7.45pt;width:8.4pt;z-index:251680768;mso-width-relative:page;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">
            <v:path arrowok="t"/>
            <v:fill on="f" focussize="0,0"/>
            <v:stroke on="f"/>
            <v:imagedata o:title=""/>
            <o:lock v:ext="edit"/>
            <v:textbox inset="0mm,0mm,0mm,0mm">
              <w:txbxContent>
                <w:p>
                  <w:pPr>
                    <w:jc w:val="center"/>
                    <w:rPr>
                      <w:rFonts w:eastAsia="宋体"/>
                      <w:sz w:val="15"/>
                      <w:szCs w:val="15"/>
                    </w:rPr>
                  </w:pPr>
                  <w:r>
                    <w:rPr>
                      <w:rFonts w:eastAsia="宋体"/>
                      <w:color w:val="000000"/>
                      <w:kern w:val="24"/>
                      <w:sz w:val="15"/>
                      <w:szCs w:val="15"/>
                    </w:rPr>
                    <w:t>否</w:t>
                  </w:r>
                </w:p>
              </w:txbxContent>
            </v:textbox>
          </v:rect>
        </w:pict>
      </w:r>
      <w:r>
        <w:rPr>
          <w:rFonts w:eastAsia="宋体"/>
          <w:snapToGrid w:val="0"/>
          <w:sz w:val="24"/>
          <w:szCs w:val="24"/>
        </w:rPr>
        <w:pict>
          <v:rect id="矩形 23" o:spid="_x0000_s2080" o:spt="1" style="position:absolute;left:0pt;margin-left:27.45pt;margin-top:337.85pt;height:37.2pt;width:62.45pt;z-index:251681792;mso-width-relative:margin;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">
            <v:path arrowok="t"/>
            <v:fill on="f" focussize="0,0"/>
            <v:stroke on="f"/>
            <v:imagedata o:title=""/>
            <o:lock v:ext="edit"/>
            <v:textbox inset="0mm,0mm,0mm,0mm">
              <w:txbxContent>
                <w:p>
                  <w:pPr>
                    <w:jc w:val="center"/>
                    <w:rPr>
                      <w:rFonts w:eastAsia="宋体"/>
                      <w:b/>
                      <w:bCs/>
                      <w:sz w:val="15"/>
                      <w:szCs w:val="15"/>
                      <w:u w:val="single"/>
                    </w:rPr>
                  </w:pPr>
                  <w:r>
                    <w:rPr>
                      <w:rFonts w:eastAsia="宋体"/>
                      <w:b/>
                      <w:bCs/>
                      <w:color w:val="000000"/>
                      <w:kern w:val="24"/>
                      <w:sz w:val="15"/>
                      <w:szCs w:val="15"/>
                      <w:u w:val="single"/>
                    </w:rPr>
                    <w:t>决定3</w:t>
                  </w:r>
                </w:p>
                <w:p>
                  <w:pPr>
                    <w:jc w:val="center"/>
                    <w:rPr>
                      <w:rFonts w:eastAsia="宋体"/>
                      <w:sz w:val="15"/>
                      <w:szCs w:val="15"/>
                    </w:rPr>
                  </w:pPr>
                  <w:r>
                    <w:rPr>
                      <w:rFonts w:eastAsia="宋体"/>
                      <w:color w:val="000000"/>
                      <w:kern w:val="24"/>
                      <w:sz w:val="15"/>
                      <w:szCs w:val="15"/>
                    </w:rPr>
                    <w:t>这些器械是否具有相同的技术特征</w:t>
                  </w:r>
                </w:p>
              </w:txbxContent>
            </v:textbox>
          </v:rect>
        </w:pict>
      </w:r>
      <w:r>
        <w:rPr>
          <w:rFonts w:eastAsia="宋体"/>
          <w:snapToGrid w:val="0"/>
          <w:sz w:val="24"/>
          <w:szCs w:val="24"/>
        </w:rPr>
        <w:pict>
          <v:rect id="_x0000_s2074" o:spid="_x0000_s2074" o:spt="1" style="position:absolute;left:0pt;margin-left:229.75pt;margin-top:116.25pt;height:8.6pt;width:10.05pt;z-index:25169100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">
            <v:path arrowok="t"/>
            <v:fill on="f" focussize="0,0"/>
            <v:stroke on="f"/>
            <v:imagedata o:title=""/>
            <o:lock v:ext="edit"/>
            <v:textbox inset="0mm,0mm,0mm,0mm">
              <w:txbxContent>
                <w:p>
                  <w:pPr>
                    <w:jc w:val="center"/>
                    <w:rPr>
                      <w:rFonts w:eastAsia="宋体"/>
                      <w:sz w:val="15"/>
                      <w:szCs w:val="15"/>
                    </w:rPr>
                  </w:pPr>
                  <w:r>
                    <w:rPr>
                      <w:rFonts w:eastAsia="宋体"/>
                      <w:color w:val="000000"/>
                      <w:kern w:val="24"/>
                      <w:sz w:val="15"/>
                      <w:szCs w:val="15"/>
                    </w:rPr>
                    <w:t>否</w:t>
                  </w:r>
                </w:p>
              </w:txbxContent>
            </v:textbox>
          </v:rect>
        </w:pict>
      </w:r>
      <w:r>
        <w:rPr>
          <w:rFonts w:eastAsia="宋体"/>
          <w:snapToGrid w:val="0"/>
          <w:sz w:val="24"/>
          <w:szCs w:val="24"/>
        </w:rPr>
        <w:pict>
          <v:rect id="矩形 28" o:spid="_x0000_s2071" o:spt="1" style="position:absolute;left:0pt;margin-left:206.35pt;margin-top:342.25pt;height:27.6pt;width:52.3pt;z-index:2516858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">
            <v:path arrowok="t"/>
            <v:fill on="f" focussize="0,0"/>
            <v:stroke on="f"/>
            <v:imagedata o:title=""/>
            <o:lock v:ext="edit"/>
            <v:textbox inset="0mm,0mm,0mm,0mm">
              <w:txbxContent>
                <w:p>
                  <w:pPr>
                    <w:jc w:val="center"/>
                    <w:rPr>
                      <w:rFonts w:eastAsia="宋体"/>
                      <w:b/>
                      <w:bCs/>
                      <w:sz w:val="15"/>
                      <w:szCs w:val="15"/>
                      <w:u w:val="single"/>
                    </w:rPr>
                  </w:pPr>
                  <w:r>
                    <w:rPr>
                      <w:rFonts w:hint="eastAsia" w:eastAsia="宋体"/>
                      <w:b/>
                      <w:bCs/>
                      <w:color w:val="000000"/>
                      <w:kern w:val="24"/>
                      <w:sz w:val="15"/>
                      <w:szCs w:val="15"/>
                      <w:u w:val="single"/>
                    </w:rPr>
                    <w:t>决定</w:t>
                  </w:r>
                  <w:r>
                    <w:rPr>
                      <w:rFonts w:eastAsia="宋体"/>
                      <w:b/>
                      <w:bCs/>
                      <w:color w:val="000000"/>
                      <w:kern w:val="24"/>
                      <w:sz w:val="15"/>
                      <w:szCs w:val="15"/>
                      <w:u w:val="single"/>
                    </w:rPr>
                    <w:t>5b</w:t>
                  </w:r>
                </w:p>
                <w:p>
                  <w:pPr>
                    <w:jc w:val="center"/>
                    <w:rPr>
                      <w:rFonts w:eastAsia="宋体"/>
                      <w:sz w:val="15"/>
                      <w:szCs w:val="15"/>
                    </w:rPr>
                  </w:pPr>
                  <w:r>
                    <w:rPr>
                      <w:rFonts w:eastAsia="宋体"/>
                      <w:color w:val="000000"/>
                      <w:kern w:val="24"/>
                      <w:sz w:val="15"/>
                      <w:szCs w:val="15"/>
                    </w:rPr>
                    <w:t>数据是否证明了SE？</w:t>
                  </w:r>
                </w:p>
              </w:txbxContent>
            </v:textbox>
          </v:rect>
        </w:pict>
      </w:r>
      <w:r>
        <w:rPr>
          <w:rFonts w:eastAsia="宋体"/>
          <w:snapToGrid w:val="0"/>
          <w:sz w:val="24"/>
          <w:szCs w:val="24"/>
        </w:rPr>
        <w:pict>
          <v:rect id="矩形 29" o:spid="_x0000_s2070" o:spt="1" style="position:absolute;left:0pt;margin-left:227.25pt;margin-top:395.95pt;height:7.9pt;width:13.65pt;z-index:2516869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">
            <v:path arrowok="t"/>
            <v:fill on="f" focussize="0,0"/>
            <v:stroke on="f"/>
            <v:imagedata o:title=""/>
            <o:lock v:ext="edit"/>
            <v:textbox inset="0mm,0mm,0mm,0mm">
              <w:txbxContent>
                <w:p>
                  <w:pPr>
                    <w:jc w:val="center"/>
                    <w:rPr>
                      <w:rFonts w:eastAsia="宋体"/>
                      <w:sz w:val="15"/>
                      <w:szCs w:val="15"/>
                    </w:rPr>
                  </w:pPr>
                  <w:r>
                    <w:rPr>
                      <w:rFonts w:eastAsia="宋体"/>
                      <w:color w:val="000000"/>
                      <w:kern w:val="24"/>
                      <w:sz w:val="15"/>
                      <w:szCs w:val="15"/>
                    </w:rPr>
                    <w:t>是</w:t>
                  </w:r>
                </w:p>
              </w:txbxContent>
            </v:textbox>
          </v:rect>
        </w:pict>
      </w:r>
      <w:r>
        <w:rPr>
          <w:rFonts w:eastAsia="宋体"/>
          <w:snapToGrid w:val="0"/>
          <w:sz w:val="24"/>
          <w:szCs w:val="24"/>
        </w:rPr>
        <w:pict>
          <v:rect id="矩形 21" o:spid="_x0000_s2066" o:spt="1" style="position:absolute;left:0pt;margin-left:8.1pt;margin-top:272.6pt;height:28.05pt;width:96.7pt;z-index:25167974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">
            <v:path arrowok="t"/>
            <v:fill on="f" focussize="0,0"/>
            <v:stroke on="f"/>
            <v:imagedata o:title=""/>
            <o:lock v:ext="edit"/>
            <v:textbox inset="0mm,0mm,0mm,0mm">
              <w:txbxContent>
                <w:p>
                  <w:pPr>
                    <w:jc w:val="center"/>
                    <w:rPr>
                      <w:rFonts w:eastAsia="宋体"/>
                      <w:sz w:val="15"/>
                      <w:szCs w:val="15"/>
                    </w:rPr>
                  </w:pPr>
                  <w:r>
                    <w:rPr>
                      <w:rFonts w:eastAsia="宋体"/>
                      <w:color w:val="000000"/>
                      <w:kern w:val="24"/>
                      <w:sz w:val="15"/>
                      <w:szCs w:val="15"/>
                    </w:rPr>
                    <w:t>审</w:t>
                  </w:r>
                  <w:r>
                    <w:rPr>
                      <w:rFonts w:hint="eastAsia" w:eastAsia="宋体"/>
                      <w:color w:val="000000"/>
                      <w:kern w:val="24"/>
                      <w:sz w:val="15"/>
                      <w:szCs w:val="15"/>
                    </w:rPr>
                    <w:t>评</w:t>
                  </w:r>
                  <w:r>
                    <w:rPr>
                      <w:rFonts w:eastAsia="宋体"/>
                      <w:color w:val="000000"/>
                      <w:kern w:val="24"/>
                      <w:sz w:val="15"/>
                      <w:szCs w:val="15"/>
                    </w:rPr>
                    <w:t>器械的设计、材料、能源和其他特征</w:t>
                  </w:r>
                </w:p>
              </w:txbxContent>
            </v:textbox>
          </v:rect>
        </w:pict>
      </w:r>
      <w:r>
        <w:rPr>
          <w:rFonts w:eastAsia="宋体"/>
          <w:snapToGrid w:val="0"/>
          <w:sz w:val="24"/>
          <w:szCs w:val="24"/>
        </w:rPr>
        <w:pict>
          <v:rect id="矩形 20" o:spid="_x0000_s2065" o:spt="1" style="position:absolute;left:0pt;margin-left:8.45pt;margin-top:250.85pt;height:7.2pt;width:96.7pt;z-index:25167872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">
            <v:path arrowok="t"/>
            <v:fill on="f" focussize="0,0"/>
            <v:stroke on="f"/>
            <v:imagedata o:title=""/>
            <o:lock v:ext="edit"/>
            <v:textbox inset="0mm,0mm,0mm,0mm">
              <w:txbxContent>
                <w:p>
                  <w:pPr>
                    <w:jc w:val="center"/>
                    <w:rPr>
                      <w:rFonts w:eastAsia="宋体"/>
                      <w:sz w:val="15"/>
                      <w:szCs w:val="15"/>
                    </w:rPr>
                  </w:pPr>
                  <w:r>
                    <w:rPr>
                      <w:rFonts w:eastAsia="宋体"/>
                      <w:color w:val="000000"/>
                      <w:kern w:val="24"/>
                      <w:sz w:val="15"/>
                      <w:szCs w:val="15"/>
                    </w:rPr>
                    <w:t>是</w:t>
                  </w:r>
                </w:p>
              </w:txbxContent>
            </v:textbox>
          </v:rect>
        </w:pict>
      </w:r>
      <w:r>
        <w:rPr>
          <w:rFonts w:eastAsia="宋体"/>
          <w:snapToGrid w:val="0"/>
          <w:sz w:val="24"/>
          <w:szCs w:val="24"/>
        </w:rPr>
        <w:pict>
          <v:rect id="矩形 18" o:spid="_x0000_s2064" o:spt="1" style="position:absolute;left:0pt;margin-left:192.55pt;margin-top:276.55pt;height:13.4pt;width:86.15pt;z-index:25167667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">
            <v:path arrowok="t"/>
            <v:fill on="f" focussize="0,0"/>
            <v:stroke on="f"/>
            <v:imagedata o:title=""/>
            <o:lock v:ext="edit"/>
            <v:textbox inset="0mm,0mm,0mm,0mm">
              <w:txbxContent>
                <w:p>
                  <w:pPr>
                    <w:jc w:val="center"/>
                    <w:rPr>
                      <w:rFonts w:eastAsia="宋体"/>
                      <w:sz w:val="15"/>
                      <w:szCs w:val="15"/>
                    </w:rPr>
                  </w:pPr>
                  <w:r>
                    <w:rPr>
                      <w:rFonts w:eastAsia="宋体"/>
                      <w:color w:val="000000"/>
                      <w:kern w:val="24"/>
                      <w:sz w:val="15"/>
                      <w:szCs w:val="15"/>
                    </w:rPr>
                    <w:t>评</w:t>
                  </w:r>
                  <w:r>
                    <w:rPr>
                      <w:rFonts w:hint="eastAsia" w:eastAsia="宋体"/>
                      <w:color w:val="000000"/>
                      <w:kern w:val="24"/>
                      <w:sz w:val="15"/>
                      <w:szCs w:val="15"/>
                    </w:rPr>
                    <w:t>价</w:t>
                  </w:r>
                  <w:r>
                    <w:rPr>
                      <w:rFonts w:eastAsia="宋体"/>
                      <w:color w:val="000000"/>
                      <w:kern w:val="24"/>
                      <w:sz w:val="15"/>
                      <w:szCs w:val="15"/>
                    </w:rPr>
                    <w:t>性能数据</w:t>
                  </w:r>
                </w:p>
              </w:txbxContent>
            </v:textbox>
          </v:rect>
        </w:pict>
      </w:r>
      <w:r>
        <w:rPr>
          <w:rFonts w:eastAsia="宋体"/>
          <w:snapToGrid w:val="0"/>
          <w:sz w:val="24"/>
          <w:szCs w:val="24"/>
        </w:rPr>
        <w:pict>
          <v:rect id="矩形 19" o:spid="_x0000_s2063" o:spt="1" style="position:absolute;left:0pt;margin-left:229.25pt;margin-top:249.3pt;height:7.65pt;width:9.6pt;z-index:25167769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">
            <v:path arrowok="t"/>
            <v:fill on="f" focussize="0,0"/>
            <v:stroke on="f"/>
            <v:imagedata o:title=""/>
            <o:lock v:ext="edit"/>
            <v:textbox inset="0mm,0mm,0mm,0mm">
              <w:txbxContent>
                <w:p>
                  <w:pPr>
                    <w:jc w:val="center"/>
                    <w:rPr>
                      <w:rFonts w:eastAsia="宋体"/>
                      <w:sz w:val="15"/>
                      <w:szCs w:val="15"/>
                    </w:rPr>
                  </w:pPr>
                  <w:r>
                    <w:rPr>
                      <w:rFonts w:eastAsia="宋体"/>
                      <w:color w:val="000000"/>
                      <w:kern w:val="24"/>
                      <w:sz w:val="15"/>
                      <w:szCs w:val="15"/>
                    </w:rPr>
                    <w:t>是</w:t>
                  </w:r>
                </w:p>
              </w:txbxContent>
            </v:textbox>
          </v:rect>
        </w:pict>
      </w:r>
      <w:r>
        <w:rPr>
          <w:rFonts w:eastAsia="宋体"/>
          <w:snapToGrid w:val="0"/>
          <w:sz w:val="24"/>
          <w:szCs w:val="24"/>
        </w:rPr>
        <w:pict>
          <v:rect id="_x0000_s2060" o:spid="_x0000_s2060" o:spt="1" style="position:absolute;left:0pt;margin-left:116.3pt;margin-top:210.45pt;height:8.15pt;width:14.6pt;z-index:25167052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">
            <v:path arrowok="t"/>
            <v:fill on="f" focussize="0,0"/>
            <v:stroke on="f"/>
            <v:imagedata o:title=""/>
            <o:lock v:ext="edit"/>
            <v:textbox inset="0mm,0mm,0mm,0mm">
              <w:txbxContent>
                <w:p>
                  <w:pPr>
                    <w:jc w:val="center"/>
                    <w:rPr>
                      <w:rFonts w:eastAsia="宋体"/>
                      <w:b/>
                      <w:sz w:val="15"/>
                      <w:szCs w:val="15"/>
                    </w:rPr>
                  </w:pPr>
                  <w:r>
                    <w:rPr>
                      <w:rFonts w:eastAsia="宋体"/>
                      <w:b/>
                      <w:color w:val="FFFFFF"/>
                      <w:kern w:val="24"/>
                      <w:sz w:val="15"/>
                      <w:szCs w:val="15"/>
                    </w:rPr>
                    <w:t>NSE</w:t>
                  </w:r>
                </w:p>
              </w:txbxContent>
            </v:textbox>
          </v:rect>
        </w:pict>
      </w:r>
      <w:r>
        <w:rPr>
          <w:rFonts w:eastAsia="宋体"/>
          <w:snapToGrid w:val="0"/>
          <w:sz w:val="24"/>
          <w:szCs w:val="24"/>
        </w:rPr>
        <w:pict>
          <v:rect id="矩形 13" o:spid="_x0000_s2059" o:spt="1" style="position:absolute;left:0pt;margin-left:98.65pt;margin-top:211.25pt;height:8.15pt;width:9.35pt;z-index:25167155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">
            <v:path arrowok="t"/>
            <v:fill on="f" focussize="0,0"/>
            <v:stroke on="f"/>
            <v:imagedata o:title=""/>
            <o:lock v:ext="edit"/>
            <v:textbox inset="0mm,0mm,0mm,0mm">
              <w:txbxContent>
                <w:p>
                  <w:pPr>
                    <w:jc w:val="center"/>
                    <w:rPr>
                      <w:rFonts w:eastAsia="宋体"/>
                      <w:sz w:val="15"/>
                      <w:szCs w:val="15"/>
                    </w:rPr>
                  </w:pPr>
                  <w:r>
                    <w:rPr>
                      <w:rFonts w:eastAsia="宋体"/>
                      <w:color w:val="000000"/>
                      <w:kern w:val="24"/>
                      <w:sz w:val="15"/>
                      <w:szCs w:val="15"/>
                    </w:rPr>
                    <w:t>否</w:t>
                  </w:r>
                </w:p>
              </w:txbxContent>
            </v:textbox>
          </v:rect>
        </w:pict>
      </w:r>
      <w:r>
        <w:rPr>
          <w:rFonts w:eastAsia="宋体"/>
          <w:snapToGrid w:val="0"/>
          <w:sz w:val="24"/>
          <w:szCs w:val="24"/>
        </w:rPr>
        <w:pict>
          <v:rect id="矩形 11" o:spid="_x0000_s2058" o:spt="1" style="position:absolute;left:0pt;margin-left:186.05pt;margin-top:132.05pt;height:35.5pt;width:97.45pt;z-index:251669504;mso-width-relative:margin;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">
            <v:path arrowok="t"/>
            <v:fill on="f" focussize="0,0"/>
            <v:stroke on="f"/>
            <v:imagedata o:title=""/>
            <o:lock v:ext="edit"/>
            <v:textbox inset="0mm,0mm,0mm,0mm">
              <w:txbxContent>
                <w:p>
                  <w:pPr>
                    <w:jc w:val="center"/>
                    <w:rPr>
                      <w:rFonts w:eastAsia="宋体"/>
                      <w:sz w:val="15"/>
                      <w:szCs w:val="15"/>
                    </w:rPr>
                  </w:pPr>
                  <w:r>
                    <w:rPr>
                      <w:rFonts w:eastAsia="宋体"/>
                      <w:color w:val="000000"/>
                      <w:kern w:val="24"/>
                      <w:sz w:val="15"/>
                      <w:szCs w:val="15"/>
                    </w:rPr>
                    <w:t>审</w:t>
                  </w:r>
                  <w:r>
                    <w:rPr>
                      <w:rFonts w:hint="eastAsia" w:eastAsia="宋体"/>
                      <w:color w:val="000000"/>
                      <w:kern w:val="24"/>
                      <w:sz w:val="15"/>
                      <w:szCs w:val="15"/>
                    </w:rPr>
                    <w:t>评</w:t>
                  </w:r>
                  <w:r>
                    <w:rPr>
                      <w:rFonts w:eastAsia="宋体"/>
                      <w:color w:val="000000"/>
                      <w:kern w:val="24"/>
                      <w:sz w:val="15"/>
                      <w:szCs w:val="15"/>
                    </w:rPr>
                    <w:t>拟议的科学方法，以评</w:t>
                  </w:r>
                  <w:r>
                    <w:rPr>
                      <w:rFonts w:hint="eastAsia" w:eastAsia="宋体"/>
                      <w:color w:val="000000"/>
                      <w:kern w:val="24"/>
                      <w:sz w:val="15"/>
                      <w:szCs w:val="15"/>
                    </w:rPr>
                    <w:t>价</w:t>
                  </w:r>
                  <w:r>
                    <w:rPr>
                      <w:rFonts w:eastAsia="宋体"/>
                      <w:color w:val="000000"/>
                      <w:kern w:val="24"/>
                      <w:sz w:val="15"/>
                      <w:szCs w:val="15"/>
                    </w:rPr>
                    <w:t>新的/不同特征对安全有效性的影响。</w:t>
                  </w:r>
                </w:p>
              </w:txbxContent>
            </v:textbox>
          </v:rect>
        </w:pict>
      </w:r>
      <w:r>
        <w:rPr>
          <w:rFonts w:eastAsia="宋体"/>
          <w:snapToGrid w:val="0"/>
          <w:sz w:val="24"/>
          <w:szCs w:val="24"/>
        </w:rPr>
        <w:pict>
          <v:rect id="矩形 7" o:spid="_x0000_s2052" o:spt="1" style="position:absolute;left:0pt;margin-left:186.85pt;margin-top:12.75pt;height:25.4pt;width:96pt;z-index:251665408;mso-width-relative:margin;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">
            <v:path arrowok="t"/>
            <v:fill on="f" focussize="0,0"/>
            <v:stroke on="f"/>
            <v:imagedata o:title=""/>
            <o:lock v:ext="edit"/>
            <v:textbox inset="0mm,0mm,0mm,0mm">
              <w:txbxContent>
                <w:p>
                  <w:pPr>
                    <w:jc w:val="center"/>
                    <w:rPr>
                      <w:rFonts w:eastAsia="宋体"/>
                      <w:sz w:val="15"/>
                      <w:szCs w:val="15"/>
                    </w:rPr>
                  </w:pPr>
                  <w:r>
                    <w:rPr>
                      <w:rFonts w:eastAsia="宋体"/>
                      <w:color w:val="000000"/>
                      <w:kern w:val="24"/>
                      <w:sz w:val="15"/>
                      <w:szCs w:val="15"/>
                    </w:rPr>
                    <w:t>确定不同的技术特点引起了哪些安全有效性的问题。</w:t>
                  </w:r>
                </w:p>
              </w:txbxContent>
            </v:textbox>
          </v:rect>
        </w:pict>
      </w:r>
      <w:r>
        <w:rPr>
          <w:rFonts w:eastAsia="宋体"/>
          <w:snapToGrid w:val="0"/>
          <w:sz w:val="24"/>
          <w:szCs w:val="24"/>
        </w:rPr>
        <w:pict>
          <v:rect id="矩形 1" o:spid="_x0000_s2051" o:spt="1" style="position:absolute;left:0pt;margin-left:29.55pt;margin-top:11.95pt;height:25.9pt;width:53.75pt;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">
            <v:path arrowok="t"/>
            <v:fill on="f" focussize="0,0"/>
            <v:stroke on="f"/>
            <v:imagedata o:title=""/>
            <o:lock v:ext="edit"/>
            <v:textbox inset="0mm,0mm,0mm,0mm">
              <w:txbxContent>
                <w:p>
                  <w:pPr>
                    <w:jc w:val="center"/>
                    <w:rPr>
                      <w:rFonts w:eastAsia="宋体"/>
                      <w:sz w:val="15"/>
                      <w:szCs w:val="15"/>
                    </w:rPr>
                  </w:pPr>
                  <w:r>
                    <w:rPr>
                      <w:rFonts w:eastAsia="宋体"/>
                      <w:color w:val="000000"/>
                      <w:kern w:val="24"/>
                      <w:sz w:val="15"/>
                      <w:szCs w:val="15"/>
                    </w:rPr>
                    <w:t>识别新器械和</w:t>
                  </w:r>
                  <w:r>
                    <w:rPr>
                      <w:rFonts w:hint="eastAsia" w:eastAsia="宋体"/>
                      <w:color w:val="000000"/>
                      <w:kern w:val="24"/>
                      <w:sz w:val="15"/>
                      <w:szCs w:val="15"/>
                    </w:rPr>
                    <w:t>同品种</w:t>
                  </w:r>
                  <w:r>
                    <w:rPr>
                      <w:rFonts w:eastAsia="宋体"/>
                      <w:color w:val="000000"/>
                      <w:kern w:val="24"/>
                      <w:sz w:val="15"/>
                      <w:szCs w:val="15"/>
                    </w:rPr>
                    <w:t>器械</w:t>
                  </w:r>
                </w:p>
              </w:txbxContent>
            </v:textbox>
          </v:rect>
        </w:pict>
      </w:r>
      <w:r>
        <w:rPr>
          <w:rFonts w:eastAsia="宋体"/>
          <w:snapToGrid w:val="0"/>
          <w:sz w:val="24"/>
          <w:szCs w:val="24"/>
        </w:rPr>
        <w:pict>
          <v:shape id="_x0000_i1026" o:spt="75" type="#_x0000_t75" style="height:430.5pt;width:453.75pt;" filled="f" o:preferrelative="t" stroked="f" coordsize="21600,21600">
            <v:path/>
            <v:fill on="f" focussize="0,0"/>
            <v:stroke on="f" joinstyle="miter"/>
            <v:imagedata r:id="rId8" o:title=""/>
            <o:lock v:ext="edit" aspectratio="t"/>
            <w10:wrap type="none"/>
            <w10:anchorlock/>
          </v:shape>
        </w:pict>
      </w:r>
    </w:p>
    <w:p>
      <w:pPr>
        <w:snapToGrid w:val="0"/>
        <w:jc w:val="both"/>
        <w:rPr>
          <w:rFonts w:eastAsia="宋体"/>
          <w:snapToGrid w:val="0"/>
          <w:sz w:val="24"/>
          <w:szCs w:val="24"/>
        </w:rPr>
      </w:pPr>
    </w:p>
    <w:p>
      <w:pPr>
        <w:snapToGrid w:val="0"/>
        <w:jc w:val="both"/>
        <w:rPr>
          <w:sz w:val="24"/>
        </w:rPr>
      </w:pPr>
      <w:bookmarkStart w:id="14" w:name="bookmark12"/>
      <w:bookmarkEnd w:id="14"/>
      <w:r>
        <w:rPr>
          <w:rFonts w:hint="eastAsia"/>
          <w:b/>
          <w:color w:val="000000"/>
          <w:sz w:val="24"/>
        </w:rPr>
        <w:t>图</w:t>
      </w:r>
      <w:r>
        <w:rPr>
          <w:b/>
          <w:color w:val="000000"/>
          <w:sz w:val="24"/>
        </w:rPr>
        <w:t>1</w:t>
      </w:r>
      <w:r>
        <w:rPr>
          <w:rFonts w:eastAsia="宋体"/>
          <w:b/>
          <w:bCs/>
          <w:snapToGrid w:val="0"/>
          <w:color w:val="000000"/>
          <w:sz w:val="24"/>
          <w:szCs w:val="24"/>
        </w:rPr>
        <w:t>：</w:t>
      </w:r>
      <w:r>
        <w:rPr>
          <w:rFonts w:hint="eastAsia"/>
          <w:color w:val="000000"/>
          <w:sz w:val="24"/>
        </w:rPr>
        <w:t>决策流程图（改编自《</w:t>
      </w:r>
      <w:r>
        <w:rPr>
          <w:color w:val="000000"/>
          <w:sz w:val="24"/>
        </w:rPr>
        <w:t>510</w:t>
      </w:r>
      <w:r>
        <w:rPr>
          <w:rFonts w:hint="eastAsia"/>
          <w:color w:val="000000"/>
          <w:sz w:val="24"/>
        </w:rPr>
        <w:t>（</w:t>
      </w:r>
      <w:r>
        <w:rPr>
          <w:color w:val="000000"/>
          <w:sz w:val="24"/>
        </w:rPr>
        <w:t>k</w:t>
      </w:r>
      <w:r>
        <w:rPr>
          <w:rFonts w:hint="eastAsia"/>
          <w:color w:val="000000"/>
          <w:sz w:val="24"/>
        </w:rPr>
        <w:t>）计划指南》）显示了在纳入获益风险评估可能有帮助的过程中的步骤。</w:t>
      </w:r>
    </w:p>
    <w:p>
      <w:pPr>
        <w:snapToGrid w:val="0"/>
        <w:jc w:val="both"/>
        <w:rPr>
          <w:sz w:val="24"/>
        </w:rPr>
      </w:pPr>
    </w:p>
    <w:p>
      <w:pPr>
        <w:snapToGrid w:val="0"/>
        <w:jc w:val="both"/>
        <w:rPr>
          <w:sz w:val="24"/>
        </w:rPr>
      </w:pPr>
    </w:p>
    <w:p>
      <w:pPr>
        <w:snapToGrid w:val="0"/>
        <w:jc w:val="both"/>
        <w:rPr>
          <w:sz w:val="24"/>
        </w:rPr>
        <w:sectPr>
          <w:pgSz w:w="11906" w:h="16838"/>
          <w:pgMar w:top="1134" w:right="1134" w:bottom="1134" w:left="1418" w:header="567" w:footer="567" w:gutter="0"/>
          <w:cols w:space="60" w:num="1"/>
          <w:docGrid w:linePitch="272" w:charSpace="0"/>
        </w:sectPr>
      </w:pPr>
    </w:p>
    <w:p>
      <w:pPr>
        <w:pStyle w:val="2"/>
        <w:spacing w:before="0" w:beforeLines="0" w:after="0" w:afterLines="0"/>
        <w:rPr>
          <w:sz w:val="32"/>
        </w:rPr>
      </w:pPr>
      <w:bookmarkStart w:id="15" w:name="bookmark13"/>
      <w:bookmarkStart w:id="16" w:name="_Toc98779743"/>
      <w:bookmarkStart w:id="17" w:name="_Toc97472523"/>
      <w:r>
        <w:rPr>
          <w:sz w:val="32"/>
        </w:rPr>
        <w:t>I</w:t>
      </w:r>
      <w:bookmarkEnd w:id="15"/>
      <w:r>
        <w:rPr>
          <w:sz w:val="32"/>
        </w:rPr>
        <w:t>V.</w:t>
      </w:r>
      <w:r>
        <w:rPr>
          <w:sz w:val="32"/>
        </w:rPr>
        <w:tab/>
      </w:r>
      <w:r>
        <w:rPr>
          <w:rFonts w:hint="eastAsia"/>
          <w:sz w:val="32"/>
        </w:rPr>
        <w:t>获益和风险因素</w:t>
      </w:r>
      <w:bookmarkEnd w:id="16"/>
      <w:bookmarkEnd w:id="17"/>
    </w:p>
    <w:p>
      <w:pPr>
        <w:snapToGrid w:val="0"/>
        <w:ind w:firstLine="480" w:firstLineChars="200"/>
        <w:jc w:val="both"/>
        <w:rPr>
          <w:rFonts w:eastAsia="宋体"/>
          <w:snapToGrid w:val="0"/>
          <w:color w:val="000000"/>
          <w:sz w:val="24"/>
          <w:szCs w:val="24"/>
        </w:rPr>
      </w:pPr>
    </w:p>
    <w:p>
      <w:pPr>
        <w:snapToGrid w:val="0"/>
        <w:ind w:firstLine="480" w:firstLineChars="200"/>
        <w:jc w:val="both"/>
        <w:rPr>
          <w:rFonts w:eastAsia="宋体"/>
          <w:snapToGrid w:val="0"/>
          <w:color w:val="000000"/>
          <w:sz w:val="24"/>
          <w:szCs w:val="24"/>
        </w:rPr>
      </w:pPr>
      <w:r>
        <w:rPr>
          <w:rFonts w:eastAsia="宋体"/>
          <w:snapToGrid w:val="0"/>
          <w:color w:val="000000"/>
          <w:sz w:val="24"/>
          <w:szCs w:val="24"/>
        </w:rPr>
        <w:t>510（k）上市前审评的获益-风险框架与适用于PMA或</w:t>
      </w:r>
      <w:r>
        <w:rPr>
          <w:rFonts w:hint="eastAsia" w:eastAsia="宋体"/>
          <w:snapToGrid w:val="0"/>
          <w:color w:val="000000"/>
          <w:sz w:val="24"/>
          <w:szCs w:val="24"/>
        </w:rPr>
        <w:t>重新分类</w:t>
      </w:r>
      <w:r>
        <w:rPr>
          <w:rFonts w:eastAsia="宋体"/>
          <w:snapToGrid w:val="0"/>
          <w:color w:val="000000"/>
          <w:sz w:val="24"/>
          <w:szCs w:val="24"/>
        </w:rPr>
        <w:t>审评的器械的获益-风险框架有根本的不同。更具体地说，在510（k）上市前审评中，新器械的获益-风险状况是在与同品种器械的获益-风险状况进行比较后确定的。因此，在新器械的510（k）上市前审评期间，了解同品种器械和之前批准的同类型器械的获益-风险情况是至关重要的。</w:t>
      </w:r>
      <w:r>
        <w:rPr>
          <w:rStyle w:val="18"/>
          <w:rFonts w:eastAsia="宋体"/>
          <w:snapToGrid w:val="0"/>
          <w:color w:val="000000"/>
          <w:sz w:val="24"/>
          <w:szCs w:val="24"/>
        </w:rPr>
        <w:footnoteReference w:id="10"/>
      </w:r>
      <w:r>
        <w:rPr>
          <w:rFonts w:eastAsia="宋体"/>
          <w:snapToGrid w:val="0"/>
          <w:color w:val="000000"/>
          <w:sz w:val="24"/>
          <w:szCs w:val="24"/>
        </w:rPr>
        <w:t xml:space="preserve"> FDA也可以考虑之前对相同或同品种器械类型的获益风险状况的评估是否合适，是否仍然适用于基于上市后和当前实际的数据。</w:t>
      </w:r>
    </w:p>
    <w:p>
      <w:pPr>
        <w:snapToGrid w:val="0"/>
        <w:ind w:firstLine="480" w:firstLineChars="200"/>
        <w:jc w:val="both"/>
        <w:rPr>
          <w:rFonts w:eastAsia="宋体"/>
          <w:snapToGrid w:val="0"/>
          <w:sz w:val="24"/>
          <w:szCs w:val="24"/>
        </w:rPr>
      </w:pPr>
    </w:p>
    <w:p>
      <w:pPr>
        <w:snapToGrid w:val="0"/>
        <w:ind w:firstLine="480" w:firstLineChars="200"/>
        <w:jc w:val="both"/>
        <w:rPr>
          <w:rFonts w:eastAsia="宋体"/>
          <w:snapToGrid w:val="0"/>
          <w:color w:val="000000"/>
          <w:sz w:val="24"/>
          <w:szCs w:val="24"/>
        </w:rPr>
      </w:pPr>
      <w:r>
        <w:rPr>
          <w:rFonts w:eastAsia="宋体"/>
          <w:snapToGrid w:val="0"/>
          <w:color w:val="000000"/>
          <w:sz w:val="24"/>
          <w:szCs w:val="24"/>
        </w:rPr>
        <w:t>如前所述，新器械的获益-风险状况不需要完全相同，就能与同品种器械一样安全有效。本节重点介绍在比较新器械和同品种器械的获益风险状况以确定新器械是否与同品种器械</w:t>
      </w:r>
      <w:r>
        <w:rPr>
          <w:rFonts w:ascii="宋体" w:hAnsi="宋体" w:eastAsia="宋体"/>
          <w:snapToGrid w:val="0"/>
          <w:color w:val="000000"/>
          <w:sz w:val="24"/>
          <w:szCs w:val="24"/>
        </w:rPr>
        <w:t>“</w:t>
      </w:r>
      <w:r>
        <w:rPr>
          <w:rFonts w:eastAsia="宋体"/>
          <w:snapToGrid w:val="0"/>
          <w:color w:val="000000"/>
          <w:sz w:val="24"/>
          <w:szCs w:val="24"/>
        </w:rPr>
        <w:t>同样安全有效</w:t>
      </w:r>
      <w:r>
        <w:rPr>
          <w:rFonts w:ascii="宋体" w:hAnsi="宋体" w:eastAsia="宋体"/>
          <w:snapToGrid w:val="0"/>
          <w:color w:val="000000"/>
          <w:sz w:val="24"/>
          <w:szCs w:val="24"/>
        </w:rPr>
        <w:t>”</w:t>
      </w:r>
      <w:r>
        <w:rPr>
          <w:rFonts w:eastAsia="宋体"/>
          <w:snapToGrid w:val="0"/>
          <w:color w:val="000000"/>
          <w:sz w:val="24"/>
          <w:szCs w:val="24"/>
        </w:rPr>
        <w:t>时，所考虑的一些因素。当风险增加而获益增加或同等获益；或获益减少而风险减少或同等风险时，在将新器械与同品种器械比较时，对这些因素的评估是很重要的。在这些情况下，本指南中的因素应加以考虑，以帮助FDA确定SE是否得以验证。在大多数510（k）申请中，不建议使用获益-风险评估来作为对SE的判断，包括在将新器械与同品种器械进行比较时，有获益增加或同等获益以及风险减少或同等风险的情况。</w:t>
      </w:r>
    </w:p>
    <w:p>
      <w:pPr>
        <w:snapToGrid w:val="0"/>
        <w:ind w:firstLine="480" w:firstLineChars="200"/>
        <w:jc w:val="both"/>
        <w:rPr>
          <w:rFonts w:eastAsia="宋体"/>
          <w:snapToGrid w:val="0"/>
          <w:sz w:val="24"/>
          <w:szCs w:val="24"/>
        </w:rPr>
      </w:pPr>
    </w:p>
    <w:p>
      <w:pPr>
        <w:snapToGrid w:val="0"/>
        <w:ind w:firstLine="480" w:firstLineChars="200"/>
        <w:jc w:val="both"/>
        <w:rPr>
          <w:rFonts w:eastAsia="宋体"/>
          <w:snapToGrid w:val="0"/>
          <w:color w:val="000000"/>
          <w:sz w:val="24"/>
          <w:szCs w:val="24"/>
        </w:rPr>
      </w:pPr>
      <w:r>
        <w:rPr>
          <w:rFonts w:eastAsia="宋体"/>
          <w:snapToGrid w:val="0"/>
          <w:color w:val="000000"/>
          <w:sz w:val="24"/>
          <w:szCs w:val="24"/>
        </w:rPr>
        <w:t>FDA也可以考虑医疗保健专业人员和患者对这些获益的重视程度。FDA了解到，利用器械治疗或诊断患者的疾病或状况的医疗保健专业人员，可能对治疗的获益有自己的见解，可能与监管者的见解不同。关于患者偏好信息（PPI）和患者报告的结果（PRO）的更多信息，请参考FDA指南</w:t>
      </w:r>
      <w:r>
        <w:rPr>
          <w:rFonts w:ascii="宋体" w:hAnsi="宋体" w:eastAsia="宋体"/>
          <w:snapToGrid w:val="0"/>
          <w:color w:val="000000"/>
          <w:sz w:val="24"/>
          <w:szCs w:val="24"/>
        </w:rPr>
        <w:t>“</w:t>
      </w:r>
      <w:r>
        <w:rPr>
          <w:rFonts w:eastAsia="宋体"/>
          <w:snapToGrid w:val="0"/>
          <w:color w:val="0000FF"/>
          <w:sz w:val="24"/>
          <w:szCs w:val="24"/>
          <w:u w:val="single"/>
        </w:rPr>
        <w:fldChar w:fldCharType="begin"/>
      </w:r>
      <w:r>
        <w:rPr>
          <w:rFonts w:eastAsia="宋体"/>
          <w:snapToGrid w:val="0"/>
          <w:color w:val="0000FF"/>
          <w:sz w:val="24"/>
          <w:szCs w:val="24"/>
          <w:u w:val="single"/>
        </w:rPr>
        <w:instrText xml:space="preserve"> HYPERLINK "https://www.fda.gov/MedicalDevices/DeviceRegulationandGuidance/GuidanceDocuments/UCM446680" </w:instrText>
      </w:r>
      <w:r>
        <w:rPr>
          <w:rFonts w:eastAsia="宋体"/>
          <w:snapToGrid w:val="0"/>
          <w:color w:val="0000FF"/>
          <w:sz w:val="24"/>
          <w:szCs w:val="24"/>
          <w:u w:val="single"/>
        </w:rPr>
        <w:fldChar w:fldCharType="separate"/>
      </w:r>
      <w:r>
        <w:rPr>
          <w:rStyle w:val="16"/>
          <w:rFonts w:eastAsia="宋体"/>
          <w:snapToGrid w:val="0"/>
          <w:color w:val="0000FF"/>
          <w:sz w:val="24"/>
          <w:szCs w:val="24"/>
        </w:rPr>
        <w:t>患者偏好信息-上市前批准申请、人道主义器械豁免申请和重新分类请求中的自愿申请、审评，以及纳入决定摘要和器械标签</w:t>
      </w:r>
      <w:r>
        <w:rPr>
          <w:rFonts w:eastAsia="宋体"/>
          <w:snapToGrid w:val="0"/>
          <w:color w:val="0000FF"/>
          <w:sz w:val="24"/>
          <w:szCs w:val="24"/>
          <w:u w:val="single"/>
        </w:rPr>
        <w:fldChar w:fldCharType="end"/>
      </w:r>
      <w:r>
        <w:rPr>
          <w:rFonts w:ascii="宋体" w:hAnsi="宋体" w:eastAsia="宋体"/>
          <w:snapToGrid w:val="0"/>
          <w:color w:val="000000"/>
          <w:sz w:val="24"/>
          <w:szCs w:val="24"/>
        </w:rPr>
        <w:t>”</w:t>
      </w:r>
      <w:r>
        <w:rPr>
          <w:rStyle w:val="18"/>
          <w:rFonts w:eastAsia="宋体"/>
          <w:snapToGrid w:val="0"/>
          <w:color w:val="000000"/>
          <w:sz w:val="24"/>
          <w:szCs w:val="24"/>
        </w:rPr>
        <w:footnoteReference w:id="11"/>
      </w:r>
      <w:r>
        <w:rPr>
          <w:rFonts w:eastAsia="宋体"/>
          <w:snapToGrid w:val="0"/>
          <w:color w:val="000000"/>
          <w:sz w:val="24"/>
          <w:szCs w:val="24"/>
        </w:rPr>
        <w:t>（以下简称</w:t>
      </w:r>
      <w:r>
        <w:rPr>
          <w:rFonts w:ascii="宋体" w:hAnsi="宋体" w:eastAsia="宋体"/>
          <w:snapToGrid w:val="0"/>
          <w:color w:val="000000"/>
          <w:sz w:val="24"/>
          <w:szCs w:val="24"/>
        </w:rPr>
        <w:t>“</w:t>
      </w:r>
      <w:r>
        <w:rPr>
          <w:rFonts w:eastAsia="宋体"/>
          <w:snapToGrid w:val="0"/>
          <w:color w:val="000000"/>
          <w:sz w:val="24"/>
          <w:szCs w:val="24"/>
        </w:rPr>
        <w:t>PPI指南</w:t>
      </w:r>
      <w:r>
        <w:rPr>
          <w:rFonts w:ascii="宋体" w:hAnsi="宋体" w:eastAsia="宋体"/>
          <w:snapToGrid w:val="0"/>
          <w:color w:val="000000"/>
          <w:sz w:val="24"/>
          <w:szCs w:val="24"/>
        </w:rPr>
        <w:t>”</w:t>
      </w:r>
      <w:r>
        <w:rPr>
          <w:rFonts w:eastAsia="宋体"/>
          <w:snapToGrid w:val="0"/>
          <w:color w:val="000000"/>
          <w:sz w:val="24"/>
          <w:szCs w:val="24"/>
        </w:rPr>
        <w:t>）。</w:t>
      </w:r>
    </w:p>
    <w:p>
      <w:pPr>
        <w:snapToGrid w:val="0"/>
        <w:ind w:firstLine="480" w:firstLineChars="200"/>
        <w:jc w:val="both"/>
        <w:rPr>
          <w:rFonts w:eastAsia="宋体"/>
          <w:snapToGrid w:val="0"/>
          <w:sz w:val="24"/>
          <w:szCs w:val="24"/>
        </w:rPr>
      </w:pPr>
    </w:p>
    <w:p>
      <w:pPr>
        <w:snapToGrid w:val="0"/>
        <w:ind w:firstLine="480" w:firstLineChars="200"/>
        <w:jc w:val="both"/>
        <w:rPr>
          <w:rFonts w:eastAsia="宋体"/>
          <w:snapToGrid w:val="0"/>
          <w:sz w:val="24"/>
          <w:szCs w:val="24"/>
        </w:rPr>
      </w:pPr>
      <w:r>
        <w:rPr>
          <w:rFonts w:eastAsia="宋体"/>
          <w:snapToGrid w:val="0"/>
          <w:color w:val="000000"/>
          <w:sz w:val="24"/>
          <w:szCs w:val="24"/>
        </w:rPr>
        <w:t>在将新器械的获益和风险与同品种器械进行比较时，获益和/或风险的类型或程度可能存在差异性。出于这个原因，FDA评估了新器械与同品种器械之间的获益和风险的差异，以及</w:t>
      </w:r>
      <w:r>
        <w:rPr>
          <w:rFonts w:eastAsia="宋体"/>
          <w:b/>
          <w:bCs/>
          <w:snapToGrid w:val="0"/>
          <w:color w:val="000000"/>
          <w:sz w:val="24"/>
          <w:szCs w:val="24"/>
        </w:rPr>
        <w:t>第IV.C节</w:t>
      </w:r>
      <w:r>
        <w:rPr>
          <w:rFonts w:eastAsia="宋体"/>
          <w:snapToGrid w:val="0"/>
          <w:color w:val="000000"/>
          <w:sz w:val="24"/>
          <w:szCs w:val="24"/>
        </w:rPr>
        <w:t>中确定的其他因素。FDA评估了总体获益，包括但不限于考虑获益的类型、规模、概率和持续时间。同样，FDA也会评估总体风险，考虑因素包括但不限于风险的严重性、类型、数量、比率和概率。</w:t>
      </w:r>
    </w:p>
    <w:p>
      <w:pPr>
        <w:tabs>
          <w:tab w:val="left" w:pos="178"/>
        </w:tabs>
        <w:snapToGrid w:val="0"/>
        <w:jc w:val="both"/>
        <w:rPr>
          <w:color w:val="000000"/>
          <w:sz w:val="24"/>
          <w:vertAlign w:val="superscript"/>
        </w:rPr>
      </w:pPr>
    </w:p>
    <w:p>
      <w:pPr>
        <w:tabs>
          <w:tab w:val="left" w:pos="178"/>
        </w:tabs>
        <w:snapToGrid w:val="0"/>
        <w:jc w:val="both"/>
        <w:rPr>
          <w:sz w:val="24"/>
        </w:rPr>
        <w:sectPr>
          <w:pgSz w:w="11906" w:h="16838"/>
          <w:pgMar w:top="1134" w:right="1134" w:bottom="1134" w:left="1418" w:header="567" w:footer="567" w:gutter="0"/>
          <w:cols w:space="60" w:num="1"/>
          <w:docGrid w:linePitch="272" w:charSpace="0"/>
        </w:sectPr>
      </w:pPr>
    </w:p>
    <w:p>
      <w:pPr>
        <w:snapToGrid w:val="0"/>
        <w:ind w:firstLine="480" w:firstLineChars="200"/>
        <w:jc w:val="both"/>
        <w:rPr>
          <w:rFonts w:eastAsia="宋体"/>
          <w:snapToGrid w:val="0"/>
          <w:color w:val="000000"/>
          <w:sz w:val="24"/>
          <w:szCs w:val="24"/>
        </w:rPr>
      </w:pPr>
      <w:r>
        <w:rPr>
          <w:rFonts w:eastAsia="宋体"/>
          <w:snapToGrid w:val="0"/>
          <w:color w:val="000000"/>
          <w:sz w:val="24"/>
          <w:szCs w:val="24"/>
        </w:rPr>
        <w:t>获益-风险评估应识别和比较技术特征的差异，以及与同品种器械相比，如何影响新器械的获益-风险状况。</w:t>
      </w:r>
    </w:p>
    <w:p>
      <w:pPr>
        <w:snapToGrid w:val="0"/>
        <w:ind w:firstLine="480" w:firstLineChars="200"/>
        <w:jc w:val="both"/>
        <w:rPr>
          <w:rFonts w:eastAsia="宋体"/>
          <w:snapToGrid w:val="0"/>
          <w:sz w:val="24"/>
          <w:szCs w:val="24"/>
        </w:rPr>
      </w:pPr>
    </w:p>
    <w:p>
      <w:pPr>
        <w:snapToGrid w:val="0"/>
        <w:ind w:firstLine="480" w:firstLineChars="200"/>
        <w:jc w:val="both"/>
        <w:rPr>
          <w:rFonts w:eastAsia="宋体"/>
          <w:snapToGrid w:val="0"/>
          <w:color w:val="000000"/>
          <w:sz w:val="24"/>
          <w:szCs w:val="24"/>
        </w:rPr>
      </w:pPr>
      <w:r>
        <w:rPr>
          <w:rFonts w:eastAsia="宋体"/>
          <w:snapToGrid w:val="0"/>
          <w:color w:val="000000"/>
          <w:sz w:val="24"/>
          <w:szCs w:val="24"/>
        </w:rPr>
        <w:t>尽管获益-风险状况不同，但在某些情况下，新器械可能被确定为与同品种器械为SE。作为我们决定的一部分，FDA也可以考虑是否可以实施缓解策略，例如标签修订，以解决新器械和同品种器械之间的获益-风险状况的差异。一般而言，如果风险增加或获益减少，FDA可能会发现新器械与同品种器械相比为NSE。关于FDA在审评510（k）时如何评估和考虑获益和风险的示例，请参见本指南</w:t>
      </w:r>
      <w:r>
        <w:rPr>
          <w:rFonts w:eastAsia="宋体"/>
          <w:b/>
          <w:bCs/>
          <w:snapToGrid w:val="0"/>
          <w:color w:val="000000"/>
          <w:sz w:val="24"/>
          <w:szCs w:val="24"/>
        </w:rPr>
        <w:t>第V节。</w:t>
      </w:r>
    </w:p>
    <w:p>
      <w:pPr>
        <w:snapToGrid w:val="0"/>
        <w:ind w:firstLine="480" w:firstLineChars="200"/>
        <w:jc w:val="both"/>
        <w:rPr>
          <w:rFonts w:eastAsia="宋体"/>
          <w:snapToGrid w:val="0"/>
          <w:sz w:val="24"/>
          <w:szCs w:val="24"/>
        </w:rPr>
      </w:pPr>
    </w:p>
    <w:p>
      <w:pPr>
        <w:snapToGrid w:val="0"/>
        <w:ind w:firstLine="480" w:firstLineChars="200"/>
        <w:jc w:val="both"/>
        <w:rPr>
          <w:rFonts w:eastAsia="宋体"/>
          <w:snapToGrid w:val="0"/>
          <w:color w:val="000000"/>
          <w:sz w:val="24"/>
          <w:szCs w:val="24"/>
        </w:rPr>
      </w:pPr>
      <w:r>
        <w:rPr>
          <w:rFonts w:eastAsia="宋体"/>
          <w:snapToGrid w:val="0"/>
          <w:color w:val="000000"/>
          <w:sz w:val="24"/>
          <w:szCs w:val="24"/>
        </w:rPr>
        <w:t>非临床和临床数据均可以在FDA的获益-风险判断中发挥作用，本指南中讨论的因素可以参考任何一类数据。此外，临床和非临床测试均可用于评估一个新器械的获益和风险，并可用于评估风险缓解措施的影响。关于FDA在510（k）上市前审评期间可以考虑的性能数据类型的信息，请参考510（k）计划指南的第F节。</w:t>
      </w:r>
    </w:p>
    <w:p>
      <w:pPr>
        <w:snapToGrid w:val="0"/>
        <w:ind w:firstLine="480" w:firstLineChars="200"/>
        <w:jc w:val="both"/>
        <w:rPr>
          <w:rFonts w:eastAsia="宋体"/>
          <w:snapToGrid w:val="0"/>
          <w:sz w:val="24"/>
          <w:szCs w:val="24"/>
        </w:rPr>
      </w:pPr>
    </w:p>
    <w:p>
      <w:pPr>
        <w:snapToGrid w:val="0"/>
        <w:ind w:firstLine="480" w:firstLineChars="200"/>
        <w:jc w:val="both"/>
        <w:rPr>
          <w:rFonts w:eastAsia="宋体"/>
          <w:snapToGrid w:val="0"/>
          <w:color w:val="000000"/>
          <w:sz w:val="24"/>
          <w:szCs w:val="24"/>
        </w:rPr>
      </w:pPr>
      <w:r>
        <w:rPr>
          <w:rFonts w:eastAsia="宋体"/>
          <w:snapToGrid w:val="0"/>
          <w:color w:val="000000"/>
          <w:sz w:val="24"/>
          <w:szCs w:val="24"/>
        </w:rPr>
        <w:t>根据C.F.R.第21篇第807.92（b）（3）条规定，获益风险评估的摘要可以作为510（k）摘要的一部分列入。关于评估获益时考虑因素的更多信息，请参考下文</w:t>
      </w:r>
      <w:r>
        <w:rPr>
          <w:rFonts w:eastAsia="宋体"/>
          <w:b/>
          <w:bCs/>
          <w:snapToGrid w:val="0"/>
          <w:color w:val="000000"/>
          <w:sz w:val="24"/>
          <w:szCs w:val="24"/>
        </w:rPr>
        <w:t>第IV.A节。</w:t>
      </w:r>
      <w:r>
        <w:rPr>
          <w:rFonts w:eastAsia="宋体"/>
          <w:snapToGrid w:val="0"/>
          <w:color w:val="000000"/>
          <w:sz w:val="24"/>
          <w:szCs w:val="24"/>
        </w:rPr>
        <w:t>关于评估风险时考虑因素的更多信息，请参考下文第</w:t>
      </w:r>
      <w:r>
        <w:rPr>
          <w:rFonts w:eastAsia="宋体"/>
          <w:b/>
          <w:bCs/>
          <w:snapToGrid w:val="0"/>
          <w:color w:val="000000"/>
          <w:sz w:val="24"/>
          <w:szCs w:val="24"/>
        </w:rPr>
        <w:t>IV.B节</w:t>
      </w:r>
      <w:r>
        <w:rPr>
          <w:rFonts w:eastAsia="宋体"/>
          <w:snapToGrid w:val="0"/>
          <w:color w:val="000000"/>
          <w:sz w:val="24"/>
          <w:szCs w:val="24"/>
        </w:rPr>
        <w:t>。</w:t>
      </w:r>
    </w:p>
    <w:p>
      <w:pPr>
        <w:snapToGrid w:val="0"/>
        <w:ind w:firstLine="480" w:firstLineChars="200"/>
        <w:jc w:val="both"/>
        <w:rPr>
          <w:rFonts w:eastAsia="宋体"/>
          <w:snapToGrid w:val="0"/>
          <w:sz w:val="24"/>
          <w:szCs w:val="24"/>
        </w:rPr>
      </w:pPr>
    </w:p>
    <w:p>
      <w:pPr>
        <w:snapToGrid w:val="0"/>
        <w:ind w:firstLine="480" w:firstLineChars="200"/>
        <w:jc w:val="both"/>
        <w:rPr>
          <w:rFonts w:eastAsia="宋体"/>
          <w:snapToGrid w:val="0"/>
          <w:color w:val="000000"/>
          <w:sz w:val="24"/>
          <w:szCs w:val="24"/>
        </w:rPr>
      </w:pPr>
      <w:r>
        <w:rPr>
          <w:rFonts w:eastAsia="宋体"/>
          <w:snapToGrid w:val="0"/>
          <w:color w:val="000000"/>
          <w:sz w:val="24"/>
          <w:szCs w:val="24"/>
        </w:rPr>
        <w:t>以下是对获益-风险评估可能有用的某些情况的解释。当建议将获益-风险评估纳入510（k）时，</w:t>
      </w:r>
      <w:r>
        <w:rPr>
          <w:rFonts w:eastAsia="宋体"/>
          <w:b/>
          <w:bCs/>
          <w:snapToGrid w:val="0"/>
          <w:color w:val="000000"/>
          <w:sz w:val="24"/>
          <w:szCs w:val="24"/>
        </w:rPr>
        <w:t>表1</w:t>
      </w:r>
      <w:r>
        <w:rPr>
          <w:rFonts w:eastAsia="宋体"/>
          <w:snapToGrid w:val="0"/>
          <w:color w:val="000000"/>
          <w:sz w:val="24"/>
          <w:szCs w:val="24"/>
        </w:rPr>
        <w:t>为某些获益和风险结果提供了一个指南。。但该表和下面解释的获益-风险结果均不具有决策性，而是代表FDA对何时将获益-风险评估纳入510（k）中可能有或可能没有帮助的建议。本表应与本指南其他部分提供的指导原则一起使用，而不是单独使用。</w:t>
      </w:r>
    </w:p>
    <w:p>
      <w:pPr>
        <w:snapToGrid w:val="0"/>
        <w:jc w:val="both"/>
        <w:rPr>
          <w:rFonts w:eastAsia="宋体"/>
          <w:snapToGrid w:val="0"/>
          <w:sz w:val="24"/>
          <w:szCs w:val="24"/>
        </w:rPr>
      </w:pPr>
    </w:p>
    <w:p>
      <w:pPr>
        <w:snapToGrid w:val="0"/>
        <w:jc w:val="both"/>
        <w:rPr>
          <w:rFonts w:eastAsia="宋体"/>
          <w:b/>
          <w:bCs/>
          <w:snapToGrid w:val="0"/>
          <w:color w:val="000000"/>
          <w:sz w:val="24"/>
          <w:szCs w:val="24"/>
          <w:u w:val="single"/>
        </w:rPr>
      </w:pPr>
      <w:r>
        <w:rPr>
          <w:rFonts w:eastAsia="宋体"/>
          <w:b/>
          <w:bCs/>
          <w:snapToGrid w:val="0"/>
          <w:color w:val="000000"/>
          <w:sz w:val="24"/>
          <w:szCs w:val="24"/>
          <w:u w:val="single"/>
        </w:rPr>
        <w:t>获益减少和风险减少/同等风险</w:t>
      </w:r>
    </w:p>
    <w:p>
      <w:pPr>
        <w:snapToGrid w:val="0"/>
        <w:jc w:val="both"/>
        <w:rPr>
          <w:rFonts w:eastAsia="宋体"/>
          <w:snapToGrid w:val="0"/>
          <w:sz w:val="24"/>
          <w:szCs w:val="24"/>
        </w:rPr>
      </w:pPr>
    </w:p>
    <w:p>
      <w:pPr>
        <w:snapToGrid w:val="0"/>
        <w:ind w:firstLine="480" w:firstLineChars="200"/>
        <w:jc w:val="both"/>
        <w:rPr>
          <w:rFonts w:eastAsia="宋体"/>
          <w:snapToGrid w:val="0"/>
          <w:color w:val="000000"/>
          <w:sz w:val="24"/>
          <w:szCs w:val="24"/>
        </w:rPr>
      </w:pPr>
      <w:r>
        <w:rPr>
          <w:rFonts w:eastAsia="宋体"/>
          <w:snapToGrid w:val="0"/>
          <w:color w:val="000000"/>
          <w:sz w:val="24"/>
          <w:szCs w:val="24"/>
        </w:rPr>
        <w:t>如果新器械的总获益与同品种器械相比有所下降，并且其风险水平与同品种器械相比有所下降，如果这些差异不影响新器械是否与同品种器械</w:t>
      </w:r>
      <w:r>
        <w:rPr>
          <w:rFonts w:ascii="宋体" w:hAnsi="宋体" w:eastAsia="宋体"/>
          <w:snapToGrid w:val="0"/>
          <w:color w:val="000000"/>
          <w:sz w:val="24"/>
          <w:szCs w:val="24"/>
        </w:rPr>
        <w:t>“</w:t>
      </w:r>
      <w:r>
        <w:rPr>
          <w:rFonts w:eastAsia="宋体"/>
          <w:snapToGrid w:val="0"/>
          <w:color w:val="000000"/>
          <w:sz w:val="24"/>
          <w:szCs w:val="24"/>
        </w:rPr>
        <w:t>同同样安全有效</w:t>
      </w:r>
      <w:r>
        <w:rPr>
          <w:rFonts w:ascii="宋体" w:hAnsi="宋体" w:eastAsia="宋体"/>
          <w:snapToGrid w:val="0"/>
          <w:color w:val="000000"/>
          <w:sz w:val="24"/>
          <w:szCs w:val="24"/>
        </w:rPr>
        <w:t>”</w:t>
      </w:r>
      <w:r>
        <w:rPr>
          <w:rFonts w:eastAsia="宋体"/>
          <w:snapToGrid w:val="0"/>
          <w:color w:val="000000"/>
          <w:sz w:val="24"/>
          <w:szCs w:val="24"/>
        </w:rPr>
        <w:t>，则FDA可以确定新器械为SE。但如果获益减少而风险没有减少，则FDA可能会发现一个器械与同品种器械为NSE，特别是如果获益-风险评估证实新器械不如同品种器械</w:t>
      </w:r>
      <w:r>
        <w:rPr>
          <w:rFonts w:ascii="宋体" w:hAnsi="宋体" w:eastAsia="宋体"/>
          <w:snapToGrid w:val="0"/>
          <w:color w:val="000000"/>
          <w:sz w:val="24"/>
          <w:szCs w:val="24"/>
        </w:rPr>
        <w:t>“</w:t>
      </w:r>
      <w:r>
        <w:rPr>
          <w:rFonts w:eastAsia="宋体"/>
          <w:snapToGrid w:val="0"/>
          <w:color w:val="000000"/>
          <w:sz w:val="24"/>
          <w:szCs w:val="24"/>
        </w:rPr>
        <w:t>安全有效</w:t>
      </w:r>
      <w:r>
        <w:rPr>
          <w:rFonts w:ascii="宋体" w:hAnsi="宋体" w:eastAsia="宋体"/>
          <w:snapToGrid w:val="0"/>
          <w:color w:val="000000"/>
          <w:sz w:val="24"/>
          <w:szCs w:val="24"/>
        </w:rPr>
        <w:t>”</w:t>
      </w:r>
      <w:r>
        <w:rPr>
          <w:rFonts w:eastAsia="宋体"/>
          <w:snapToGrid w:val="0"/>
          <w:color w:val="000000"/>
          <w:sz w:val="24"/>
          <w:szCs w:val="24"/>
        </w:rPr>
        <w:t>。</w:t>
      </w:r>
    </w:p>
    <w:p>
      <w:pPr>
        <w:snapToGrid w:val="0"/>
        <w:jc w:val="both"/>
        <w:rPr>
          <w:rFonts w:eastAsia="宋体"/>
          <w:snapToGrid w:val="0"/>
          <w:sz w:val="24"/>
          <w:szCs w:val="24"/>
        </w:rPr>
      </w:pPr>
    </w:p>
    <w:p>
      <w:pPr>
        <w:snapToGrid w:val="0"/>
        <w:jc w:val="both"/>
        <w:rPr>
          <w:b w:val="0"/>
          <w:color w:val="auto"/>
          <w:sz w:val="24"/>
          <w:u w:val="none"/>
        </w:rPr>
      </w:pPr>
      <w:r>
        <w:rPr>
          <w:rFonts w:eastAsia="宋体"/>
          <w:b/>
          <w:bCs/>
          <w:snapToGrid w:val="0"/>
          <w:color w:val="000000"/>
          <w:sz w:val="24"/>
          <w:szCs w:val="24"/>
          <w:u w:val="single"/>
        </w:rPr>
        <w:t>同等获益/获益增加和风险增加</w:t>
      </w:r>
    </w:p>
    <w:p>
      <w:pPr>
        <w:snapToGrid w:val="0"/>
        <w:ind w:firstLine="480" w:firstLineChars="200"/>
        <w:jc w:val="both"/>
        <w:rPr>
          <w:color w:val="000000"/>
          <w:sz w:val="24"/>
        </w:rPr>
      </w:pPr>
    </w:p>
    <w:p>
      <w:pPr>
        <w:snapToGrid w:val="0"/>
        <w:ind w:firstLine="480" w:firstLineChars="200"/>
        <w:jc w:val="both"/>
        <w:rPr>
          <w:rFonts w:eastAsia="宋体"/>
          <w:snapToGrid w:val="0"/>
          <w:sz w:val="24"/>
          <w:szCs w:val="24"/>
        </w:rPr>
      </w:pPr>
      <w:r>
        <w:rPr>
          <w:rFonts w:eastAsia="宋体"/>
          <w:snapToGrid w:val="0"/>
          <w:color w:val="000000"/>
          <w:sz w:val="24"/>
          <w:szCs w:val="24"/>
        </w:rPr>
        <w:t>FDA评估了与同种器械相比是增加的风险的性质和风险的程度（例如，严重度、类型、比率），以确定这种差异是否影响新器械与同品种器械</w:t>
      </w:r>
      <w:r>
        <w:rPr>
          <w:rFonts w:ascii="宋体" w:hAnsi="宋体" w:eastAsia="宋体"/>
          <w:snapToGrid w:val="0"/>
          <w:color w:val="000000"/>
          <w:sz w:val="24"/>
          <w:szCs w:val="24"/>
        </w:rPr>
        <w:t>“</w:t>
      </w:r>
      <w:r>
        <w:rPr>
          <w:rFonts w:eastAsia="宋体"/>
          <w:snapToGrid w:val="0"/>
          <w:color w:val="000000"/>
          <w:sz w:val="24"/>
          <w:szCs w:val="24"/>
        </w:rPr>
        <w:t>同样安全有效</w:t>
      </w:r>
      <w:r>
        <w:rPr>
          <w:rFonts w:ascii="宋体" w:hAnsi="宋体" w:eastAsia="宋体"/>
          <w:snapToGrid w:val="0"/>
          <w:color w:val="000000"/>
          <w:sz w:val="24"/>
          <w:szCs w:val="24"/>
        </w:rPr>
        <w:t>”</w:t>
      </w:r>
      <w:r>
        <w:rPr>
          <w:rFonts w:eastAsia="宋体"/>
          <w:snapToGrid w:val="0"/>
          <w:color w:val="000000"/>
          <w:sz w:val="24"/>
          <w:szCs w:val="24"/>
        </w:rPr>
        <w:t>。FDA也可以考虑其他措施是否可以帮助缓解风险增加。如果与同品种器械相比，总风险增加，并与新器械相关的获益增加，且如果该器械与同品种器械</w:t>
      </w:r>
      <w:r>
        <w:rPr>
          <w:rFonts w:ascii="宋体" w:hAnsi="宋体" w:eastAsia="宋体"/>
          <w:snapToGrid w:val="0"/>
          <w:color w:val="000000"/>
          <w:sz w:val="24"/>
          <w:szCs w:val="24"/>
        </w:rPr>
        <w:t>“</w:t>
      </w:r>
      <w:r>
        <w:rPr>
          <w:rFonts w:eastAsia="宋体"/>
          <w:snapToGrid w:val="0"/>
          <w:color w:val="000000"/>
          <w:sz w:val="24"/>
          <w:szCs w:val="24"/>
        </w:rPr>
        <w:t>同样安全有效</w:t>
      </w:r>
      <w:r>
        <w:rPr>
          <w:rFonts w:ascii="宋体" w:hAnsi="宋体" w:eastAsia="宋体"/>
          <w:snapToGrid w:val="0"/>
          <w:color w:val="000000"/>
          <w:sz w:val="24"/>
          <w:szCs w:val="24"/>
        </w:rPr>
        <w:t>”</w:t>
      </w:r>
      <w:r>
        <w:rPr>
          <w:rFonts w:eastAsia="宋体"/>
          <w:snapToGrid w:val="0"/>
          <w:color w:val="000000"/>
          <w:sz w:val="24"/>
          <w:szCs w:val="24"/>
        </w:rPr>
        <w:t>，则FDA可以确定新器械为SE。当风险的增加不能被缓解，并且没有增加或同等的获益时，FDA通常不会发现新器械与同品种器械的SE。</w:t>
      </w:r>
    </w:p>
    <w:p>
      <w:pPr>
        <w:snapToGrid w:val="0"/>
        <w:jc w:val="both"/>
        <w:rPr>
          <w:rFonts w:eastAsia="宋体"/>
          <w:snapToGrid w:val="0"/>
          <w:sz w:val="24"/>
          <w:szCs w:val="24"/>
        </w:rPr>
      </w:pPr>
    </w:p>
    <w:p>
      <w:pPr>
        <w:snapToGrid w:val="0"/>
        <w:jc w:val="both"/>
        <w:rPr>
          <w:rFonts w:eastAsia="宋体"/>
          <w:snapToGrid w:val="0"/>
          <w:sz w:val="24"/>
          <w:szCs w:val="24"/>
        </w:rPr>
      </w:pPr>
    </w:p>
    <w:p>
      <w:pPr>
        <w:snapToGrid w:val="0"/>
        <w:jc w:val="both"/>
        <w:rPr>
          <w:rFonts w:eastAsia="宋体"/>
          <w:snapToGrid w:val="0"/>
          <w:sz w:val="24"/>
          <w:szCs w:val="24"/>
        </w:rPr>
        <w:sectPr>
          <w:pgSz w:w="11906" w:h="16838"/>
          <w:pgMar w:top="1134" w:right="1134" w:bottom="1134" w:left="1418" w:header="567" w:footer="567" w:gutter="0"/>
          <w:cols w:space="60" w:num="1"/>
          <w:docGrid w:linePitch="272" w:charSpace="0"/>
        </w:sectPr>
      </w:pPr>
    </w:p>
    <w:p>
      <w:pPr>
        <w:snapToGrid w:val="0"/>
        <w:jc w:val="both"/>
        <w:rPr>
          <w:sz w:val="24"/>
        </w:rPr>
      </w:pPr>
      <w:bookmarkStart w:id="18" w:name="bookmark15"/>
      <w:bookmarkEnd w:id="18"/>
      <w:r>
        <w:rPr>
          <w:rFonts w:hint="eastAsia"/>
          <w:b/>
          <w:color w:val="000000"/>
          <w:sz w:val="24"/>
        </w:rPr>
        <w:t>表</w:t>
      </w:r>
      <w:r>
        <w:rPr>
          <w:b/>
          <w:color w:val="000000"/>
          <w:sz w:val="24"/>
        </w:rPr>
        <w:t>1</w:t>
      </w:r>
      <w:r>
        <w:rPr>
          <w:rFonts w:hint="eastAsia"/>
          <w:b/>
          <w:color w:val="000000"/>
          <w:sz w:val="24"/>
        </w:rPr>
        <w:t>：</w:t>
      </w:r>
      <w:r>
        <w:rPr>
          <w:rFonts w:hint="eastAsia"/>
          <w:color w:val="000000"/>
          <w:sz w:val="24"/>
        </w:rPr>
        <w:t>可以推荐或不推荐获益</w:t>
      </w:r>
      <w:r>
        <w:rPr>
          <w:color w:val="000000"/>
          <w:sz w:val="24"/>
        </w:rPr>
        <w:t>-</w:t>
      </w:r>
      <w:r>
        <w:rPr>
          <w:rFonts w:hint="eastAsia"/>
          <w:color w:val="000000"/>
          <w:sz w:val="24"/>
        </w:rPr>
        <w:t>风险评估作为</w:t>
      </w:r>
      <w:r>
        <w:rPr>
          <w:color w:val="000000"/>
          <w:sz w:val="24"/>
        </w:rPr>
        <w:t>SE</w:t>
      </w:r>
      <w:r>
        <w:rPr>
          <w:rFonts w:hint="eastAsia"/>
          <w:color w:val="000000"/>
          <w:sz w:val="24"/>
        </w:rPr>
        <w:t>评价的</w:t>
      </w:r>
      <w:r>
        <w:rPr>
          <w:rFonts w:eastAsia="宋体"/>
          <w:snapToGrid w:val="0"/>
          <w:color w:val="000000"/>
          <w:sz w:val="24"/>
          <w:szCs w:val="24"/>
        </w:rPr>
        <w:t>一些情况。</w:t>
      </w:r>
      <w:r>
        <w:rPr>
          <w:rFonts w:hint="eastAsia" w:eastAsia="宋体"/>
          <w:snapToGrid w:val="0"/>
          <w:color w:val="000000"/>
          <w:sz w:val="24"/>
          <w:szCs w:val="24"/>
        </w:rPr>
        <w:t>【</w:t>
      </w:r>
      <w:r>
        <w:rPr>
          <w:rFonts w:eastAsia="宋体"/>
          <w:snapToGrid w:val="0"/>
          <w:color w:val="000000"/>
          <w:sz w:val="24"/>
          <w:szCs w:val="24"/>
        </w:rPr>
        <w:t>注</w:t>
      </w:r>
      <w:r>
        <w:rPr>
          <w:rFonts w:hint="eastAsia" w:eastAsia="宋体"/>
          <w:snapToGrid w:val="0"/>
          <w:color w:val="000000"/>
          <w:sz w:val="24"/>
          <w:szCs w:val="24"/>
        </w:rPr>
        <w:t>：</w:t>
      </w:r>
      <w:r>
        <w:rPr>
          <w:rFonts w:eastAsia="宋体"/>
          <w:snapToGrid w:val="0"/>
          <w:color w:val="000000"/>
          <w:sz w:val="24"/>
          <w:szCs w:val="24"/>
        </w:rPr>
        <w:t>本表应与指南中提供的其它指导原则一起使用。</w:t>
      </w:r>
      <w:r>
        <w:rPr>
          <w:rFonts w:hint="eastAsia" w:eastAsia="宋体"/>
          <w:snapToGrid w:val="0"/>
          <w:color w:val="000000"/>
          <w:sz w:val="24"/>
          <w:szCs w:val="24"/>
        </w:rPr>
        <w:t>】</w:t>
      </w:r>
    </w:p>
    <w:p>
      <w:pPr>
        <w:snapToGrid w:val="0"/>
        <w:jc w:val="both"/>
        <w:rPr>
          <w:sz w:val="24"/>
        </w:rPr>
      </w:pPr>
    </w:p>
    <w:tbl>
      <w:tblPr>
        <w:tblStyle w:val="14"/>
        <w:tblW w:w="5000" w:type="pct"/>
        <w:tblInd w:w="0" w:type="dxa"/>
        <w:tblLayout w:type="fixed"/>
        <w:tblCellMar>
          <w:top w:w="0" w:type="dxa"/>
          <w:left w:w="40" w:type="dxa"/>
          <w:bottom w:w="0" w:type="dxa"/>
          <w:right w:w="40" w:type="dxa"/>
        </w:tblCellMar>
      </w:tblPr>
      <w:tblGrid>
        <w:gridCol w:w="1281"/>
        <w:gridCol w:w="3812"/>
        <w:gridCol w:w="4375"/>
      </w:tblGrid>
      <w:tr>
        <w:tblPrEx>
          <w:tblCellMar>
            <w:top w:w="0" w:type="dxa"/>
            <w:left w:w="40" w:type="dxa"/>
            <w:bottom w:w="0" w:type="dxa"/>
            <w:right w:w="40" w:type="dxa"/>
          </w:tblCellMar>
        </w:tblPrEx>
        <w:tc>
          <w:tcPr>
            <w:tcW w:w="1267" w:type="dxa"/>
            <w:tcBorders>
              <w:top w:val="nil"/>
              <w:left w:val="nil"/>
              <w:bottom w:val="single" w:color="auto" w:sz="6" w:space="0"/>
              <w:right w:val="single" w:color="auto" w:sz="6" w:space="0"/>
            </w:tcBorders>
            <w:shd w:val="clear" w:color="auto" w:fill="FFFFFF"/>
            <w:tcMar>
              <w:left w:w="57" w:type="dxa"/>
              <w:right w:w="57" w:type="dxa"/>
            </w:tcMar>
          </w:tcPr>
          <w:p>
            <w:pPr>
              <w:snapToGrid w:val="0"/>
              <w:rPr>
                <w:sz w:val="24"/>
              </w:rPr>
            </w:pPr>
          </w:p>
        </w:tc>
        <w:tc>
          <w:tcPr>
            <w:tcW w:w="3773" w:type="dxa"/>
            <w:tcBorders>
              <w:top w:val="single" w:color="auto" w:sz="6" w:space="0"/>
              <w:left w:val="single" w:color="auto" w:sz="6" w:space="0"/>
              <w:bottom w:val="single" w:color="auto" w:sz="6" w:space="0"/>
              <w:right w:val="single" w:color="auto" w:sz="6" w:space="0"/>
            </w:tcBorders>
            <w:shd w:val="clear" w:color="auto" w:fill="DEEAF6"/>
            <w:tcMar>
              <w:left w:w="57" w:type="dxa"/>
              <w:right w:w="57" w:type="dxa"/>
            </w:tcMar>
          </w:tcPr>
          <w:p>
            <w:pPr>
              <w:snapToGrid w:val="0"/>
              <w:jc w:val="center"/>
              <w:rPr>
                <w:sz w:val="24"/>
              </w:rPr>
            </w:pPr>
            <w:r>
              <w:rPr>
                <w:rFonts w:hint="eastAsia"/>
                <w:b/>
                <w:color w:val="000000"/>
                <w:sz w:val="24"/>
              </w:rPr>
              <w:t>风险增加</w:t>
            </w:r>
          </w:p>
        </w:tc>
        <w:tc>
          <w:tcPr>
            <w:tcW w:w="4330" w:type="dxa"/>
            <w:tcBorders>
              <w:top w:val="single" w:color="auto" w:sz="6" w:space="0"/>
              <w:left w:val="single" w:color="auto" w:sz="6" w:space="0"/>
              <w:bottom w:val="single" w:color="auto" w:sz="6" w:space="0"/>
              <w:right w:val="single" w:color="auto" w:sz="6" w:space="0"/>
            </w:tcBorders>
            <w:shd w:val="clear" w:color="auto" w:fill="DEEAF6"/>
            <w:tcMar>
              <w:left w:w="57" w:type="dxa"/>
              <w:right w:w="57" w:type="dxa"/>
            </w:tcMar>
          </w:tcPr>
          <w:p>
            <w:pPr>
              <w:snapToGrid w:val="0"/>
              <w:jc w:val="center"/>
              <w:rPr>
                <w:sz w:val="24"/>
              </w:rPr>
            </w:pPr>
            <w:r>
              <w:rPr>
                <w:rFonts w:eastAsia="宋体"/>
                <w:b/>
                <w:bCs/>
                <w:snapToGrid w:val="0"/>
                <w:color w:val="000000"/>
                <w:sz w:val="24"/>
                <w:szCs w:val="24"/>
              </w:rPr>
              <w:t>风险</w:t>
            </w:r>
            <w:r>
              <w:rPr>
                <w:rFonts w:hint="eastAsia"/>
                <w:b/>
                <w:color w:val="000000"/>
                <w:sz w:val="24"/>
              </w:rPr>
              <w:t>减少</w:t>
            </w:r>
            <w:r>
              <w:rPr>
                <w:b/>
                <w:color w:val="000000"/>
                <w:sz w:val="24"/>
              </w:rPr>
              <w:t>/</w:t>
            </w:r>
            <w:r>
              <w:rPr>
                <w:rFonts w:hint="eastAsia"/>
                <w:b/>
                <w:color w:val="000000"/>
                <w:sz w:val="24"/>
              </w:rPr>
              <w:t>同等风险</w:t>
            </w:r>
          </w:p>
        </w:tc>
      </w:tr>
      <w:tr>
        <w:tblPrEx>
          <w:tblCellMar>
            <w:top w:w="0" w:type="dxa"/>
            <w:left w:w="40" w:type="dxa"/>
            <w:bottom w:w="0" w:type="dxa"/>
            <w:right w:w="40" w:type="dxa"/>
          </w:tblCellMar>
        </w:tblPrEx>
        <w:trPr>
          <w:cantSplit/>
          <w:trHeight w:val="2311" w:hRule="atLeast"/>
        </w:trPr>
        <w:tc>
          <w:tcPr>
            <w:tcW w:w="1267" w:type="dxa"/>
            <w:tcBorders>
              <w:top w:val="single" w:color="auto" w:sz="6" w:space="0"/>
              <w:left w:val="single" w:color="auto" w:sz="6" w:space="0"/>
              <w:bottom w:val="single" w:color="auto" w:sz="6" w:space="0"/>
              <w:right w:val="single" w:color="auto" w:sz="6" w:space="0"/>
            </w:tcBorders>
            <w:shd w:val="clear" w:color="auto" w:fill="E2EFD9"/>
            <w:tcMar>
              <w:left w:w="57" w:type="dxa"/>
              <w:right w:w="57" w:type="dxa"/>
            </w:tcMar>
            <w:textDirection w:val="btLr"/>
            <w:vAlign w:val="center"/>
          </w:tcPr>
          <w:p>
            <w:pPr>
              <w:snapToGrid w:val="0"/>
              <w:ind w:left="113" w:right="113"/>
              <w:jc w:val="center"/>
              <w:rPr>
                <w:b/>
                <w:sz w:val="24"/>
              </w:rPr>
            </w:pPr>
            <w:r>
              <w:rPr>
                <w:rFonts w:hint="eastAsia"/>
                <w:b/>
                <w:sz w:val="24"/>
              </w:rPr>
              <w:t>增加</w:t>
            </w:r>
            <w:r>
              <w:rPr>
                <w:rFonts w:eastAsia="宋体"/>
                <w:b/>
                <w:bCs/>
                <w:snapToGrid w:val="0"/>
                <w:sz w:val="24"/>
                <w:szCs w:val="24"/>
              </w:rPr>
              <w:t>获益</w:t>
            </w:r>
            <w:r>
              <w:rPr>
                <w:b/>
                <w:sz w:val="24"/>
              </w:rPr>
              <w:t>/</w:t>
            </w:r>
            <w:r>
              <w:rPr>
                <w:rFonts w:hint="eastAsia"/>
                <w:b/>
                <w:sz w:val="24"/>
              </w:rPr>
              <w:t>同等获益</w:t>
            </w:r>
          </w:p>
        </w:tc>
        <w:tc>
          <w:tcPr>
            <w:tcW w:w="3773" w:type="dxa"/>
            <w:tcBorders>
              <w:top w:val="single" w:color="auto" w:sz="6" w:space="0"/>
              <w:left w:val="single" w:color="auto" w:sz="6" w:space="0"/>
              <w:bottom w:val="single" w:color="auto" w:sz="6" w:space="0"/>
              <w:right w:val="single" w:color="auto" w:sz="6" w:space="0"/>
            </w:tcBorders>
            <w:shd w:val="clear" w:color="auto" w:fill="FBE4D5"/>
            <w:tcMar>
              <w:left w:w="57" w:type="dxa"/>
              <w:right w:w="57" w:type="dxa"/>
            </w:tcMar>
          </w:tcPr>
          <w:p>
            <w:pPr>
              <w:snapToGrid w:val="0"/>
              <w:jc w:val="both"/>
              <w:rPr>
                <w:b/>
                <w:color w:val="000000"/>
                <w:sz w:val="24"/>
              </w:rPr>
            </w:pPr>
            <w:r>
              <w:rPr>
                <w:rFonts w:hint="eastAsia"/>
                <w:b/>
                <w:color w:val="000000"/>
                <w:sz w:val="24"/>
              </w:rPr>
              <w:t>建议进行获益风险评估。</w:t>
            </w:r>
            <w:r>
              <w:rPr>
                <w:b/>
                <w:color w:val="000000"/>
                <w:sz w:val="24"/>
              </w:rPr>
              <w:t>*</w:t>
            </w:r>
          </w:p>
          <w:p>
            <w:pPr>
              <w:snapToGrid w:val="0"/>
              <w:jc w:val="both"/>
              <w:rPr>
                <w:sz w:val="24"/>
              </w:rPr>
            </w:pPr>
          </w:p>
          <w:p>
            <w:pPr>
              <w:snapToGrid w:val="0"/>
              <w:jc w:val="both"/>
              <w:rPr>
                <w:sz w:val="24"/>
              </w:rPr>
            </w:pPr>
            <w:r>
              <w:rPr>
                <w:rFonts w:hint="eastAsia"/>
                <w:color w:val="000000"/>
                <w:sz w:val="24"/>
              </w:rPr>
              <w:t>本指南中的因素应被用来评估获益和风险，作为实质性等效性评估的一部分。</w:t>
            </w:r>
          </w:p>
        </w:tc>
        <w:tc>
          <w:tcPr>
            <w:tcW w:w="433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b/>
                <w:color w:val="000000"/>
                <w:sz w:val="24"/>
              </w:rPr>
            </w:pPr>
            <w:r>
              <w:rPr>
                <w:rFonts w:hint="eastAsia"/>
                <w:b/>
                <w:color w:val="000000"/>
                <w:sz w:val="24"/>
              </w:rPr>
              <w:t>可能不建议进行本指南所述的获益风险评估，以确定新器械是否与</w:t>
            </w:r>
            <w:r>
              <w:rPr>
                <w:rFonts w:eastAsia="宋体"/>
                <w:snapToGrid w:val="0"/>
                <w:color w:val="000000"/>
                <w:sz w:val="24"/>
                <w:szCs w:val="24"/>
              </w:rPr>
              <w:t>同品种</w:t>
            </w:r>
            <w:r>
              <w:rPr>
                <w:rFonts w:hint="eastAsia"/>
                <w:b/>
                <w:color w:val="000000"/>
                <w:sz w:val="24"/>
              </w:rPr>
              <w:t>器械</w:t>
            </w:r>
            <w:r>
              <w:rPr>
                <w:rFonts w:ascii="宋体" w:hAnsi="宋体" w:eastAsia="宋体"/>
                <w:b/>
                <w:bCs/>
                <w:snapToGrid w:val="0"/>
                <w:color w:val="000000"/>
                <w:sz w:val="24"/>
                <w:szCs w:val="24"/>
              </w:rPr>
              <w:t>“</w:t>
            </w:r>
            <w:r>
              <w:rPr>
                <w:rFonts w:eastAsia="宋体"/>
                <w:b/>
                <w:bCs/>
                <w:snapToGrid w:val="0"/>
                <w:color w:val="000000"/>
                <w:sz w:val="24"/>
                <w:szCs w:val="24"/>
              </w:rPr>
              <w:t>同样</w:t>
            </w:r>
            <w:r>
              <w:rPr>
                <w:rFonts w:hint="eastAsia" w:eastAsia="宋体"/>
                <w:b/>
                <w:bCs/>
                <w:snapToGrid w:val="0"/>
                <w:color w:val="000000"/>
                <w:sz w:val="24"/>
                <w:szCs w:val="24"/>
              </w:rPr>
              <w:t>安全</w:t>
            </w:r>
            <w:r>
              <w:rPr>
                <w:rFonts w:eastAsia="宋体"/>
                <w:b/>
                <w:bCs/>
                <w:snapToGrid w:val="0"/>
                <w:color w:val="000000"/>
                <w:sz w:val="24"/>
                <w:szCs w:val="24"/>
              </w:rPr>
              <w:t>有效</w:t>
            </w:r>
            <w:r>
              <w:rPr>
                <w:rFonts w:ascii="宋体" w:hAnsi="宋体" w:eastAsia="宋体"/>
                <w:b/>
                <w:bCs/>
                <w:snapToGrid w:val="0"/>
                <w:color w:val="000000"/>
                <w:sz w:val="24"/>
                <w:szCs w:val="24"/>
              </w:rPr>
              <w:t>”</w:t>
            </w:r>
            <w:r>
              <w:rPr>
                <w:rFonts w:hint="eastAsia"/>
                <w:b/>
                <w:color w:val="000000"/>
                <w:sz w:val="24"/>
              </w:rPr>
              <w:t>。</w:t>
            </w:r>
          </w:p>
          <w:p>
            <w:pPr>
              <w:snapToGrid w:val="0"/>
              <w:jc w:val="both"/>
              <w:rPr>
                <w:sz w:val="24"/>
              </w:rPr>
            </w:pPr>
          </w:p>
          <w:p>
            <w:pPr>
              <w:snapToGrid w:val="0"/>
              <w:jc w:val="both"/>
              <w:rPr>
                <w:sz w:val="24"/>
              </w:rPr>
            </w:pPr>
            <w:r>
              <w:rPr>
                <w:rFonts w:hint="eastAsia"/>
                <w:color w:val="000000"/>
                <w:sz w:val="24"/>
              </w:rPr>
              <w:t>当有增加</w:t>
            </w:r>
            <w:r>
              <w:rPr>
                <w:color w:val="000000"/>
                <w:sz w:val="24"/>
              </w:rPr>
              <w:t>/</w:t>
            </w:r>
            <w:r>
              <w:rPr>
                <w:rFonts w:hint="eastAsia"/>
                <w:color w:val="000000"/>
                <w:sz w:val="24"/>
              </w:rPr>
              <w:t>同等获益和减少</w:t>
            </w:r>
            <w:r>
              <w:rPr>
                <w:color w:val="000000"/>
                <w:sz w:val="24"/>
              </w:rPr>
              <w:t>/</w:t>
            </w:r>
            <w:r>
              <w:rPr>
                <w:rFonts w:hint="eastAsia"/>
                <w:color w:val="000000"/>
                <w:sz w:val="24"/>
              </w:rPr>
              <w:t>同等风险时，</w:t>
            </w:r>
            <w:r>
              <w:rPr>
                <w:color w:val="000000"/>
                <w:sz w:val="24"/>
              </w:rPr>
              <w:t>FDA</w:t>
            </w:r>
            <w:r>
              <w:rPr>
                <w:rFonts w:hint="eastAsia"/>
                <w:color w:val="000000"/>
                <w:sz w:val="24"/>
              </w:rPr>
              <w:t>通常会确定新器械的</w:t>
            </w:r>
            <w:r>
              <w:rPr>
                <w:color w:val="000000"/>
                <w:sz w:val="24"/>
              </w:rPr>
              <w:t>SE</w:t>
            </w:r>
            <w:r>
              <w:rPr>
                <w:rFonts w:hint="eastAsia"/>
                <w:color w:val="000000"/>
                <w:sz w:val="24"/>
              </w:rPr>
              <w:t>与</w:t>
            </w:r>
            <w:r>
              <w:rPr>
                <w:rFonts w:eastAsia="宋体"/>
                <w:snapToGrid w:val="0"/>
                <w:color w:val="000000"/>
                <w:sz w:val="24"/>
                <w:szCs w:val="24"/>
              </w:rPr>
              <w:t>同品种</w:t>
            </w:r>
            <w:r>
              <w:rPr>
                <w:rFonts w:hint="eastAsia"/>
                <w:color w:val="000000"/>
                <w:sz w:val="24"/>
              </w:rPr>
              <w:t>器械的关系。</w:t>
            </w:r>
          </w:p>
        </w:tc>
      </w:tr>
      <w:tr>
        <w:tblPrEx>
          <w:tblCellMar>
            <w:top w:w="0" w:type="dxa"/>
            <w:left w:w="40" w:type="dxa"/>
            <w:bottom w:w="0" w:type="dxa"/>
            <w:right w:w="40" w:type="dxa"/>
          </w:tblCellMar>
        </w:tblPrEx>
        <w:trPr>
          <w:cantSplit/>
          <w:trHeight w:val="1134" w:hRule="atLeast"/>
        </w:trPr>
        <w:tc>
          <w:tcPr>
            <w:tcW w:w="1267" w:type="dxa"/>
            <w:tcBorders>
              <w:top w:val="single" w:color="auto" w:sz="6" w:space="0"/>
              <w:left w:val="single" w:color="auto" w:sz="6" w:space="0"/>
              <w:bottom w:val="single" w:color="auto" w:sz="6" w:space="0"/>
              <w:right w:val="single" w:color="auto" w:sz="6" w:space="0"/>
            </w:tcBorders>
            <w:shd w:val="clear" w:color="auto" w:fill="E2EFD9"/>
            <w:tcMar>
              <w:left w:w="57" w:type="dxa"/>
              <w:right w:w="57" w:type="dxa"/>
            </w:tcMar>
            <w:textDirection w:val="btLr"/>
            <w:vAlign w:val="center"/>
          </w:tcPr>
          <w:p>
            <w:pPr>
              <w:snapToGrid w:val="0"/>
              <w:ind w:left="113" w:right="113"/>
              <w:jc w:val="center"/>
              <w:rPr>
                <w:b/>
                <w:sz w:val="24"/>
              </w:rPr>
            </w:pPr>
            <w:r>
              <w:rPr>
                <w:rFonts w:hint="eastAsia"/>
                <w:b/>
                <w:sz w:val="24"/>
              </w:rPr>
              <w:t>获益</w:t>
            </w:r>
            <w:r>
              <w:rPr>
                <w:rFonts w:eastAsia="宋体"/>
                <w:b/>
                <w:bCs/>
                <w:snapToGrid w:val="0"/>
                <w:sz w:val="24"/>
                <w:szCs w:val="24"/>
              </w:rPr>
              <w:t>增加</w:t>
            </w:r>
          </w:p>
        </w:tc>
        <w:tc>
          <w:tcPr>
            <w:tcW w:w="37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b/>
                <w:color w:val="000000"/>
                <w:sz w:val="24"/>
              </w:rPr>
            </w:pPr>
            <w:r>
              <w:rPr>
                <w:rFonts w:hint="eastAsia"/>
                <w:b/>
                <w:color w:val="000000"/>
                <w:sz w:val="24"/>
              </w:rPr>
              <w:t>可能不建议进行本指南所述的获益风险评估，以确定新器械是否与</w:t>
            </w:r>
            <w:r>
              <w:rPr>
                <w:rFonts w:eastAsia="宋体"/>
                <w:b/>
                <w:bCs/>
                <w:snapToGrid w:val="0"/>
                <w:color w:val="000000"/>
                <w:sz w:val="24"/>
                <w:szCs w:val="24"/>
              </w:rPr>
              <w:t>同品种</w:t>
            </w:r>
            <w:r>
              <w:rPr>
                <w:rFonts w:hint="eastAsia"/>
                <w:b/>
                <w:color w:val="000000"/>
                <w:sz w:val="24"/>
              </w:rPr>
              <w:t>器械</w:t>
            </w:r>
            <w:r>
              <w:rPr>
                <w:rFonts w:ascii="宋体" w:hAnsi="宋体" w:eastAsia="宋体"/>
                <w:b/>
                <w:bCs/>
                <w:snapToGrid w:val="0"/>
                <w:color w:val="000000"/>
                <w:sz w:val="24"/>
                <w:szCs w:val="24"/>
              </w:rPr>
              <w:t>“</w:t>
            </w:r>
            <w:r>
              <w:rPr>
                <w:rFonts w:eastAsia="宋体"/>
                <w:b/>
                <w:bCs/>
                <w:snapToGrid w:val="0"/>
                <w:color w:val="000000"/>
                <w:sz w:val="24"/>
                <w:szCs w:val="24"/>
              </w:rPr>
              <w:t>同样安全有效</w:t>
            </w:r>
            <w:r>
              <w:rPr>
                <w:rFonts w:ascii="宋体" w:hAnsi="宋体" w:eastAsia="宋体"/>
                <w:b/>
                <w:bCs/>
                <w:snapToGrid w:val="0"/>
                <w:color w:val="000000"/>
                <w:sz w:val="24"/>
                <w:szCs w:val="24"/>
              </w:rPr>
              <w:t>”</w:t>
            </w:r>
            <w:r>
              <w:rPr>
                <w:rFonts w:hint="eastAsia"/>
                <w:b/>
                <w:color w:val="000000"/>
                <w:sz w:val="24"/>
              </w:rPr>
              <w:t>。</w:t>
            </w:r>
          </w:p>
          <w:p>
            <w:pPr>
              <w:snapToGrid w:val="0"/>
              <w:jc w:val="both"/>
              <w:rPr>
                <w:sz w:val="24"/>
              </w:rPr>
            </w:pPr>
          </w:p>
          <w:p>
            <w:pPr>
              <w:snapToGrid w:val="0"/>
              <w:jc w:val="both"/>
              <w:rPr>
                <w:sz w:val="24"/>
              </w:rPr>
            </w:pPr>
            <w:r>
              <w:rPr>
                <w:rFonts w:hint="eastAsia"/>
                <w:color w:val="000000"/>
                <w:sz w:val="24"/>
              </w:rPr>
              <w:t>当获益减少和风险增加时，</w:t>
            </w:r>
            <w:r>
              <w:rPr>
                <w:color w:val="000000"/>
                <w:sz w:val="24"/>
              </w:rPr>
              <w:t>FDA</w:t>
            </w:r>
            <w:r>
              <w:rPr>
                <w:rFonts w:hint="eastAsia"/>
                <w:color w:val="000000"/>
                <w:sz w:val="24"/>
              </w:rPr>
              <w:t>通常会确定新器械与</w:t>
            </w:r>
            <w:r>
              <w:rPr>
                <w:rFonts w:eastAsia="宋体"/>
                <w:snapToGrid w:val="0"/>
                <w:color w:val="000000"/>
                <w:sz w:val="24"/>
                <w:szCs w:val="24"/>
              </w:rPr>
              <w:t>同品种</w:t>
            </w:r>
            <w:r>
              <w:rPr>
                <w:rFonts w:hint="eastAsia"/>
                <w:color w:val="000000"/>
                <w:sz w:val="24"/>
              </w:rPr>
              <w:t>器械的</w:t>
            </w:r>
            <w:r>
              <w:rPr>
                <w:color w:val="000000"/>
                <w:sz w:val="24"/>
              </w:rPr>
              <w:t>NSE</w:t>
            </w:r>
            <w:r>
              <w:rPr>
                <w:rFonts w:hint="eastAsia"/>
                <w:color w:val="000000"/>
                <w:sz w:val="24"/>
              </w:rPr>
              <w:t>。</w:t>
            </w:r>
          </w:p>
        </w:tc>
        <w:tc>
          <w:tcPr>
            <w:tcW w:w="4330" w:type="dxa"/>
            <w:tcBorders>
              <w:top w:val="single" w:color="auto" w:sz="6" w:space="0"/>
              <w:left w:val="single" w:color="auto" w:sz="6" w:space="0"/>
              <w:bottom w:val="single" w:color="auto" w:sz="6" w:space="0"/>
              <w:right w:val="single" w:color="auto" w:sz="6" w:space="0"/>
            </w:tcBorders>
            <w:shd w:val="clear" w:color="auto" w:fill="FBE4D5"/>
            <w:tcMar>
              <w:left w:w="57" w:type="dxa"/>
              <w:right w:w="57" w:type="dxa"/>
            </w:tcMar>
          </w:tcPr>
          <w:p>
            <w:pPr>
              <w:snapToGrid w:val="0"/>
              <w:jc w:val="both"/>
              <w:rPr>
                <w:b/>
                <w:color w:val="000000"/>
                <w:sz w:val="24"/>
              </w:rPr>
            </w:pPr>
            <w:r>
              <w:rPr>
                <w:rFonts w:hint="eastAsia"/>
                <w:b/>
                <w:color w:val="000000"/>
                <w:sz w:val="24"/>
              </w:rPr>
              <w:t>建议进行获益</w:t>
            </w:r>
            <w:r>
              <w:rPr>
                <w:b/>
                <w:color w:val="000000"/>
                <w:sz w:val="24"/>
              </w:rPr>
              <w:t>-</w:t>
            </w:r>
            <w:r>
              <w:rPr>
                <w:rFonts w:hint="eastAsia"/>
                <w:b/>
                <w:color w:val="000000"/>
                <w:sz w:val="24"/>
              </w:rPr>
              <w:t>风险评估。</w:t>
            </w:r>
            <w:r>
              <w:rPr>
                <w:b/>
                <w:color w:val="000000"/>
                <w:sz w:val="24"/>
              </w:rPr>
              <w:t>*</w:t>
            </w:r>
          </w:p>
          <w:p>
            <w:pPr>
              <w:snapToGrid w:val="0"/>
              <w:jc w:val="both"/>
              <w:rPr>
                <w:sz w:val="24"/>
              </w:rPr>
            </w:pPr>
          </w:p>
          <w:p>
            <w:pPr>
              <w:snapToGrid w:val="0"/>
              <w:jc w:val="both"/>
              <w:rPr>
                <w:sz w:val="24"/>
              </w:rPr>
            </w:pPr>
            <w:r>
              <w:rPr>
                <w:rFonts w:hint="eastAsia"/>
                <w:color w:val="000000"/>
                <w:sz w:val="24"/>
              </w:rPr>
              <w:t>本指南中的因素应被用来评估获益和风险，作为实质性等效性评估的一部分。</w:t>
            </w:r>
          </w:p>
        </w:tc>
      </w:tr>
    </w:tbl>
    <w:p>
      <w:pPr>
        <w:snapToGrid w:val="0"/>
        <w:jc w:val="both"/>
        <w:rPr>
          <w:color w:val="000000"/>
          <w:sz w:val="24"/>
        </w:rPr>
      </w:pPr>
      <w:bookmarkStart w:id="19" w:name="bookmark16"/>
      <w:r>
        <w:rPr>
          <w:color w:val="000000"/>
          <w:sz w:val="24"/>
        </w:rPr>
        <w:t>*</w:t>
      </w:r>
      <w:bookmarkEnd w:id="19"/>
      <w:r>
        <w:rPr>
          <w:color w:val="000000"/>
          <w:sz w:val="24"/>
        </w:rPr>
        <w:t>FDA</w:t>
      </w:r>
      <w:r>
        <w:rPr>
          <w:rFonts w:hint="eastAsia"/>
          <w:color w:val="000000"/>
          <w:sz w:val="24"/>
        </w:rPr>
        <w:t>建议进行获益</w:t>
      </w:r>
      <w:r>
        <w:rPr>
          <w:color w:val="000000"/>
          <w:sz w:val="24"/>
        </w:rPr>
        <w:t>-</w:t>
      </w:r>
      <w:r>
        <w:rPr>
          <w:rFonts w:hint="eastAsia"/>
          <w:color w:val="000000"/>
          <w:sz w:val="24"/>
        </w:rPr>
        <w:t>风险评估，以确定尽管存在这些差异，新器械是否与</w:t>
      </w:r>
      <w:r>
        <w:rPr>
          <w:rFonts w:eastAsia="宋体"/>
          <w:snapToGrid w:val="0"/>
          <w:color w:val="000000"/>
          <w:sz w:val="24"/>
          <w:szCs w:val="24"/>
        </w:rPr>
        <w:t>同品种</w:t>
      </w:r>
      <w:r>
        <w:rPr>
          <w:rFonts w:hint="eastAsia"/>
          <w:color w:val="000000"/>
          <w:sz w:val="24"/>
        </w:rPr>
        <w:t>器械</w:t>
      </w:r>
      <w:r>
        <w:rPr>
          <w:rFonts w:ascii="宋体" w:hAnsi="宋体" w:eastAsia="宋体"/>
          <w:snapToGrid w:val="0"/>
          <w:color w:val="000000"/>
          <w:sz w:val="24"/>
          <w:szCs w:val="24"/>
        </w:rPr>
        <w:t>“</w:t>
      </w:r>
      <w:r>
        <w:rPr>
          <w:rFonts w:eastAsia="宋体"/>
          <w:snapToGrid w:val="0"/>
          <w:color w:val="000000"/>
          <w:sz w:val="24"/>
          <w:szCs w:val="24"/>
        </w:rPr>
        <w:t>同样安全有效</w:t>
      </w:r>
      <w:r>
        <w:rPr>
          <w:rFonts w:ascii="宋体" w:hAnsi="宋体" w:eastAsia="宋体"/>
          <w:snapToGrid w:val="0"/>
          <w:color w:val="000000"/>
          <w:sz w:val="24"/>
          <w:szCs w:val="24"/>
        </w:rPr>
        <w:t>”</w:t>
      </w:r>
      <w:r>
        <w:rPr>
          <w:rFonts w:hint="eastAsia"/>
          <w:color w:val="000000"/>
          <w:sz w:val="24"/>
        </w:rPr>
        <w:t>。</w:t>
      </w:r>
      <w:r>
        <w:rPr>
          <w:color w:val="000000"/>
          <w:sz w:val="24"/>
        </w:rPr>
        <w:t>510</w:t>
      </w:r>
      <w:r>
        <w:rPr>
          <w:rFonts w:hint="eastAsia"/>
          <w:color w:val="000000"/>
          <w:sz w:val="24"/>
        </w:rPr>
        <w:t>（</w:t>
      </w:r>
      <w:r>
        <w:rPr>
          <w:color w:val="000000"/>
          <w:sz w:val="24"/>
        </w:rPr>
        <w:t>k</w:t>
      </w:r>
      <w:r>
        <w:rPr>
          <w:rFonts w:hint="eastAsia"/>
          <w:color w:val="000000"/>
          <w:sz w:val="24"/>
        </w:rPr>
        <w:t>）摘要中应包括获益风险评估的摘要，如果这些信息对</w:t>
      </w:r>
      <w:r>
        <w:rPr>
          <w:color w:val="000000"/>
          <w:sz w:val="24"/>
        </w:rPr>
        <w:t>FDA</w:t>
      </w:r>
      <w:r>
        <w:rPr>
          <w:rFonts w:hint="eastAsia"/>
          <w:color w:val="000000"/>
          <w:sz w:val="24"/>
        </w:rPr>
        <w:t>确定新器械</w:t>
      </w:r>
      <w:r>
        <w:rPr>
          <w:rFonts w:ascii="宋体" w:hAnsi="宋体"/>
          <w:color w:val="000000"/>
          <w:sz w:val="24"/>
        </w:rPr>
        <w:t>“</w:t>
      </w:r>
      <w:r>
        <w:rPr>
          <w:rFonts w:eastAsia="宋体"/>
          <w:snapToGrid w:val="0"/>
          <w:color w:val="000000"/>
          <w:sz w:val="24"/>
          <w:szCs w:val="24"/>
        </w:rPr>
        <w:t>同样</w:t>
      </w:r>
      <w:r>
        <w:rPr>
          <w:rFonts w:hint="eastAsia"/>
          <w:color w:val="000000"/>
          <w:sz w:val="24"/>
        </w:rPr>
        <w:t>安全、</w:t>
      </w:r>
      <w:r>
        <w:rPr>
          <w:rFonts w:eastAsia="宋体"/>
          <w:snapToGrid w:val="0"/>
          <w:color w:val="000000"/>
          <w:sz w:val="24"/>
          <w:szCs w:val="24"/>
        </w:rPr>
        <w:t>同样</w:t>
      </w:r>
      <w:r>
        <w:rPr>
          <w:rFonts w:hint="eastAsia"/>
          <w:color w:val="000000"/>
          <w:sz w:val="24"/>
        </w:rPr>
        <w:t>有效，且性能与</w:t>
      </w:r>
      <w:r>
        <w:rPr>
          <w:rFonts w:eastAsia="宋体"/>
          <w:snapToGrid w:val="0"/>
          <w:color w:val="000000"/>
          <w:sz w:val="24"/>
          <w:szCs w:val="24"/>
        </w:rPr>
        <w:t>同品种</w:t>
      </w:r>
      <w:r>
        <w:rPr>
          <w:rFonts w:hint="eastAsia"/>
          <w:color w:val="000000"/>
          <w:sz w:val="24"/>
        </w:rPr>
        <w:t>器械一样好或更好</w:t>
      </w:r>
      <w:r>
        <w:rPr>
          <w:rFonts w:ascii="宋体" w:hAnsi="宋体"/>
          <w:color w:val="000000"/>
          <w:sz w:val="24"/>
        </w:rPr>
        <w:t>”</w:t>
      </w:r>
      <w:r>
        <w:rPr>
          <w:rFonts w:hint="eastAsia"/>
          <w:color w:val="000000"/>
          <w:sz w:val="24"/>
        </w:rPr>
        <w:t>非常重要，这与</w:t>
      </w:r>
      <w:r>
        <w:rPr>
          <w:rFonts w:eastAsia="宋体"/>
          <w:snapToGrid w:val="0"/>
          <w:color w:val="000000"/>
          <w:sz w:val="24"/>
          <w:szCs w:val="24"/>
        </w:rPr>
        <w:t>第807</w:t>
      </w:r>
      <w:r>
        <w:rPr>
          <w:color w:val="000000"/>
          <w:sz w:val="24"/>
        </w:rPr>
        <w:t>.92</w:t>
      </w:r>
      <w:r>
        <w:rPr>
          <w:rFonts w:hint="eastAsia"/>
          <w:color w:val="000000"/>
          <w:sz w:val="24"/>
        </w:rPr>
        <w:t>（</w:t>
      </w:r>
      <w:r>
        <w:rPr>
          <w:color w:val="000000"/>
          <w:sz w:val="24"/>
        </w:rPr>
        <w:t>b</w:t>
      </w:r>
      <w:r>
        <w:rPr>
          <w:rFonts w:hint="eastAsia"/>
          <w:color w:val="000000"/>
          <w:sz w:val="24"/>
        </w:rPr>
        <w:t>）（</w:t>
      </w:r>
      <w:r>
        <w:rPr>
          <w:color w:val="000000"/>
          <w:sz w:val="24"/>
        </w:rPr>
        <w:t>3</w:t>
      </w:r>
      <w:r>
        <w:rPr>
          <w:rFonts w:hint="eastAsia"/>
          <w:color w:val="000000"/>
          <w:sz w:val="24"/>
        </w:rPr>
        <w:t>）一致。</w:t>
      </w:r>
    </w:p>
    <w:p>
      <w:pPr>
        <w:snapToGrid w:val="0"/>
        <w:jc w:val="both"/>
        <w:rPr>
          <w:rFonts w:eastAsia="宋体"/>
          <w:snapToGrid w:val="0"/>
          <w:sz w:val="24"/>
          <w:szCs w:val="24"/>
        </w:rPr>
      </w:pPr>
    </w:p>
    <w:p>
      <w:pPr>
        <w:pStyle w:val="3"/>
        <w:spacing w:beforeLines="0" w:afterLines="0"/>
        <w:ind w:left="1193" w:hanging="563"/>
        <w:rPr>
          <w:rFonts w:eastAsia="宋体"/>
          <w:snapToGrid w:val="0"/>
          <w:sz w:val="28"/>
          <w:szCs w:val="28"/>
        </w:rPr>
      </w:pPr>
      <w:bookmarkStart w:id="20" w:name="_Toc98779744"/>
      <w:bookmarkStart w:id="21" w:name="_Toc97472524"/>
      <w:r>
        <w:rPr>
          <w:sz w:val="28"/>
        </w:rPr>
        <w:t>A.</w:t>
      </w:r>
      <w:r>
        <w:rPr>
          <w:sz w:val="28"/>
        </w:rPr>
        <w:tab/>
      </w:r>
      <w:r>
        <w:rPr>
          <w:rFonts w:hint="eastAsia"/>
          <w:sz w:val="28"/>
        </w:rPr>
        <w:t>器械的获益评估</w:t>
      </w:r>
      <w:bookmarkEnd w:id="20"/>
      <w:bookmarkEnd w:id="21"/>
    </w:p>
    <w:p>
      <w:pPr>
        <w:snapToGrid w:val="0"/>
        <w:jc w:val="both"/>
        <w:rPr>
          <w:color w:val="000000"/>
          <w:sz w:val="24"/>
        </w:rPr>
      </w:pPr>
    </w:p>
    <w:p>
      <w:pPr>
        <w:snapToGrid w:val="0"/>
        <w:jc w:val="both"/>
        <w:rPr>
          <w:rFonts w:eastAsia="宋体"/>
          <w:snapToGrid w:val="0"/>
          <w:sz w:val="24"/>
          <w:szCs w:val="24"/>
        </w:rPr>
      </w:pPr>
      <w:r>
        <w:rPr>
          <w:rFonts w:eastAsia="宋体"/>
          <w:snapToGrid w:val="0"/>
          <w:color w:val="000000"/>
          <w:sz w:val="24"/>
          <w:szCs w:val="24"/>
        </w:rPr>
        <w:t>可能的器械获益的示例包括，但不限于：</w:t>
      </w:r>
    </w:p>
    <w:p>
      <w:pPr>
        <w:snapToGrid w:val="0"/>
        <w:ind w:left="660" w:leftChars="150" w:hanging="360" w:hangingChars="150"/>
        <w:jc w:val="both"/>
        <w:rPr>
          <w:rFonts w:eastAsia="宋体"/>
          <w:snapToGrid w:val="0"/>
          <w:color w:val="000000"/>
          <w:sz w:val="24"/>
          <w:szCs w:val="24"/>
        </w:rPr>
      </w:pPr>
      <w:r>
        <w:rPr>
          <w:rFonts w:eastAsia="宋体"/>
          <w:snapToGrid w:val="0"/>
          <w:color w:val="000000"/>
          <w:sz w:val="24"/>
          <w:szCs w:val="24"/>
        </w:rPr>
        <w:t>•</w:t>
      </w:r>
      <w:r>
        <w:rPr>
          <w:rFonts w:eastAsia="宋体"/>
          <w:snapToGrid w:val="0"/>
          <w:color w:val="000000"/>
          <w:sz w:val="24"/>
          <w:szCs w:val="24"/>
        </w:rPr>
        <w:tab/>
      </w:r>
      <w:r>
        <w:rPr>
          <w:rFonts w:eastAsia="宋体"/>
          <w:snapToGrid w:val="0"/>
          <w:color w:val="000000"/>
          <w:sz w:val="24"/>
          <w:szCs w:val="24"/>
        </w:rPr>
        <w:t>减少治疗时间以达到相同的效果；</w:t>
      </w:r>
    </w:p>
    <w:p>
      <w:pPr>
        <w:snapToGrid w:val="0"/>
        <w:ind w:left="660" w:leftChars="150" w:hanging="360" w:hangingChars="150"/>
        <w:jc w:val="both"/>
        <w:rPr>
          <w:rFonts w:eastAsia="宋体"/>
          <w:snapToGrid w:val="0"/>
          <w:color w:val="000000"/>
          <w:sz w:val="24"/>
          <w:szCs w:val="24"/>
        </w:rPr>
      </w:pPr>
      <w:r>
        <w:rPr>
          <w:rFonts w:eastAsia="宋体"/>
          <w:snapToGrid w:val="0"/>
          <w:color w:val="000000"/>
          <w:sz w:val="24"/>
          <w:szCs w:val="24"/>
        </w:rPr>
        <w:t>•</w:t>
      </w:r>
      <w:r>
        <w:rPr>
          <w:rFonts w:eastAsia="宋体"/>
          <w:snapToGrid w:val="0"/>
          <w:color w:val="000000"/>
          <w:sz w:val="24"/>
          <w:szCs w:val="24"/>
        </w:rPr>
        <w:tab/>
      </w:r>
      <w:r>
        <w:rPr>
          <w:rFonts w:eastAsia="宋体"/>
          <w:snapToGrid w:val="0"/>
          <w:color w:val="000000"/>
          <w:sz w:val="24"/>
          <w:szCs w:val="24"/>
        </w:rPr>
        <w:t>改善机械性能，以减少可能发生的不良事件的可能性或改善操作；</w:t>
      </w:r>
    </w:p>
    <w:p>
      <w:pPr>
        <w:snapToGrid w:val="0"/>
        <w:ind w:left="660" w:leftChars="150" w:hanging="360" w:hangingChars="150"/>
        <w:jc w:val="both"/>
        <w:rPr>
          <w:rFonts w:eastAsia="宋体"/>
          <w:snapToGrid w:val="0"/>
          <w:color w:val="000000"/>
          <w:sz w:val="24"/>
          <w:szCs w:val="24"/>
        </w:rPr>
      </w:pPr>
      <w:r>
        <w:rPr>
          <w:rFonts w:eastAsia="宋体"/>
          <w:snapToGrid w:val="0"/>
          <w:color w:val="000000"/>
          <w:sz w:val="24"/>
          <w:szCs w:val="24"/>
        </w:rPr>
        <w:t>•</w:t>
      </w:r>
      <w:r>
        <w:rPr>
          <w:rFonts w:eastAsia="宋体"/>
          <w:snapToGrid w:val="0"/>
          <w:color w:val="000000"/>
          <w:sz w:val="24"/>
          <w:szCs w:val="24"/>
        </w:rPr>
        <w:tab/>
      </w:r>
      <w:r>
        <w:rPr>
          <w:rFonts w:eastAsia="宋体"/>
          <w:snapToGrid w:val="0"/>
          <w:color w:val="000000"/>
          <w:sz w:val="24"/>
          <w:szCs w:val="24"/>
        </w:rPr>
        <w:t>减少器械输出的可变性；</w:t>
      </w:r>
    </w:p>
    <w:p>
      <w:pPr>
        <w:snapToGrid w:val="0"/>
        <w:ind w:left="660" w:leftChars="150" w:hanging="360" w:hangingChars="150"/>
        <w:jc w:val="both"/>
        <w:rPr>
          <w:rFonts w:eastAsia="宋体"/>
          <w:snapToGrid w:val="0"/>
          <w:color w:val="000000"/>
          <w:sz w:val="24"/>
          <w:szCs w:val="24"/>
        </w:rPr>
      </w:pPr>
      <w:r>
        <w:rPr>
          <w:rFonts w:eastAsia="宋体"/>
          <w:snapToGrid w:val="0"/>
          <w:color w:val="000000"/>
          <w:sz w:val="24"/>
          <w:szCs w:val="24"/>
        </w:rPr>
        <w:t>•</w:t>
      </w:r>
      <w:r>
        <w:rPr>
          <w:rFonts w:eastAsia="宋体"/>
          <w:snapToGrid w:val="0"/>
          <w:color w:val="000000"/>
          <w:sz w:val="24"/>
          <w:szCs w:val="24"/>
        </w:rPr>
        <w:tab/>
      </w:r>
      <w:r>
        <w:rPr>
          <w:rFonts w:eastAsia="宋体"/>
          <w:snapToGrid w:val="0"/>
          <w:color w:val="000000"/>
          <w:sz w:val="24"/>
          <w:szCs w:val="24"/>
        </w:rPr>
        <w:t>临床管理的改善、生存概率、患者健康状况的其他方面（例如，对患者管理和生活质量的影响、患者功能的改善、防止功能丧失、症状的缓解），以及目标人群的患者满意度，这些均可以通过使用PROs来衡量；以及</w:t>
      </w:r>
    </w:p>
    <w:p>
      <w:pPr>
        <w:tabs>
          <w:tab w:val="left" w:pos="782"/>
        </w:tabs>
        <w:snapToGrid w:val="0"/>
        <w:jc w:val="both"/>
        <w:rPr>
          <w:color w:val="000000"/>
          <w:sz w:val="24"/>
        </w:rPr>
      </w:pPr>
    </w:p>
    <w:p>
      <w:pPr>
        <w:tabs>
          <w:tab w:val="left" w:pos="782"/>
        </w:tabs>
        <w:snapToGrid w:val="0"/>
        <w:jc w:val="both"/>
        <w:rPr>
          <w:color w:val="000000"/>
          <w:sz w:val="24"/>
        </w:rPr>
        <w:sectPr>
          <w:pgSz w:w="11906" w:h="16838"/>
          <w:pgMar w:top="1134" w:right="1134" w:bottom="1134" w:left="1418" w:header="567" w:footer="567" w:gutter="0"/>
          <w:cols w:space="60" w:num="1"/>
          <w:docGrid w:linePitch="272" w:charSpace="0"/>
        </w:sectPr>
      </w:pPr>
    </w:p>
    <w:p>
      <w:pPr>
        <w:snapToGrid w:val="0"/>
        <w:ind w:left="660" w:leftChars="150" w:hanging="360" w:hangingChars="150"/>
        <w:jc w:val="both"/>
        <w:rPr>
          <w:rFonts w:eastAsia="宋体"/>
          <w:snapToGrid w:val="0"/>
          <w:color w:val="000000"/>
          <w:sz w:val="24"/>
          <w:szCs w:val="24"/>
        </w:rPr>
      </w:pPr>
      <w:r>
        <w:rPr>
          <w:rFonts w:eastAsia="宋体"/>
          <w:snapToGrid w:val="0"/>
          <w:color w:val="000000"/>
          <w:sz w:val="24"/>
          <w:szCs w:val="24"/>
        </w:rPr>
        <w:t>•</w:t>
      </w:r>
      <w:r>
        <w:rPr>
          <w:rFonts w:eastAsia="宋体"/>
          <w:snapToGrid w:val="0"/>
          <w:color w:val="000000"/>
          <w:sz w:val="24"/>
          <w:szCs w:val="24"/>
        </w:rPr>
        <w:tab/>
      </w:r>
      <w:r>
        <w:rPr>
          <w:rFonts w:eastAsia="宋体"/>
          <w:snapToGrid w:val="0"/>
          <w:color w:val="000000"/>
          <w:sz w:val="24"/>
          <w:szCs w:val="24"/>
        </w:rPr>
        <w:t>对于诊断器械，且就公共卫生影响的性质而言，获益可以基于若干因素，包括：</w:t>
      </w:r>
    </w:p>
    <w:p>
      <w:pPr>
        <w:snapToGrid w:val="0"/>
        <w:ind w:left="1275" w:leftChars="480" w:hanging="315"/>
        <w:jc w:val="both"/>
        <w:rPr>
          <w:rFonts w:eastAsia="宋体"/>
          <w:snapToGrid w:val="0"/>
          <w:color w:val="000000"/>
          <w:sz w:val="24"/>
          <w:szCs w:val="24"/>
        </w:rPr>
      </w:pPr>
      <w:r>
        <w:rPr>
          <w:rFonts w:eastAsia="宋体"/>
          <w:snapToGrid w:val="0"/>
          <w:color w:val="000000"/>
          <w:sz w:val="24"/>
          <w:szCs w:val="24"/>
        </w:rPr>
        <w:t>○</w:t>
      </w:r>
      <w:r>
        <w:rPr>
          <w:rFonts w:eastAsia="宋体"/>
          <w:snapToGrid w:val="0"/>
          <w:color w:val="000000"/>
          <w:sz w:val="24"/>
          <w:szCs w:val="24"/>
        </w:rPr>
        <w:tab/>
      </w:r>
      <w:r>
        <w:rPr>
          <w:rFonts w:eastAsia="宋体"/>
          <w:snapToGrid w:val="0"/>
          <w:color w:val="000000"/>
          <w:sz w:val="24"/>
          <w:szCs w:val="24"/>
        </w:rPr>
        <w:t>识别特定的疾病；</w:t>
      </w:r>
    </w:p>
    <w:p>
      <w:pPr>
        <w:snapToGrid w:val="0"/>
        <w:ind w:left="1275" w:leftChars="480" w:hanging="315"/>
        <w:jc w:val="both"/>
        <w:rPr>
          <w:rFonts w:eastAsia="宋体"/>
          <w:snapToGrid w:val="0"/>
          <w:color w:val="000000"/>
          <w:sz w:val="24"/>
          <w:szCs w:val="24"/>
        </w:rPr>
      </w:pPr>
      <w:r>
        <w:rPr>
          <w:rFonts w:eastAsia="宋体"/>
          <w:snapToGrid w:val="0"/>
          <w:color w:val="000000"/>
          <w:sz w:val="24"/>
          <w:szCs w:val="24"/>
        </w:rPr>
        <w:t>○</w:t>
      </w:r>
      <w:r>
        <w:rPr>
          <w:rFonts w:eastAsia="宋体"/>
          <w:snapToGrid w:val="0"/>
          <w:color w:val="000000"/>
          <w:sz w:val="24"/>
          <w:szCs w:val="24"/>
        </w:rPr>
        <w:tab/>
      </w:r>
      <w:r>
        <w:rPr>
          <w:rFonts w:eastAsia="宋体"/>
          <w:snapToGrid w:val="0"/>
          <w:color w:val="000000"/>
          <w:sz w:val="24"/>
          <w:szCs w:val="24"/>
        </w:rPr>
        <w:t>在疾病的不同阶段提供诊断；</w:t>
      </w:r>
    </w:p>
    <w:p>
      <w:pPr>
        <w:snapToGrid w:val="0"/>
        <w:ind w:left="1275" w:leftChars="480" w:hanging="315"/>
        <w:jc w:val="both"/>
        <w:rPr>
          <w:rFonts w:eastAsia="宋体"/>
          <w:snapToGrid w:val="0"/>
          <w:color w:val="000000"/>
          <w:sz w:val="24"/>
          <w:szCs w:val="24"/>
        </w:rPr>
      </w:pPr>
      <w:r>
        <w:rPr>
          <w:rFonts w:eastAsia="宋体"/>
          <w:snapToGrid w:val="0"/>
          <w:color w:val="000000"/>
          <w:sz w:val="24"/>
          <w:szCs w:val="24"/>
        </w:rPr>
        <w:t>○</w:t>
      </w:r>
      <w:r>
        <w:rPr>
          <w:rFonts w:eastAsia="宋体"/>
          <w:snapToGrid w:val="0"/>
          <w:color w:val="000000"/>
          <w:sz w:val="24"/>
          <w:szCs w:val="24"/>
        </w:rPr>
        <w:tab/>
      </w:r>
      <w:r>
        <w:rPr>
          <w:rFonts w:eastAsia="宋体"/>
          <w:snapToGrid w:val="0"/>
          <w:color w:val="000000"/>
          <w:sz w:val="24"/>
          <w:szCs w:val="24"/>
        </w:rPr>
        <w:t>预测未来疾病的发病情况；</w:t>
      </w:r>
    </w:p>
    <w:p>
      <w:pPr>
        <w:snapToGrid w:val="0"/>
        <w:ind w:left="1275" w:leftChars="480" w:hanging="315"/>
        <w:jc w:val="both"/>
        <w:rPr>
          <w:rFonts w:eastAsia="宋体"/>
          <w:snapToGrid w:val="0"/>
          <w:color w:val="000000"/>
          <w:sz w:val="24"/>
          <w:szCs w:val="24"/>
        </w:rPr>
      </w:pPr>
      <w:r>
        <w:rPr>
          <w:rFonts w:eastAsia="宋体"/>
          <w:snapToGrid w:val="0"/>
          <w:color w:val="000000"/>
          <w:sz w:val="24"/>
          <w:szCs w:val="24"/>
        </w:rPr>
        <w:t>○</w:t>
      </w:r>
      <w:r>
        <w:rPr>
          <w:rFonts w:eastAsia="宋体"/>
          <w:snapToGrid w:val="0"/>
          <w:color w:val="000000"/>
          <w:sz w:val="24"/>
          <w:szCs w:val="24"/>
        </w:rPr>
        <w:tab/>
      </w:r>
      <w:r>
        <w:rPr>
          <w:rFonts w:eastAsia="宋体"/>
          <w:snapToGrid w:val="0"/>
          <w:color w:val="000000"/>
          <w:sz w:val="24"/>
          <w:szCs w:val="24"/>
        </w:rPr>
        <w:t>改善患者的看病流程；</w:t>
      </w:r>
    </w:p>
    <w:p>
      <w:pPr>
        <w:snapToGrid w:val="0"/>
        <w:ind w:left="1275" w:leftChars="480" w:hanging="315"/>
        <w:jc w:val="both"/>
        <w:rPr>
          <w:rFonts w:eastAsia="宋体"/>
          <w:snapToGrid w:val="0"/>
          <w:color w:val="000000"/>
          <w:sz w:val="24"/>
          <w:szCs w:val="24"/>
        </w:rPr>
      </w:pPr>
      <w:r>
        <w:rPr>
          <w:rFonts w:eastAsia="宋体"/>
          <w:snapToGrid w:val="0"/>
          <w:color w:val="000000"/>
          <w:sz w:val="24"/>
          <w:szCs w:val="24"/>
        </w:rPr>
        <w:t>○</w:t>
      </w:r>
      <w:r>
        <w:rPr>
          <w:rFonts w:eastAsia="宋体"/>
          <w:snapToGrid w:val="0"/>
          <w:color w:val="000000"/>
          <w:sz w:val="24"/>
          <w:szCs w:val="24"/>
        </w:rPr>
        <w:tab/>
      </w:r>
      <w:r>
        <w:rPr>
          <w:rFonts w:eastAsia="宋体"/>
          <w:snapToGrid w:val="0"/>
          <w:color w:val="000000"/>
          <w:sz w:val="24"/>
          <w:szCs w:val="24"/>
        </w:rPr>
        <w:t>增加效率或检查；</w:t>
      </w:r>
    </w:p>
    <w:p>
      <w:pPr>
        <w:snapToGrid w:val="0"/>
        <w:ind w:left="1275" w:leftChars="480" w:hanging="315"/>
        <w:jc w:val="both"/>
        <w:rPr>
          <w:rFonts w:eastAsia="宋体"/>
          <w:snapToGrid w:val="0"/>
          <w:color w:val="000000"/>
          <w:sz w:val="24"/>
          <w:szCs w:val="24"/>
        </w:rPr>
      </w:pPr>
      <w:r>
        <w:rPr>
          <w:rFonts w:eastAsia="宋体"/>
          <w:snapToGrid w:val="0"/>
          <w:color w:val="000000"/>
          <w:sz w:val="24"/>
          <w:szCs w:val="24"/>
        </w:rPr>
        <w:t>○</w:t>
      </w:r>
      <w:r>
        <w:rPr>
          <w:rFonts w:eastAsia="宋体"/>
          <w:snapToGrid w:val="0"/>
          <w:color w:val="000000"/>
          <w:sz w:val="24"/>
          <w:szCs w:val="24"/>
        </w:rPr>
        <w:tab/>
      </w:r>
      <w:r>
        <w:rPr>
          <w:rFonts w:eastAsia="宋体"/>
          <w:snapToGrid w:val="0"/>
          <w:color w:val="000000"/>
          <w:sz w:val="24"/>
          <w:szCs w:val="24"/>
        </w:rPr>
        <w:t>提供有助于优化疗法和治疗的可重复和可量化的结果；以及</w:t>
      </w:r>
    </w:p>
    <w:p>
      <w:pPr>
        <w:snapToGrid w:val="0"/>
        <w:ind w:left="1275" w:leftChars="480" w:hanging="315"/>
        <w:jc w:val="both"/>
        <w:rPr>
          <w:rFonts w:eastAsia="宋体"/>
          <w:snapToGrid w:val="0"/>
          <w:sz w:val="24"/>
          <w:szCs w:val="24"/>
        </w:rPr>
      </w:pPr>
      <w:r>
        <w:rPr>
          <w:rFonts w:eastAsia="宋体"/>
          <w:snapToGrid w:val="0"/>
          <w:color w:val="000000"/>
          <w:sz w:val="24"/>
          <w:szCs w:val="24"/>
        </w:rPr>
        <w:t>○</w:t>
      </w:r>
      <w:r>
        <w:rPr>
          <w:rFonts w:eastAsia="宋体"/>
          <w:snapToGrid w:val="0"/>
          <w:color w:val="000000"/>
          <w:sz w:val="24"/>
          <w:szCs w:val="24"/>
        </w:rPr>
        <w:tab/>
      </w:r>
      <w:r>
        <w:rPr>
          <w:rFonts w:eastAsia="宋体"/>
          <w:snapToGrid w:val="0"/>
          <w:color w:val="000000"/>
          <w:sz w:val="24"/>
          <w:szCs w:val="24"/>
        </w:rPr>
        <w:t>通过减少误诊（或从第一次正确的诊断获得正确的治疗方案）和/或识别可能对特定疗法有反应的患者，从而使疾病得到治疗或减少/防止其扩散，来改善患者的结果（如幸福感、健康状况、患者的安全），这通常可以通过使用PRO来衡量。</w:t>
      </w:r>
    </w:p>
    <w:p>
      <w:pPr>
        <w:snapToGrid w:val="0"/>
        <w:jc w:val="both"/>
        <w:rPr>
          <w:rFonts w:eastAsia="宋体"/>
          <w:snapToGrid w:val="0"/>
          <w:color w:val="000000"/>
          <w:sz w:val="24"/>
          <w:szCs w:val="24"/>
        </w:rPr>
      </w:pPr>
    </w:p>
    <w:p>
      <w:pPr>
        <w:snapToGrid w:val="0"/>
        <w:ind w:firstLine="480" w:firstLineChars="200"/>
        <w:jc w:val="both"/>
        <w:rPr>
          <w:rFonts w:eastAsia="宋体"/>
          <w:snapToGrid w:val="0"/>
          <w:color w:val="000000"/>
          <w:sz w:val="24"/>
          <w:szCs w:val="24"/>
        </w:rPr>
      </w:pPr>
      <w:r>
        <w:rPr>
          <w:rFonts w:eastAsia="宋体"/>
          <w:snapToGrid w:val="0"/>
          <w:color w:val="000000"/>
          <w:sz w:val="24"/>
          <w:szCs w:val="24"/>
        </w:rPr>
        <w:t>表示临床获益的终点通常是直接测量的，但在某些情况下，可以通过使用有理由预测临床获益的代用终点来证明。</w:t>
      </w:r>
    </w:p>
    <w:p>
      <w:pPr>
        <w:snapToGrid w:val="0"/>
        <w:jc w:val="both"/>
        <w:rPr>
          <w:rFonts w:eastAsia="宋体"/>
          <w:snapToGrid w:val="0"/>
          <w:sz w:val="24"/>
          <w:szCs w:val="24"/>
        </w:rPr>
      </w:pPr>
    </w:p>
    <w:p>
      <w:pPr>
        <w:snapToGrid w:val="0"/>
        <w:ind w:firstLine="480" w:firstLineChars="200"/>
        <w:jc w:val="both"/>
        <w:rPr>
          <w:color w:val="000000"/>
          <w:sz w:val="24"/>
        </w:rPr>
      </w:pPr>
      <w:bookmarkStart w:id="22" w:name="bookmark17"/>
      <w:bookmarkEnd w:id="22"/>
      <w:r>
        <w:rPr>
          <w:rFonts w:eastAsia="宋体"/>
          <w:snapToGrid w:val="0"/>
          <w:color w:val="000000"/>
          <w:sz w:val="24"/>
          <w:szCs w:val="24"/>
        </w:rPr>
        <w:t>FDA评估510（k）中提供了关于可能获益程度的信息，除其他外，在与同品种器械进行比较时，单独和综合考虑以下因素。</w:t>
      </w:r>
    </w:p>
    <w:p>
      <w:pPr>
        <w:snapToGrid w:val="0"/>
        <w:ind w:firstLine="480" w:firstLineChars="200"/>
        <w:jc w:val="both"/>
        <w:rPr>
          <w:rFonts w:eastAsia="宋体"/>
          <w:snapToGrid w:val="0"/>
          <w:sz w:val="24"/>
          <w:szCs w:val="24"/>
        </w:rPr>
      </w:pPr>
    </w:p>
    <w:p>
      <w:pPr>
        <w:pStyle w:val="4"/>
        <w:spacing w:before="0" w:beforeLines="0" w:after="0" w:afterLines="0"/>
        <w:ind w:left="1760" w:hanging="484"/>
        <w:rPr>
          <w:sz w:val="24"/>
        </w:rPr>
      </w:pPr>
      <w:bookmarkStart w:id="23" w:name="_Toc98779745"/>
      <w:bookmarkStart w:id="24" w:name="_Toc97472525"/>
      <w:r>
        <w:rPr>
          <w:rFonts w:hint="eastAsia"/>
          <w:sz w:val="24"/>
        </w:rPr>
        <w:t>（</w:t>
      </w:r>
      <w:r>
        <w:rPr>
          <w:sz w:val="24"/>
        </w:rPr>
        <w:t>1</w:t>
      </w:r>
      <w:r>
        <w:rPr>
          <w:rFonts w:hint="eastAsia"/>
          <w:sz w:val="24"/>
        </w:rPr>
        <w:t>）</w:t>
      </w:r>
      <w:r>
        <w:rPr>
          <w:sz w:val="24"/>
        </w:rPr>
        <w:tab/>
      </w:r>
      <w:r>
        <w:rPr>
          <w:rFonts w:hint="eastAsia"/>
          <w:sz w:val="24"/>
        </w:rPr>
        <w:t>获益程度</w:t>
      </w:r>
      <w:bookmarkEnd w:id="23"/>
      <w:bookmarkEnd w:id="24"/>
    </w:p>
    <w:p>
      <w:pPr>
        <w:snapToGrid w:val="0"/>
        <w:ind w:firstLine="480" w:firstLineChars="200"/>
        <w:jc w:val="both"/>
        <w:rPr>
          <w:rFonts w:eastAsia="宋体"/>
          <w:snapToGrid w:val="0"/>
          <w:color w:val="000000"/>
          <w:sz w:val="24"/>
          <w:szCs w:val="24"/>
        </w:rPr>
      </w:pPr>
      <w:bookmarkStart w:id="25" w:name="bookmark18"/>
      <w:bookmarkEnd w:id="25"/>
    </w:p>
    <w:p>
      <w:pPr>
        <w:snapToGrid w:val="0"/>
        <w:ind w:firstLine="480" w:firstLineChars="200"/>
        <w:jc w:val="both"/>
        <w:rPr>
          <w:color w:val="000000"/>
          <w:sz w:val="24"/>
        </w:rPr>
      </w:pPr>
      <w:r>
        <w:rPr>
          <w:rFonts w:eastAsia="宋体"/>
          <w:snapToGrid w:val="0"/>
          <w:color w:val="000000"/>
          <w:sz w:val="24"/>
          <w:szCs w:val="24"/>
        </w:rPr>
        <w:t>获益往往是按照一个尺度或根据具体的终点或标准来评估的。该标准应根据科学和/或临床理由来确定。考虑到不同人群的获益程度和类型的差异。诊断器械的获益大小在很大程度上是由检测结果的准确性、可重复性以及临床应用这些结果的预期效果决定的。</w:t>
      </w:r>
    </w:p>
    <w:p>
      <w:pPr>
        <w:snapToGrid w:val="0"/>
        <w:ind w:firstLine="480" w:firstLineChars="200"/>
        <w:jc w:val="both"/>
        <w:rPr>
          <w:rFonts w:eastAsia="宋体"/>
          <w:snapToGrid w:val="0"/>
          <w:sz w:val="24"/>
          <w:szCs w:val="24"/>
        </w:rPr>
      </w:pPr>
    </w:p>
    <w:p>
      <w:pPr>
        <w:pStyle w:val="4"/>
        <w:spacing w:before="0" w:beforeLines="0" w:after="0" w:afterLines="0"/>
        <w:ind w:left="1760" w:hanging="484"/>
        <w:rPr>
          <w:sz w:val="24"/>
        </w:rPr>
      </w:pPr>
      <w:bookmarkStart w:id="26" w:name="_Toc97472526"/>
      <w:bookmarkStart w:id="27" w:name="_Toc98779746"/>
      <w:r>
        <w:rPr>
          <w:rFonts w:hint="eastAsia"/>
          <w:sz w:val="24"/>
        </w:rPr>
        <w:t>（</w:t>
      </w:r>
      <w:r>
        <w:rPr>
          <w:sz w:val="24"/>
        </w:rPr>
        <w:t>2</w:t>
      </w:r>
      <w:r>
        <w:rPr>
          <w:rFonts w:hint="eastAsia"/>
          <w:sz w:val="24"/>
        </w:rPr>
        <w:t>）</w:t>
      </w:r>
      <w:r>
        <w:rPr>
          <w:sz w:val="24"/>
        </w:rPr>
        <w:tab/>
      </w:r>
      <w:r>
        <w:rPr>
          <w:rFonts w:hint="eastAsia"/>
          <w:sz w:val="24"/>
        </w:rPr>
        <w:t>患者体验到一种或多种获益的概率</w:t>
      </w:r>
      <w:bookmarkEnd w:id="26"/>
      <w:bookmarkEnd w:id="27"/>
    </w:p>
    <w:p>
      <w:pPr>
        <w:snapToGrid w:val="0"/>
        <w:ind w:firstLine="480" w:firstLineChars="200"/>
        <w:jc w:val="both"/>
        <w:rPr>
          <w:rFonts w:eastAsia="宋体"/>
          <w:snapToGrid w:val="0"/>
          <w:color w:val="000000"/>
          <w:sz w:val="24"/>
          <w:szCs w:val="24"/>
        </w:rPr>
      </w:pPr>
    </w:p>
    <w:p>
      <w:pPr>
        <w:snapToGrid w:val="0"/>
        <w:ind w:firstLine="480" w:firstLineChars="200"/>
        <w:jc w:val="both"/>
        <w:rPr>
          <w:rFonts w:eastAsia="宋体"/>
          <w:snapToGrid w:val="0"/>
          <w:sz w:val="24"/>
          <w:szCs w:val="24"/>
        </w:rPr>
      </w:pPr>
      <w:r>
        <w:rPr>
          <w:rFonts w:eastAsia="宋体"/>
          <w:snapToGrid w:val="0"/>
          <w:color w:val="000000"/>
          <w:sz w:val="24"/>
          <w:szCs w:val="24"/>
        </w:rPr>
        <w:t>根据所提供的数据，有时可以预测哪些患者可能获益，而其他时候则无法准确预测。数据可能显示，只有目标人群中的一小部分患者会有获益，或者在整个目标人群中的有很多患者获益。还有可能的是，数据将显示，不同的患者亚群可能会有不同的获益，或同一获益的不同程度。如果可以确定亚群，该器械可能会适用于这些亚群。但在某些情况下，这些亚群可能无法被识别。此外，在权衡获益和风险时，可以把程度和概率放在一起考虑。也就是说，一小部分参与者获得的大量获益可能会引起不同的考虑，而大部分参与者获得的少量获益则会引起不同的考虑。</w:t>
      </w:r>
    </w:p>
    <w:p>
      <w:pPr>
        <w:snapToGrid w:val="0"/>
        <w:jc w:val="both"/>
        <w:rPr>
          <w:rFonts w:eastAsia="宋体"/>
          <w:snapToGrid w:val="0"/>
          <w:sz w:val="24"/>
          <w:szCs w:val="24"/>
        </w:rPr>
      </w:pPr>
    </w:p>
    <w:p>
      <w:pPr>
        <w:snapToGrid w:val="0"/>
        <w:jc w:val="both"/>
        <w:rPr>
          <w:rFonts w:eastAsia="宋体"/>
          <w:snapToGrid w:val="0"/>
          <w:sz w:val="24"/>
          <w:szCs w:val="24"/>
        </w:rPr>
        <w:sectPr>
          <w:pgSz w:w="11906" w:h="16838"/>
          <w:pgMar w:top="1134" w:right="1134" w:bottom="1134" w:left="1418" w:header="567" w:footer="567" w:gutter="0"/>
          <w:cols w:space="60" w:num="1"/>
          <w:docGrid w:linePitch="272" w:charSpace="0"/>
        </w:sectPr>
      </w:pPr>
    </w:p>
    <w:p>
      <w:pPr>
        <w:pStyle w:val="4"/>
        <w:spacing w:beforeLines="0" w:afterLines="0"/>
        <w:ind w:left="1760" w:hanging="484"/>
        <w:rPr>
          <w:snapToGrid w:val="0"/>
          <w:sz w:val="24"/>
          <w:szCs w:val="24"/>
        </w:rPr>
      </w:pPr>
      <w:bookmarkStart w:id="28" w:name="_Toc98779747"/>
      <w:bookmarkStart w:id="29" w:name="_Toc97472527"/>
      <w:r>
        <w:rPr>
          <w:rFonts w:hint="eastAsia"/>
          <w:sz w:val="24"/>
        </w:rPr>
        <w:t>（</w:t>
      </w:r>
      <w:r>
        <w:rPr>
          <w:sz w:val="24"/>
        </w:rPr>
        <w:t>3</w:t>
      </w:r>
      <w:r>
        <w:rPr>
          <w:rFonts w:hint="eastAsia"/>
          <w:sz w:val="24"/>
        </w:rPr>
        <w:t>）</w:t>
      </w:r>
      <w:r>
        <w:rPr>
          <w:sz w:val="24"/>
        </w:rPr>
        <w:tab/>
      </w:r>
      <w:r>
        <w:rPr>
          <w:rFonts w:hint="eastAsia"/>
          <w:sz w:val="24"/>
        </w:rPr>
        <w:t>效果持续时间</w:t>
      </w:r>
      <w:bookmarkEnd w:id="28"/>
      <w:bookmarkEnd w:id="29"/>
    </w:p>
    <w:p>
      <w:pPr>
        <w:snapToGrid w:val="0"/>
        <w:ind w:firstLine="480" w:firstLineChars="200"/>
        <w:jc w:val="both"/>
        <w:rPr>
          <w:sz w:val="24"/>
        </w:rPr>
      </w:pPr>
      <w:bookmarkStart w:id="30" w:name="bookmark19"/>
      <w:bookmarkEnd w:id="30"/>
    </w:p>
    <w:p>
      <w:pPr>
        <w:snapToGrid w:val="0"/>
        <w:ind w:firstLine="480" w:firstLineChars="200"/>
        <w:jc w:val="both"/>
        <w:rPr>
          <w:color w:val="000000"/>
          <w:sz w:val="24"/>
        </w:rPr>
      </w:pPr>
      <w:r>
        <w:rPr>
          <w:rFonts w:eastAsia="宋体"/>
          <w:snapToGrid w:val="0"/>
          <w:color w:val="000000"/>
          <w:sz w:val="24"/>
          <w:szCs w:val="24"/>
        </w:rPr>
        <w:t>这个因素指可以预期患者的获益会持续多久。有些治疗可能是治愈性的，而有些治疗可能需要在患者的一生中经常经历。在已知的范围内，治疗效果的持续时间可能直接影响到如何定义其获益。长期重复的治疗可能会带来更大的风险，或者每次重复治疗的获益可能会减少。</w:t>
      </w:r>
    </w:p>
    <w:p>
      <w:pPr>
        <w:snapToGrid w:val="0"/>
        <w:ind w:firstLine="480" w:firstLineChars="200"/>
        <w:jc w:val="both"/>
        <w:rPr>
          <w:rFonts w:eastAsia="宋体"/>
          <w:snapToGrid w:val="0"/>
          <w:sz w:val="24"/>
          <w:szCs w:val="24"/>
        </w:rPr>
      </w:pPr>
    </w:p>
    <w:p>
      <w:pPr>
        <w:pStyle w:val="3"/>
        <w:spacing w:before="0" w:beforeLines="0" w:after="0" w:afterLines="0"/>
        <w:ind w:left="1193" w:hanging="563"/>
        <w:rPr>
          <w:sz w:val="28"/>
        </w:rPr>
      </w:pPr>
      <w:bookmarkStart w:id="31" w:name="_Toc98779748"/>
      <w:bookmarkStart w:id="32" w:name="_Toc97472528"/>
      <w:r>
        <w:rPr>
          <w:sz w:val="28"/>
        </w:rPr>
        <w:t>B.</w:t>
      </w:r>
      <w:r>
        <w:rPr>
          <w:sz w:val="28"/>
        </w:rPr>
        <w:tab/>
      </w:r>
      <w:r>
        <w:rPr>
          <w:rFonts w:hint="eastAsia"/>
          <w:sz w:val="28"/>
        </w:rPr>
        <w:t>器械的风险评估</w:t>
      </w:r>
      <w:bookmarkEnd w:id="31"/>
      <w:bookmarkEnd w:id="32"/>
    </w:p>
    <w:p>
      <w:pPr>
        <w:snapToGrid w:val="0"/>
        <w:jc w:val="both"/>
        <w:rPr>
          <w:rFonts w:eastAsia="宋体"/>
          <w:snapToGrid w:val="0"/>
          <w:color w:val="000000"/>
          <w:sz w:val="24"/>
          <w:szCs w:val="24"/>
        </w:rPr>
      </w:pPr>
    </w:p>
    <w:p>
      <w:pPr>
        <w:snapToGrid w:val="0"/>
        <w:jc w:val="both"/>
        <w:rPr>
          <w:rFonts w:eastAsia="宋体"/>
          <w:snapToGrid w:val="0"/>
          <w:color w:val="000000"/>
          <w:sz w:val="24"/>
          <w:szCs w:val="24"/>
        </w:rPr>
      </w:pPr>
      <w:r>
        <w:rPr>
          <w:rFonts w:eastAsia="宋体"/>
          <w:snapToGrid w:val="0"/>
          <w:color w:val="000000"/>
          <w:sz w:val="24"/>
          <w:szCs w:val="24"/>
        </w:rPr>
        <w:t>器械的风险可以有多种形式，包括对以下方面的影响：</w:t>
      </w:r>
    </w:p>
    <w:p>
      <w:pPr>
        <w:snapToGrid w:val="0"/>
        <w:jc w:val="both"/>
        <w:rPr>
          <w:rFonts w:eastAsia="宋体"/>
          <w:snapToGrid w:val="0"/>
          <w:sz w:val="24"/>
          <w:szCs w:val="24"/>
        </w:rPr>
      </w:pPr>
    </w:p>
    <w:p>
      <w:pPr>
        <w:snapToGrid w:val="0"/>
        <w:ind w:left="660" w:leftChars="150" w:hanging="360" w:hangingChars="150"/>
        <w:jc w:val="both"/>
        <w:rPr>
          <w:rFonts w:eastAsia="宋体"/>
          <w:snapToGrid w:val="0"/>
          <w:color w:val="000000"/>
          <w:sz w:val="24"/>
          <w:szCs w:val="24"/>
        </w:rPr>
      </w:pPr>
      <w:r>
        <w:rPr>
          <w:rFonts w:eastAsia="宋体"/>
          <w:snapToGrid w:val="0"/>
          <w:color w:val="000000"/>
          <w:sz w:val="24"/>
          <w:szCs w:val="24"/>
        </w:rPr>
        <w:t>•</w:t>
      </w:r>
      <w:r>
        <w:rPr>
          <w:rFonts w:eastAsia="宋体"/>
          <w:snapToGrid w:val="0"/>
          <w:color w:val="000000"/>
          <w:sz w:val="24"/>
          <w:szCs w:val="24"/>
        </w:rPr>
        <w:tab/>
      </w:r>
      <w:r>
        <w:rPr>
          <w:rFonts w:eastAsia="宋体"/>
          <w:snapToGrid w:val="0"/>
          <w:color w:val="000000"/>
          <w:sz w:val="24"/>
          <w:szCs w:val="24"/>
        </w:rPr>
        <w:t>器械性能（例如，器械故障及其对不良事件的影响）；</w:t>
      </w:r>
    </w:p>
    <w:p>
      <w:pPr>
        <w:snapToGrid w:val="0"/>
        <w:ind w:left="660" w:leftChars="150" w:hanging="360" w:hangingChars="150"/>
        <w:jc w:val="both"/>
        <w:rPr>
          <w:rFonts w:eastAsia="宋体"/>
          <w:snapToGrid w:val="0"/>
          <w:color w:val="000000"/>
          <w:sz w:val="24"/>
          <w:szCs w:val="24"/>
        </w:rPr>
      </w:pPr>
      <w:r>
        <w:rPr>
          <w:rFonts w:eastAsia="宋体"/>
          <w:snapToGrid w:val="0"/>
          <w:color w:val="000000"/>
          <w:sz w:val="24"/>
          <w:szCs w:val="24"/>
        </w:rPr>
        <w:t>•</w:t>
      </w:r>
      <w:r>
        <w:rPr>
          <w:rFonts w:eastAsia="宋体"/>
          <w:snapToGrid w:val="0"/>
          <w:color w:val="000000"/>
          <w:sz w:val="24"/>
          <w:szCs w:val="24"/>
        </w:rPr>
        <w:tab/>
      </w:r>
      <w:r>
        <w:rPr>
          <w:rFonts w:eastAsia="宋体"/>
          <w:snapToGrid w:val="0"/>
          <w:color w:val="000000"/>
          <w:sz w:val="24"/>
          <w:szCs w:val="24"/>
        </w:rPr>
        <w:t>临床管理；</w:t>
      </w:r>
    </w:p>
    <w:p>
      <w:pPr>
        <w:snapToGrid w:val="0"/>
        <w:ind w:left="660" w:leftChars="150" w:hanging="360" w:hangingChars="150"/>
        <w:jc w:val="both"/>
        <w:rPr>
          <w:rFonts w:eastAsia="宋体"/>
          <w:snapToGrid w:val="0"/>
          <w:color w:val="000000"/>
          <w:sz w:val="24"/>
          <w:szCs w:val="24"/>
        </w:rPr>
      </w:pPr>
      <w:r>
        <w:rPr>
          <w:rFonts w:eastAsia="宋体"/>
          <w:snapToGrid w:val="0"/>
          <w:color w:val="000000"/>
          <w:sz w:val="24"/>
          <w:szCs w:val="24"/>
        </w:rPr>
        <w:t>•</w:t>
      </w:r>
      <w:r>
        <w:rPr>
          <w:rFonts w:eastAsia="宋体"/>
          <w:snapToGrid w:val="0"/>
          <w:color w:val="000000"/>
          <w:sz w:val="24"/>
          <w:szCs w:val="24"/>
        </w:rPr>
        <w:tab/>
      </w:r>
      <w:r>
        <w:rPr>
          <w:rFonts w:eastAsia="宋体"/>
          <w:snapToGrid w:val="0"/>
          <w:color w:val="000000"/>
          <w:sz w:val="24"/>
          <w:szCs w:val="24"/>
        </w:rPr>
        <w:t>患者的健康状况，通常使用PROs来衡量（例如，对患者管理和生活质量的负面影响，患者功能的下降，功能的丧失，症状的恶化）；和</w:t>
      </w:r>
    </w:p>
    <w:p>
      <w:pPr>
        <w:snapToGrid w:val="0"/>
        <w:ind w:left="660" w:leftChars="150" w:hanging="360" w:hangingChars="150"/>
        <w:jc w:val="both"/>
        <w:rPr>
          <w:rFonts w:eastAsia="宋体"/>
          <w:snapToGrid w:val="0"/>
          <w:color w:val="000000"/>
          <w:sz w:val="24"/>
          <w:szCs w:val="24"/>
        </w:rPr>
      </w:pPr>
      <w:r>
        <w:rPr>
          <w:rFonts w:eastAsia="宋体"/>
          <w:snapToGrid w:val="0"/>
          <w:color w:val="000000"/>
          <w:sz w:val="24"/>
          <w:szCs w:val="24"/>
        </w:rPr>
        <w:t>•</w:t>
      </w:r>
      <w:r>
        <w:rPr>
          <w:rFonts w:eastAsia="宋体"/>
          <w:snapToGrid w:val="0"/>
          <w:color w:val="000000"/>
          <w:sz w:val="24"/>
          <w:szCs w:val="24"/>
        </w:rPr>
        <w:tab/>
      </w:r>
      <w:r>
        <w:rPr>
          <w:rFonts w:eastAsia="宋体"/>
          <w:snapToGrid w:val="0"/>
          <w:color w:val="000000"/>
          <w:sz w:val="24"/>
          <w:szCs w:val="24"/>
        </w:rPr>
        <w:t>患者的耐受性。</w:t>
      </w:r>
    </w:p>
    <w:p>
      <w:pPr>
        <w:snapToGrid w:val="0"/>
        <w:jc w:val="both"/>
        <w:rPr>
          <w:rFonts w:eastAsia="宋体"/>
          <w:snapToGrid w:val="0"/>
          <w:color w:val="000000"/>
          <w:sz w:val="24"/>
          <w:szCs w:val="24"/>
        </w:rPr>
      </w:pPr>
      <w:bookmarkStart w:id="33" w:name="bookmark20"/>
    </w:p>
    <w:bookmarkEnd w:id="33"/>
    <w:p>
      <w:pPr>
        <w:snapToGrid w:val="0"/>
        <w:ind w:firstLine="480" w:firstLineChars="200"/>
        <w:jc w:val="both"/>
        <w:rPr>
          <w:color w:val="000000"/>
          <w:sz w:val="24"/>
        </w:rPr>
      </w:pPr>
      <w:r>
        <w:rPr>
          <w:rFonts w:eastAsia="宋体"/>
          <w:snapToGrid w:val="0"/>
          <w:color w:val="000000"/>
          <w:sz w:val="24"/>
          <w:szCs w:val="24"/>
        </w:rPr>
        <w:t>FDA评估可能的风险/伤害的程度，除其他外，考虑以下因素，单独和综合地与同品种器械相比：</w:t>
      </w:r>
    </w:p>
    <w:p>
      <w:pPr>
        <w:snapToGrid w:val="0"/>
        <w:ind w:firstLine="480" w:firstLineChars="200"/>
        <w:jc w:val="both"/>
        <w:rPr>
          <w:rFonts w:eastAsia="宋体"/>
          <w:snapToGrid w:val="0"/>
          <w:sz w:val="24"/>
          <w:szCs w:val="24"/>
        </w:rPr>
      </w:pPr>
    </w:p>
    <w:p>
      <w:pPr>
        <w:pStyle w:val="4"/>
        <w:spacing w:before="0" w:beforeLines="0" w:after="0" w:afterLines="0"/>
        <w:ind w:left="1760" w:hanging="484"/>
        <w:rPr>
          <w:sz w:val="24"/>
        </w:rPr>
      </w:pPr>
      <w:bookmarkStart w:id="34" w:name="_Toc98779749"/>
      <w:bookmarkStart w:id="35" w:name="_Toc97472529"/>
      <w:r>
        <w:rPr>
          <w:rFonts w:hint="eastAsia"/>
          <w:sz w:val="24"/>
        </w:rPr>
        <w:t>（</w:t>
      </w:r>
      <w:r>
        <w:rPr>
          <w:sz w:val="24"/>
        </w:rPr>
        <w:t>1</w:t>
      </w:r>
      <w:r>
        <w:rPr>
          <w:rFonts w:hint="eastAsia"/>
          <w:sz w:val="24"/>
        </w:rPr>
        <w:t>）</w:t>
      </w:r>
      <w:r>
        <w:rPr>
          <w:sz w:val="24"/>
        </w:rPr>
        <w:tab/>
      </w:r>
      <w:r>
        <w:rPr>
          <w:rFonts w:hint="eastAsia"/>
          <w:sz w:val="24"/>
        </w:rPr>
        <w:t>有害事件的严重程度、类型、数量和比率</w:t>
      </w:r>
      <w:bookmarkEnd w:id="34"/>
      <w:bookmarkEnd w:id="35"/>
    </w:p>
    <w:p>
      <w:pPr>
        <w:snapToGrid w:val="0"/>
        <w:ind w:firstLine="480" w:firstLineChars="200"/>
        <w:jc w:val="both"/>
        <w:rPr>
          <w:rFonts w:eastAsia="宋体"/>
          <w:snapToGrid w:val="0"/>
          <w:color w:val="000000"/>
          <w:sz w:val="24"/>
          <w:szCs w:val="24"/>
        </w:rPr>
      </w:pPr>
    </w:p>
    <w:p>
      <w:pPr>
        <w:snapToGrid w:val="0"/>
        <w:ind w:firstLine="480" w:firstLineChars="200"/>
        <w:jc w:val="both"/>
        <w:rPr>
          <w:rFonts w:eastAsia="宋体"/>
          <w:snapToGrid w:val="0"/>
          <w:color w:val="000000"/>
          <w:sz w:val="24"/>
          <w:szCs w:val="24"/>
        </w:rPr>
      </w:pPr>
      <w:r>
        <w:rPr>
          <w:rFonts w:eastAsia="宋体"/>
          <w:snapToGrid w:val="0"/>
          <w:color w:val="000000"/>
          <w:sz w:val="24"/>
          <w:szCs w:val="24"/>
        </w:rPr>
        <w:t>在本指南中，</w:t>
      </w:r>
      <w:r>
        <w:rPr>
          <w:rFonts w:ascii="宋体" w:hAnsi="宋体" w:eastAsia="宋体"/>
          <w:snapToGrid w:val="0"/>
          <w:color w:val="000000"/>
          <w:sz w:val="24"/>
          <w:szCs w:val="24"/>
        </w:rPr>
        <w:t>“</w:t>
      </w:r>
      <w:r>
        <w:rPr>
          <w:rFonts w:eastAsia="宋体"/>
          <w:snapToGrid w:val="0"/>
          <w:color w:val="000000"/>
          <w:sz w:val="24"/>
          <w:szCs w:val="24"/>
        </w:rPr>
        <w:t>有害事件发生率</w:t>
      </w:r>
      <w:r>
        <w:rPr>
          <w:rFonts w:ascii="宋体" w:hAnsi="宋体" w:eastAsia="宋体"/>
          <w:snapToGrid w:val="0"/>
          <w:color w:val="000000"/>
          <w:sz w:val="24"/>
          <w:szCs w:val="24"/>
        </w:rPr>
        <w:t>”</w:t>
      </w:r>
      <w:r>
        <w:rPr>
          <w:rFonts w:eastAsia="宋体"/>
          <w:snapToGrid w:val="0"/>
          <w:color w:val="000000"/>
          <w:sz w:val="24"/>
          <w:szCs w:val="24"/>
        </w:rPr>
        <w:t>指每个患者的有害事件数量或与器械使用相关的每单位时间的有害事件数量。我们对每一种类型的伤害进行单独识别，目的是澄清FDA在获益-风险评估中可能会考虑哪些被更普遍认可的伤害。在进行获益-风险评估时，FDA可以单独和综合考虑每种类型的伤害。</w:t>
      </w:r>
    </w:p>
    <w:p>
      <w:pPr>
        <w:snapToGrid w:val="0"/>
        <w:jc w:val="both"/>
        <w:rPr>
          <w:rFonts w:eastAsia="宋体"/>
          <w:snapToGrid w:val="0"/>
          <w:sz w:val="24"/>
          <w:szCs w:val="24"/>
        </w:rPr>
      </w:pPr>
    </w:p>
    <w:p>
      <w:pPr>
        <w:snapToGrid w:val="0"/>
        <w:ind w:left="660" w:leftChars="150" w:hanging="360" w:hangingChars="150"/>
        <w:jc w:val="both"/>
        <w:rPr>
          <w:rFonts w:eastAsia="宋体"/>
          <w:snapToGrid w:val="0"/>
          <w:color w:val="000000"/>
          <w:sz w:val="24"/>
          <w:szCs w:val="24"/>
        </w:rPr>
      </w:pPr>
      <w:r>
        <w:rPr>
          <w:rFonts w:eastAsia="宋体"/>
          <w:snapToGrid w:val="0"/>
          <w:color w:val="000000"/>
          <w:sz w:val="24"/>
          <w:szCs w:val="24"/>
        </w:rPr>
        <w:t>•</w:t>
      </w:r>
      <w:r>
        <w:rPr>
          <w:rFonts w:eastAsia="宋体"/>
          <w:snapToGrid w:val="0"/>
          <w:color w:val="000000"/>
          <w:sz w:val="24"/>
          <w:szCs w:val="24"/>
        </w:rPr>
        <w:tab/>
      </w:r>
      <w:r>
        <w:rPr>
          <w:rFonts w:eastAsia="宋体"/>
          <w:b/>
          <w:bCs/>
          <w:snapToGrid w:val="0"/>
          <w:color w:val="000000"/>
          <w:sz w:val="24"/>
          <w:szCs w:val="24"/>
        </w:rPr>
        <w:t>器械相关的严重不良事件：</w:t>
      </w:r>
      <w:r>
        <w:rPr>
          <w:rFonts w:eastAsia="宋体"/>
          <w:snapToGrid w:val="0"/>
          <w:color w:val="000000"/>
          <w:sz w:val="24"/>
          <w:szCs w:val="24"/>
        </w:rPr>
        <w:t>这些事件可能是或归因于器械的使用，并导致或促成了死亡、伤害或疾病，威胁到生命，导致患者身体的永久性损伤或损害，或需要医疗或手术干预才可防止对身体的永久性伤害。</w:t>
      </w:r>
      <w:r>
        <w:rPr>
          <w:rStyle w:val="18"/>
          <w:rFonts w:eastAsia="宋体"/>
          <w:snapToGrid w:val="0"/>
          <w:color w:val="000000"/>
          <w:sz w:val="24"/>
          <w:szCs w:val="24"/>
        </w:rPr>
        <w:footnoteReference w:id="12"/>
      </w:r>
    </w:p>
    <w:p>
      <w:pPr>
        <w:snapToGrid w:val="0"/>
        <w:ind w:left="660" w:leftChars="150" w:hanging="360" w:hangingChars="150"/>
        <w:jc w:val="both"/>
        <w:rPr>
          <w:rFonts w:eastAsia="宋体"/>
          <w:snapToGrid w:val="0"/>
          <w:color w:val="000000"/>
          <w:sz w:val="24"/>
          <w:szCs w:val="24"/>
        </w:rPr>
      </w:pPr>
      <w:r>
        <w:rPr>
          <w:rFonts w:eastAsia="宋体"/>
          <w:snapToGrid w:val="0"/>
          <w:color w:val="000000"/>
          <w:sz w:val="24"/>
          <w:szCs w:val="24"/>
        </w:rPr>
        <w:t>•</w:t>
      </w:r>
      <w:r>
        <w:rPr>
          <w:rFonts w:eastAsia="宋体"/>
          <w:snapToGrid w:val="0"/>
          <w:color w:val="000000"/>
          <w:sz w:val="24"/>
          <w:szCs w:val="24"/>
        </w:rPr>
        <w:tab/>
      </w:r>
      <w:r>
        <w:rPr>
          <w:rFonts w:eastAsia="宋体"/>
          <w:b/>
          <w:bCs/>
          <w:snapToGrid w:val="0"/>
          <w:color w:val="000000"/>
          <w:sz w:val="24"/>
          <w:szCs w:val="24"/>
        </w:rPr>
        <w:t>器械相关的非严重不良事件</w:t>
      </w:r>
      <w:r>
        <w:rPr>
          <w:rFonts w:eastAsia="宋体"/>
          <w:snapToGrid w:val="0"/>
          <w:color w:val="000000"/>
          <w:sz w:val="24"/>
          <w:szCs w:val="24"/>
        </w:rPr>
        <w:t>：这些事件可能是或归因于器械的使用，但不符合器械相关的严重不良事件分类标准。</w:t>
      </w:r>
    </w:p>
    <w:p>
      <w:pPr>
        <w:snapToGrid w:val="0"/>
        <w:ind w:left="660" w:leftChars="150" w:hanging="360" w:hangingChars="150"/>
        <w:jc w:val="both"/>
        <w:rPr>
          <w:rFonts w:eastAsia="宋体"/>
          <w:snapToGrid w:val="0"/>
          <w:sz w:val="24"/>
          <w:szCs w:val="24"/>
        </w:rPr>
      </w:pPr>
      <w:r>
        <w:rPr>
          <w:rFonts w:eastAsia="宋体"/>
          <w:snapToGrid w:val="0"/>
          <w:color w:val="000000"/>
          <w:sz w:val="24"/>
          <w:szCs w:val="24"/>
        </w:rPr>
        <w:t>•</w:t>
      </w:r>
      <w:r>
        <w:rPr>
          <w:rFonts w:eastAsia="宋体"/>
          <w:snapToGrid w:val="0"/>
          <w:color w:val="000000"/>
          <w:sz w:val="24"/>
          <w:szCs w:val="24"/>
        </w:rPr>
        <w:tab/>
      </w:r>
      <w:r>
        <w:rPr>
          <w:rFonts w:eastAsia="宋体"/>
          <w:b/>
          <w:bCs/>
          <w:snapToGrid w:val="0"/>
          <w:color w:val="000000"/>
          <w:sz w:val="24"/>
          <w:szCs w:val="24"/>
        </w:rPr>
        <w:t>程序相关的并发症：</w:t>
      </w:r>
      <w:r>
        <w:rPr>
          <w:rFonts w:eastAsia="宋体"/>
          <w:snapToGrid w:val="0"/>
          <w:color w:val="000000"/>
          <w:sz w:val="24"/>
          <w:szCs w:val="24"/>
        </w:rPr>
        <w:t>这些是对患者造成伤害的事件，不会被列入严重或非严重不良事件，并且是使用器械间接造成的。示例包括与植入器械有关的麻醉相关并发症或与收集人类生物材料有关的风险。当通过侵入性程序收集生物材料以进行诊断检测时，后者会影响</w:t>
      </w:r>
      <w:r>
        <w:rPr>
          <w:rFonts w:hint="eastAsia"/>
          <w:i w:val="0"/>
          <w:color w:val="000000"/>
          <w:sz w:val="24"/>
        </w:rPr>
        <w:t>体外</w:t>
      </w:r>
      <w:r>
        <w:rPr>
          <w:rFonts w:eastAsia="宋体"/>
          <w:snapToGrid w:val="0"/>
          <w:color w:val="000000"/>
          <w:sz w:val="24"/>
          <w:szCs w:val="24"/>
        </w:rPr>
        <w:t>诊断器械的风险状况。</w:t>
      </w:r>
    </w:p>
    <w:p>
      <w:pPr>
        <w:snapToGrid w:val="0"/>
        <w:jc w:val="both"/>
        <w:rPr>
          <w:sz w:val="24"/>
        </w:rPr>
      </w:pPr>
    </w:p>
    <w:p>
      <w:pPr>
        <w:snapToGrid w:val="0"/>
        <w:jc w:val="both"/>
        <w:rPr>
          <w:sz w:val="24"/>
        </w:rPr>
      </w:pPr>
    </w:p>
    <w:p>
      <w:pPr>
        <w:snapToGrid w:val="0"/>
        <w:jc w:val="both"/>
        <w:rPr>
          <w:sz w:val="24"/>
        </w:rPr>
        <w:sectPr>
          <w:pgSz w:w="11906" w:h="16838"/>
          <w:pgMar w:top="1134" w:right="1134" w:bottom="1134" w:left="1418" w:header="567" w:footer="567" w:gutter="0"/>
          <w:cols w:space="60" w:num="1"/>
          <w:docGrid w:linePitch="272" w:charSpace="0"/>
        </w:sectPr>
      </w:pPr>
    </w:p>
    <w:p>
      <w:pPr>
        <w:pStyle w:val="4"/>
        <w:spacing w:before="0" w:beforeLines="0" w:after="0" w:afterLines="0"/>
        <w:ind w:left="1760" w:hanging="484"/>
        <w:rPr>
          <w:sz w:val="24"/>
        </w:rPr>
      </w:pPr>
      <w:bookmarkStart w:id="36" w:name="_Toc98779750"/>
      <w:bookmarkStart w:id="37" w:name="_Toc97472530"/>
      <w:r>
        <w:rPr>
          <w:rFonts w:hint="eastAsia"/>
          <w:sz w:val="24"/>
        </w:rPr>
        <w:t>（</w:t>
      </w:r>
      <w:r>
        <w:rPr>
          <w:sz w:val="24"/>
        </w:rPr>
        <w:t>2</w:t>
      </w:r>
      <w:r>
        <w:rPr>
          <w:rFonts w:hint="eastAsia"/>
          <w:sz w:val="24"/>
        </w:rPr>
        <w:t>）</w:t>
      </w:r>
      <w:r>
        <w:rPr>
          <w:sz w:val="24"/>
        </w:rPr>
        <w:tab/>
      </w:r>
      <w:r>
        <w:rPr>
          <w:rFonts w:hint="eastAsia"/>
          <w:sz w:val="24"/>
        </w:rPr>
        <w:t>有害事件的概率</w:t>
      </w:r>
      <w:bookmarkEnd w:id="36"/>
      <w:bookmarkEnd w:id="37"/>
    </w:p>
    <w:p>
      <w:pPr>
        <w:snapToGrid w:val="0"/>
        <w:ind w:firstLine="480" w:firstLineChars="200"/>
        <w:jc w:val="both"/>
        <w:rPr>
          <w:rFonts w:eastAsia="宋体"/>
          <w:snapToGrid w:val="0"/>
          <w:color w:val="000000"/>
          <w:sz w:val="24"/>
          <w:szCs w:val="24"/>
        </w:rPr>
      </w:pPr>
      <w:bookmarkStart w:id="38" w:name="bookmark22"/>
      <w:bookmarkEnd w:id="38"/>
    </w:p>
    <w:p>
      <w:pPr>
        <w:snapToGrid w:val="0"/>
        <w:ind w:firstLine="480" w:firstLineChars="200"/>
        <w:jc w:val="both"/>
        <w:rPr>
          <w:color w:val="000000"/>
          <w:sz w:val="24"/>
        </w:rPr>
      </w:pPr>
      <w:r>
        <w:rPr>
          <w:rFonts w:eastAsia="宋体"/>
          <w:snapToGrid w:val="0"/>
          <w:color w:val="000000"/>
          <w:sz w:val="24"/>
          <w:szCs w:val="24"/>
        </w:rPr>
        <w:t>有害事件的概率指目标群体中可能经历有害事件的比例。FDA可以将一个事件是发生一次还是重复发生作为衡量概率的因素。</w:t>
      </w:r>
    </w:p>
    <w:p>
      <w:pPr>
        <w:snapToGrid w:val="0"/>
        <w:ind w:firstLine="480" w:firstLineChars="200"/>
        <w:jc w:val="both"/>
        <w:rPr>
          <w:rFonts w:eastAsia="宋体"/>
          <w:snapToGrid w:val="0"/>
          <w:sz w:val="24"/>
          <w:szCs w:val="24"/>
        </w:rPr>
      </w:pPr>
    </w:p>
    <w:p>
      <w:pPr>
        <w:pStyle w:val="4"/>
        <w:spacing w:before="0" w:beforeLines="0" w:after="0" w:afterLines="0"/>
        <w:ind w:left="1760" w:hanging="484"/>
        <w:rPr>
          <w:sz w:val="24"/>
        </w:rPr>
      </w:pPr>
      <w:bookmarkStart w:id="39" w:name="_Toc98779751"/>
      <w:bookmarkStart w:id="40" w:name="_Toc97472531"/>
      <w:r>
        <w:rPr>
          <w:rFonts w:hint="eastAsia"/>
          <w:sz w:val="24"/>
        </w:rPr>
        <w:t>（</w:t>
      </w:r>
      <w:r>
        <w:rPr>
          <w:sz w:val="24"/>
        </w:rPr>
        <w:t>3</w:t>
      </w:r>
      <w:r>
        <w:rPr>
          <w:rFonts w:hint="eastAsia"/>
          <w:sz w:val="24"/>
        </w:rPr>
        <w:t>）</w:t>
      </w:r>
      <w:r>
        <w:rPr>
          <w:sz w:val="24"/>
        </w:rPr>
        <w:tab/>
      </w:r>
      <w:r>
        <w:rPr>
          <w:rFonts w:hint="eastAsia"/>
          <w:sz w:val="24"/>
        </w:rPr>
        <w:t>患者经历一个或多个有害事件的概率</w:t>
      </w:r>
      <w:bookmarkEnd w:id="39"/>
      <w:bookmarkEnd w:id="40"/>
    </w:p>
    <w:p>
      <w:pPr>
        <w:snapToGrid w:val="0"/>
        <w:ind w:firstLine="480" w:firstLineChars="200"/>
        <w:jc w:val="both"/>
        <w:rPr>
          <w:rFonts w:eastAsia="宋体"/>
          <w:snapToGrid w:val="0"/>
          <w:color w:val="000000"/>
          <w:sz w:val="24"/>
          <w:szCs w:val="24"/>
        </w:rPr>
      </w:pPr>
      <w:bookmarkStart w:id="41" w:name="bookmark23"/>
      <w:bookmarkEnd w:id="41"/>
    </w:p>
    <w:p>
      <w:pPr>
        <w:snapToGrid w:val="0"/>
        <w:ind w:firstLine="480" w:firstLineChars="200"/>
        <w:jc w:val="both"/>
        <w:rPr>
          <w:color w:val="000000"/>
          <w:sz w:val="24"/>
        </w:rPr>
      </w:pPr>
      <w:r>
        <w:rPr>
          <w:rFonts w:eastAsia="宋体"/>
          <w:snapToGrid w:val="0"/>
          <w:color w:val="000000"/>
          <w:sz w:val="24"/>
          <w:szCs w:val="24"/>
        </w:rPr>
        <w:t>根据所提供的数据，有时可以预测哪些患者可能经历有害事件，而其他时候则无法准确预测。数据可能显示，有害事件可能只有目标人群中的一小部分患者经历过，也可能在整个目标人群的患者中重复发生。</w:t>
      </w:r>
    </w:p>
    <w:p>
      <w:pPr>
        <w:snapToGrid w:val="0"/>
        <w:ind w:firstLine="480" w:firstLineChars="200"/>
        <w:jc w:val="both"/>
        <w:rPr>
          <w:rFonts w:eastAsia="宋体"/>
          <w:snapToGrid w:val="0"/>
          <w:sz w:val="24"/>
          <w:szCs w:val="24"/>
        </w:rPr>
      </w:pPr>
    </w:p>
    <w:p>
      <w:pPr>
        <w:pStyle w:val="4"/>
        <w:spacing w:before="0" w:beforeLines="0" w:after="0" w:afterLines="0"/>
        <w:ind w:left="1760" w:hanging="484"/>
        <w:rPr>
          <w:sz w:val="24"/>
        </w:rPr>
      </w:pPr>
      <w:bookmarkStart w:id="42" w:name="_Toc98779752"/>
      <w:bookmarkStart w:id="43" w:name="_Toc97472532"/>
      <w:r>
        <w:rPr>
          <w:rFonts w:hint="eastAsia"/>
          <w:sz w:val="24"/>
        </w:rPr>
        <w:t>（</w:t>
      </w:r>
      <w:r>
        <w:rPr>
          <w:sz w:val="24"/>
        </w:rPr>
        <w:t>4</w:t>
      </w:r>
      <w:r>
        <w:rPr>
          <w:rFonts w:hint="eastAsia"/>
          <w:sz w:val="24"/>
        </w:rPr>
        <w:t>）</w:t>
      </w:r>
      <w:r>
        <w:rPr>
          <w:sz w:val="24"/>
        </w:rPr>
        <w:tab/>
      </w:r>
      <w:r>
        <w:rPr>
          <w:rFonts w:hint="eastAsia"/>
          <w:sz w:val="24"/>
        </w:rPr>
        <w:t>有害事件的持续时间（即，不良后果持续多久）</w:t>
      </w:r>
      <w:bookmarkEnd w:id="42"/>
      <w:bookmarkEnd w:id="43"/>
    </w:p>
    <w:p>
      <w:pPr>
        <w:snapToGrid w:val="0"/>
        <w:ind w:firstLine="480" w:firstLineChars="200"/>
        <w:jc w:val="both"/>
        <w:rPr>
          <w:rFonts w:eastAsia="宋体"/>
          <w:snapToGrid w:val="0"/>
          <w:color w:val="000000"/>
          <w:sz w:val="24"/>
          <w:szCs w:val="24"/>
        </w:rPr>
      </w:pPr>
      <w:bookmarkStart w:id="44" w:name="bookmark24"/>
      <w:bookmarkEnd w:id="44"/>
    </w:p>
    <w:p>
      <w:pPr>
        <w:snapToGrid w:val="0"/>
        <w:ind w:firstLine="480" w:firstLineChars="200"/>
        <w:jc w:val="both"/>
        <w:rPr>
          <w:color w:val="000000"/>
          <w:sz w:val="24"/>
        </w:rPr>
      </w:pPr>
      <w:r>
        <w:rPr>
          <w:rFonts w:eastAsia="宋体"/>
          <w:snapToGrid w:val="0"/>
          <w:color w:val="000000"/>
          <w:sz w:val="24"/>
          <w:szCs w:val="24"/>
        </w:rPr>
        <w:t>一些器械可以造成暂时的、轻微的伤害；一些器械可以造成重复的、但可逆转的伤害；而有些器械可以对患者造成永久性的、衰弱的伤害。FDA还应考虑伤害的严重程度及其持续时间。</w:t>
      </w:r>
    </w:p>
    <w:p>
      <w:pPr>
        <w:snapToGrid w:val="0"/>
        <w:ind w:firstLine="480" w:firstLineChars="200"/>
        <w:jc w:val="both"/>
        <w:rPr>
          <w:rFonts w:eastAsia="宋体"/>
          <w:snapToGrid w:val="0"/>
          <w:sz w:val="24"/>
          <w:szCs w:val="24"/>
        </w:rPr>
      </w:pPr>
    </w:p>
    <w:p>
      <w:pPr>
        <w:pStyle w:val="4"/>
        <w:spacing w:before="0" w:beforeLines="0" w:after="0" w:afterLines="0"/>
        <w:ind w:left="1760" w:hanging="484"/>
        <w:rPr>
          <w:sz w:val="24"/>
        </w:rPr>
      </w:pPr>
      <w:bookmarkStart w:id="45" w:name="_Toc98779753"/>
      <w:bookmarkStart w:id="46" w:name="_Toc97472533"/>
      <w:r>
        <w:rPr>
          <w:rFonts w:hint="eastAsia"/>
          <w:sz w:val="24"/>
        </w:rPr>
        <w:t>（</w:t>
      </w:r>
      <w:r>
        <w:rPr>
          <w:sz w:val="24"/>
        </w:rPr>
        <w:t>5</w:t>
      </w:r>
      <w:r>
        <w:rPr>
          <w:rFonts w:hint="eastAsia"/>
          <w:sz w:val="24"/>
        </w:rPr>
        <w:t>）</w:t>
      </w:r>
      <w:r>
        <w:rPr>
          <w:sz w:val="24"/>
        </w:rPr>
        <w:tab/>
      </w:r>
      <w:r>
        <w:rPr>
          <w:rFonts w:hint="eastAsia"/>
          <w:sz w:val="24"/>
        </w:rPr>
        <w:t>诊断器械假阳性或假阴性结果的风险</w:t>
      </w:r>
      <w:bookmarkEnd w:id="45"/>
      <w:bookmarkEnd w:id="46"/>
    </w:p>
    <w:p>
      <w:pPr>
        <w:snapToGrid w:val="0"/>
        <w:ind w:firstLine="480" w:firstLineChars="200"/>
        <w:jc w:val="both"/>
        <w:rPr>
          <w:rFonts w:eastAsia="宋体"/>
          <w:snapToGrid w:val="0"/>
          <w:color w:val="000000"/>
          <w:sz w:val="24"/>
          <w:szCs w:val="24"/>
        </w:rPr>
      </w:pPr>
    </w:p>
    <w:p>
      <w:pPr>
        <w:snapToGrid w:val="0"/>
        <w:ind w:firstLine="480" w:firstLineChars="200"/>
        <w:jc w:val="both"/>
        <w:rPr>
          <w:rFonts w:eastAsia="宋体"/>
          <w:snapToGrid w:val="0"/>
          <w:color w:val="000000"/>
          <w:sz w:val="24"/>
          <w:szCs w:val="24"/>
        </w:rPr>
      </w:pPr>
      <w:r>
        <w:rPr>
          <w:rFonts w:eastAsia="宋体"/>
          <w:snapToGrid w:val="0"/>
          <w:color w:val="000000"/>
          <w:sz w:val="24"/>
          <w:szCs w:val="24"/>
        </w:rPr>
        <w:t>如果一个诊断器械给出一个假阳性的结果，例如，患者可能会接受不必要的治疗，并招致伴随该治疗的潜在风险，或者可能被误诊为严重的疾病。此外，患者可能没有得到有效的治疗（从而错过了治疗可能带来的获益），或者可能没有被诊断出正确的疾病或状况。这些风险和由虚假检测结果引起的其他风险应从其可能性和严重性方面加以考虑。</w:t>
      </w:r>
    </w:p>
    <w:p>
      <w:pPr>
        <w:snapToGrid w:val="0"/>
        <w:ind w:firstLine="480" w:firstLineChars="200"/>
        <w:jc w:val="both"/>
        <w:rPr>
          <w:rFonts w:eastAsia="宋体"/>
          <w:snapToGrid w:val="0"/>
          <w:sz w:val="24"/>
          <w:szCs w:val="24"/>
        </w:rPr>
      </w:pPr>
    </w:p>
    <w:p>
      <w:pPr>
        <w:snapToGrid w:val="0"/>
        <w:ind w:firstLine="480" w:firstLineChars="200"/>
        <w:jc w:val="both"/>
        <w:rPr>
          <w:rFonts w:eastAsia="宋体"/>
          <w:snapToGrid w:val="0"/>
          <w:color w:val="000000"/>
          <w:sz w:val="24"/>
          <w:szCs w:val="24"/>
        </w:rPr>
      </w:pPr>
      <w:r>
        <w:rPr>
          <w:rFonts w:eastAsia="宋体"/>
          <w:snapToGrid w:val="0"/>
          <w:color w:val="000000"/>
          <w:sz w:val="24"/>
          <w:szCs w:val="24"/>
        </w:rPr>
        <w:t>除了上述（1）至（5）中讨论的风险类型外，FDA还考虑使用该器械可能导致的不同类型有害事件的数量以及其综合影响的严重程度。当多个有害事件同时发生时，它们会产生更大的综合影响。例如，一个有害事件，可能当它单独发生时被认为是小事，但当它与其他有害事件一起发生时，对患者的综合影响可能是巨大的。</w:t>
      </w:r>
    </w:p>
    <w:p>
      <w:pPr>
        <w:snapToGrid w:val="0"/>
        <w:ind w:firstLine="480" w:firstLineChars="200"/>
        <w:jc w:val="both"/>
        <w:rPr>
          <w:rFonts w:eastAsia="宋体"/>
          <w:snapToGrid w:val="0"/>
          <w:sz w:val="24"/>
          <w:szCs w:val="24"/>
        </w:rPr>
      </w:pPr>
    </w:p>
    <w:p>
      <w:pPr>
        <w:snapToGrid w:val="0"/>
        <w:ind w:firstLine="480" w:firstLineChars="200"/>
        <w:jc w:val="both"/>
        <w:rPr>
          <w:rFonts w:eastAsia="宋体"/>
          <w:snapToGrid w:val="0"/>
          <w:sz w:val="24"/>
          <w:szCs w:val="24"/>
        </w:rPr>
      </w:pPr>
      <w:r>
        <w:rPr>
          <w:rFonts w:eastAsia="宋体"/>
          <w:snapToGrid w:val="0"/>
          <w:color w:val="000000"/>
          <w:sz w:val="24"/>
          <w:szCs w:val="24"/>
        </w:rPr>
        <w:t>在不需要临床数据来证明SE的情况下，可以使用其他类型的有效科学证据来评估技术变革的可能风险，以解决上述考虑因素（例如，故障率、故障的严重程度、有害事件的持续时间等）。</w:t>
      </w:r>
      <w:bookmarkStart w:id="47" w:name="bookmark25"/>
      <w:bookmarkEnd w:id="47"/>
      <w:r>
        <w:rPr>
          <w:rFonts w:eastAsia="宋体"/>
          <w:snapToGrid w:val="0"/>
          <w:color w:val="000000"/>
          <w:sz w:val="24"/>
          <w:szCs w:val="24"/>
        </w:rPr>
        <w:t>这些包括但不限于产品的风险分析、模拟使用试验报告、模型、动物试验，以及在适用情况下对是否符合FDA认可的共识标准的审评。</w:t>
      </w:r>
    </w:p>
    <w:p>
      <w:pPr>
        <w:snapToGrid w:val="0"/>
        <w:jc w:val="both"/>
        <w:rPr>
          <w:rFonts w:eastAsia="宋体"/>
          <w:snapToGrid w:val="0"/>
          <w:sz w:val="24"/>
          <w:szCs w:val="24"/>
        </w:rPr>
      </w:pPr>
    </w:p>
    <w:p>
      <w:pPr>
        <w:snapToGrid w:val="0"/>
        <w:jc w:val="both"/>
        <w:rPr>
          <w:rFonts w:eastAsia="宋体"/>
          <w:snapToGrid w:val="0"/>
          <w:sz w:val="24"/>
          <w:szCs w:val="24"/>
        </w:rPr>
        <w:sectPr>
          <w:pgSz w:w="11906" w:h="16838"/>
          <w:pgMar w:top="1134" w:right="1134" w:bottom="1134" w:left="1418" w:header="567" w:footer="567" w:gutter="0"/>
          <w:cols w:space="60" w:num="1"/>
          <w:docGrid w:linePitch="272" w:charSpace="0"/>
        </w:sectPr>
      </w:pPr>
    </w:p>
    <w:p>
      <w:pPr>
        <w:pStyle w:val="3"/>
        <w:spacing w:before="0" w:beforeLines="0" w:after="0" w:afterLines="0"/>
        <w:ind w:left="1193" w:hanging="563"/>
        <w:rPr>
          <w:sz w:val="28"/>
        </w:rPr>
      </w:pPr>
      <w:bookmarkStart w:id="48" w:name="_Toc98779754"/>
      <w:bookmarkStart w:id="49" w:name="_Toc97472534"/>
      <w:r>
        <w:rPr>
          <w:sz w:val="28"/>
        </w:rPr>
        <w:t>C.</w:t>
      </w:r>
      <w:r>
        <w:rPr>
          <w:sz w:val="28"/>
        </w:rPr>
        <w:tab/>
      </w:r>
      <w:r>
        <w:rPr>
          <w:rFonts w:hint="eastAsia"/>
          <w:sz w:val="28"/>
        </w:rPr>
        <w:t>评估器械获益和风险的其他因素</w:t>
      </w:r>
      <w:bookmarkEnd w:id="48"/>
      <w:bookmarkEnd w:id="49"/>
    </w:p>
    <w:p>
      <w:pPr>
        <w:snapToGrid w:val="0"/>
        <w:jc w:val="both"/>
        <w:rPr>
          <w:snapToGrid w:val="0"/>
          <w:sz w:val="24"/>
          <w:szCs w:val="24"/>
        </w:rPr>
      </w:pPr>
      <w:bookmarkStart w:id="50" w:name="_Toc98779755"/>
      <w:bookmarkStart w:id="51" w:name="_Toc97472535"/>
    </w:p>
    <w:p>
      <w:pPr>
        <w:pStyle w:val="4"/>
        <w:numPr>
          <w:ilvl w:val="0"/>
          <w:numId w:val="1"/>
        </w:numPr>
        <w:spacing w:before="0" w:beforeLines="0" w:after="0" w:afterLines="0"/>
        <w:ind w:leftChars="0" w:firstLineChars="0"/>
        <w:rPr>
          <w:sz w:val="24"/>
        </w:rPr>
      </w:pPr>
      <w:r>
        <w:rPr>
          <w:rFonts w:hint="eastAsia"/>
          <w:sz w:val="24"/>
        </w:rPr>
        <w:t>不确定性</w:t>
      </w:r>
      <w:bookmarkEnd w:id="50"/>
      <w:bookmarkEnd w:id="51"/>
    </w:p>
    <w:p>
      <w:pPr>
        <w:snapToGrid w:val="0"/>
        <w:jc w:val="both"/>
      </w:pPr>
    </w:p>
    <w:p>
      <w:pPr>
        <w:snapToGrid w:val="0"/>
        <w:ind w:firstLine="480" w:firstLineChars="200"/>
        <w:jc w:val="both"/>
        <w:rPr>
          <w:color w:val="000000"/>
          <w:sz w:val="24"/>
        </w:rPr>
      </w:pPr>
      <w:bookmarkStart w:id="52" w:name="bookmark26"/>
      <w:bookmarkEnd w:id="52"/>
      <w:r>
        <w:rPr>
          <w:rFonts w:eastAsia="宋体"/>
          <w:snapToGrid w:val="0"/>
          <w:color w:val="000000"/>
          <w:sz w:val="24"/>
          <w:szCs w:val="24"/>
        </w:rPr>
        <w:t>在确定一个新器械是否与一个同品种器械</w:t>
      </w:r>
      <w:r>
        <w:rPr>
          <w:rFonts w:ascii="宋体" w:hAnsi="宋体" w:eastAsia="宋体"/>
          <w:snapToGrid w:val="0"/>
          <w:color w:val="000000"/>
          <w:sz w:val="24"/>
          <w:szCs w:val="24"/>
        </w:rPr>
        <w:t>“</w:t>
      </w:r>
      <w:r>
        <w:rPr>
          <w:rFonts w:eastAsia="宋体"/>
          <w:snapToGrid w:val="0"/>
          <w:color w:val="000000"/>
          <w:sz w:val="24"/>
          <w:szCs w:val="24"/>
        </w:rPr>
        <w:t>同样安全有效</w:t>
      </w:r>
      <w:r>
        <w:rPr>
          <w:rFonts w:ascii="宋体" w:hAnsi="宋体" w:eastAsia="宋体"/>
          <w:snapToGrid w:val="0"/>
          <w:color w:val="000000"/>
          <w:sz w:val="24"/>
          <w:szCs w:val="24"/>
        </w:rPr>
        <w:t>”</w:t>
      </w:r>
      <w:r>
        <w:rPr>
          <w:rFonts w:eastAsia="宋体"/>
          <w:snapToGrid w:val="0"/>
          <w:color w:val="000000"/>
          <w:sz w:val="24"/>
          <w:szCs w:val="24"/>
        </w:rPr>
        <w:t>时，我们会考虑一个器械的获益和风险的确定性程度。在本指南的背景下，更大的不确定性可能来自关于新器械的获益-风险概况的较低水平可用证据。诸如台式检测、动物或临床研究的设计或进行不尽如人意，或对数据的分析不充分等因素会使检测或研究的结果不甚可靠或无效，并可能无法提供充分理解新技术效果的信息。此外，对于某些需要临床数据来确定SE的器械类型的情况，重要的是要充分设计临床研究；如果不能充分设计临床研究，就会给器械的获益-风险评估带来不确定性，这可能无法支持SE的确定。</w:t>
      </w:r>
    </w:p>
    <w:p>
      <w:pPr>
        <w:snapToGrid w:val="0"/>
        <w:ind w:firstLine="480" w:firstLineChars="200"/>
        <w:jc w:val="both"/>
        <w:rPr>
          <w:rFonts w:eastAsia="宋体"/>
          <w:snapToGrid w:val="0"/>
          <w:sz w:val="24"/>
          <w:szCs w:val="24"/>
        </w:rPr>
      </w:pPr>
    </w:p>
    <w:p>
      <w:pPr>
        <w:pStyle w:val="4"/>
        <w:spacing w:before="0" w:beforeLines="0" w:after="0" w:afterLines="0"/>
        <w:ind w:left="1760" w:hanging="484"/>
        <w:rPr>
          <w:snapToGrid w:val="0"/>
          <w:sz w:val="24"/>
          <w:szCs w:val="24"/>
        </w:rPr>
      </w:pPr>
      <w:bookmarkStart w:id="53" w:name="_Toc98779756"/>
      <w:bookmarkStart w:id="54" w:name="_Toc97472536"/>
      <w:r>
        <w:rPr>
          <w:snapToGrid w:val="0"/>
          <w:sz w:val="24"/>
          <w:szCs w:val="24"/>
        </w:rPr>
        <w:t>（2）</w:t>
      </w:r>
      <w:r>
        <w:rPr>
          <w:snapToGrid w:val="0"/>
          <w:sz w:val="24"/>
          <w:szCs w:val="24"/>
        </w:rPr>
        <w:tab/>
      </w:r>
      <w:r>
        <w:rPr>
          <w:snapToGrid w:val="0"/>
          <w:sz w:val="24"/>
          <w:szCs w:val="24"/>
        </w:rPr>
        <w:t>疾病/病症的特征描述</w:t>
      </w:r>
      <w:bookmarkEnd w:id="53"/>
      <w:bookmarkEnd w:id="54"/>
    </w:p>
    <w:p>
      <w:pPr>
        <w:snapToGrid w:val="0"/>
        <w:jc w:val="both"/>
        <w:rPr>
          <w:rFonts w:eastAsia="宋体"/>
          <w:snapToGrid w:val="0"/>
          <w:color w:val="000000"/>
          <w:sz w:val="24"/>
          <w:szCs w:val="24"/>
        </w:rPr>
      </w:pPr>
    </w:p>
    <w:p>
      <w:pPr>
        <w:snapToGrid w:val="0"/>
        <w:jc w:val="both"/>
        <w:rPr>
          <w:rFonts w:eastAsia="宋体"/>
          <w:snapToGrid w:val="0"/>
          <w:color w:val="000000"/>
          <w:sz w:val="24"/>
          <w:szCs w:val="24"/>
        </w:rPr>
      </w:pPr>
      <w:r>
        <w:rPr>
          <w:rFonts w:eastAsia="宋体"/>
          <w:snapToGrid w:val="0"/>
          <w:color w:val="000000"/>
          <w:sz w:val="24"/>
          <w:szCs w:val="24"/>
        </w:rPr>
        <w:t>在审评510（k）时，FDA可能会考虑以下几点。</w:t>
      </w:r>
    </w:p>
    <w:p>
      <w:pPr>
        <w:snapToGrid w:val="0"/>
        <w:jc w:val="both"/>
        <w:rPr>
          <w:rFonts w:eastAsia="宋体"/>
          <w:snapToGrid w:val="0"/>
          <w:sz w:val="24"/>
          <w:szCs w:val="24"/>
        </w:rPr>
      </w:pPr>
    </w:p>
    <w:p>
      <w:pPr>
        <w:snapToGrid w:val="0"/>
        <w:ind w:left="660" w:leftChars="150" w:hanging="360" w:hangingChars="150"/>
        <w:jc w:val="both"/>
        <w:rPr>
          <w:rFonts w:eastAsia="宋体"/>
          <w:snapToGrid w:val="0"/>
          <w:color w:val="000000"/>
          <w:sz w:val="24"/>
          <w:szCs w:val="24"/>
        </w:rPr>
      </w:pPr>
      <w:r>
        <w:rPr>
          <w:rFonts w:eastAsia="宋体"/>
          <w:snapToGrid w:val="0"/>
          <w:color w:val="000000"/>
          <w:sz w:val="24"/>
          <w:szCs w:val="24"/>
        </w:rPr>
        <w:t>•</w:t>
      </w:r>
      <w:r>
        <w:rPr>
          <w:rFonts w:eastAsia="宋体"/>
          <w:snapToGrid w:val="0"/>
          <w:color w:val="000000"/>
          <w:sz w:val="24"/>
          <w:szCs w:val="24"/>
        </w:rPr>
        <w:tab/>
      </w:r>
      <w:r>
        <w:rPr>
          <w:rFonts w:eastAsia="宋体"/>
          <w:snapToGrid w:val="0"/>
          <w:color w:val="000000"/>
          <w:sz w:val="24"/>
          <w:szCs w:val="24"/>
        </w:rPr>
        <w:t>治疗或诊断的疾病/病症及其临床表现；</w:t>
      </w:r>
    </w:p>
    <w:p>
      <w:pPr>
        <w:snapToGrid w:val="0"/>
        <w:ind w:left="660" w:leftChars="150" w:hanging="360" w:hangingChars="150"/>
        <w:jc w:val="both"/>
        <w:rPr>
          <w:rFonts w:eastAsia="宋体"/>
          <w:snapToGrid w:val="0"/>
          <w:color w:val="000000"/>
          <w:sz w:val="24"/>
          <w:szCs w:val="24"/>
        </w:rPr>
      </w:pPr>
      <w:r>
        <w:rPr>
          <w:rFonts w:eastAsia="宋体"/>
          <w:snapToGrid w:val="0"/>
          <w:color w:val="000000"/>
          <w:sz w:val="24"/>
          <w:szCs w:val="24"/>
        </w:rPr>
        <w:t>•</w:t>
      </w:r>
      <w:r>
        <w:rPr>
          <w:rFonts w:eastAsia="宋体"/>
          <w:snapToGrid w:val="0"/>
          <w:color w:val="000000"/>
          <w:sz w:val="24"/>
          <w:szCs w:val="24"/>
        </w:rPr>
        <w:tab/>
      </w:r>
      <w:r>
        <w:rPr>
          <w:rFonts w:eastAsia="宋体"/>
          <w:snapToGrid w:val="0"/>
          <w:color w:val="000000"/>
          <w:sz w:val="24"/>
          <w:szCs w:val="24"/>
        </w:rPr>
        <w:t>该疾病如何影响患病的患者；以及</w:t>
      </w:r>
    </w:p>
    <w:p>
      <w:pPr>
        <w:snapToGrid w:val="0"/>
        <w:ind w:left="660" w:leftChars="150" w:hanging="360" w:hangingChars="150"/>
        <w:jc w:val="both"/>
        <w:rPr>
          <w:rFonts w:eastAsia="宋体"/>
          <w:snapToGrid w:val="0"/>
          <w:color w:val="000000"/>
          <w:sz w:val="24"/>
          <w:szCs w:val="24"/>
        </w:rPr>
      </w:pPr>
      <w:r>
        <w:rPr>
          <w:rFonts w:eastAsia="宋体"/>
          <w:snapToGrid w:val="0"/>
          <w:color w:val="000000"/>
          <w:sz w:val="24"/>
          <w:szCs w:val="24"/>
        </w:rPr>
        <w:t>•</w:t>
      </w:r>
      <w:r>
        <w:rPr>
          <w:rFonts w:eastAsia="宋体"/>
          <w:snapToGrid w:val="0"/>
          <w:color w:val="000000"/>
          <w:sz w:val="24"/>
          <w:szCs w:val="24"/>
        </w:rPr>
        <w:tab/>
      </w:r>
      <w:r>
        <w:rPr>
          <w:rFonts w:eastAsia="宋体"/>
          <w:snapToGrid w:val="0"/>
          <w:color w:val="000000"/>
          <w:sz w:val="24"/>
          <w:szCs w:val="24"/>
        </w:rPr>
        <w:t>如何是否对诊断出的疾病/病症进行治疗，以及病症的自然历史和进展（即，随着时间的推移，患者的病症是逐渐好转还是恶化，是何种预期速度？）</w:t>
      </w:r>
    </w:p>
    <w:p>
      <w:pPr>
        <w:snapToGrid w:val="0"/>
        <w:ind w:left="660" w:leftChars="150" w:hanging="360" w:hangingChars="150"/>
        <w:jc w:val="both"/>
        <w:rPr>
          <w:rFonts w:eastAsia="宋体"/>
          <w:snapToGrid w:val="0"/>
          <w:color w:val="000000"/>
          <w:sz w:val="24"/>
          <w:szCs w:val="24"/>
        </w:rPr>
      </w:pPr>
    </w:p>
    <w:p>
      <w:pPr>
        <w:pStyle w:val="4"/>
        <w:spacing w:before="0" w:beforeLines="0" w:after="0" w:afterLines="0"/>
        <w:ind w:left="1760" w:hanging="484"/>
        <w:rPr>
          <w:sz w:val="24"/>
        </w:rPr>
      </w:pPr>
      <w:bookmarkStart w:id="55" w:name="_Toc98779757"/>
      <w:bookmarkStart w:id="56" w:name="_Toc97472537"/>
      <w:r>
        <w:rPr>
          <w:rFonts w:hint="eastAsia"/>
          <w:sz w:val="24"/>
        </w:rPr>
        <w:t>（</w:t>
      </w:r>
      <w:r>
        <w:rPr>
          <w:sz w:val="24"/>
        </w:rPr>
        <w:t>3</w:t>
      </w:r>
      <w:r>
        <w:rPr>
          <w:rFonts w:hint="eastAsia"/>
          <w:sz w:val="24"/>
        </w:rPr>
        <w:t>）</w:t>
      </w:r>
      <w:r>
        <w:rPr>
          <w:sz w:val="24"/>
        </w:rPr>
        <w:tab/>
      </w:r>
      <w:r>
        <w:rPr>
          <w:rFonts w:hint="eastAsia"/>
          <w:sz w:val="24"/>
        </w:rPr>
        <w:t>创新技术</w:t>
      </w:r>
      <w:bookmarkEnd w:id="55"/>
      <w:bookmarkEnd w:id="56"/>
    </w:p>
    <w:p>
      <w:pPr>
        <w:snapToGrid w:val="0"/>
        <w:ind w:firstLine="480" w:firstLineChars="200"/>
        <w:jc w:val="both"/>
        <w:rPr>
          <w:rFonts w:eastAsia="宋体"/>
          <w:snapToGrid w:val="0"/>
          <w:color w:val="000000"/>
          <w:sz w:val="24"/>
          <w:szCs w:val="24"/>
        </w:rPr>
      </w:pPr>
      <w:bookmarkStart w:id="57" w:name="bookmark27"/>
      <w:bookmarkEnd w:id="57"/>
    </w:p>
    <w:p>
      <w:pPr>
        <w:snapToGrid w:val="0"/>
        <w:ind w:firstLine="480" w:firstLineChars="200"/>
        <w:jc w:val="both"/>
        <w:rPr>
          <w:color w:val="000000"/>
          <w:sz w:val="24"/>
        </w:rPr>
      </w:pPr>
      <w:r>
        <w:rPr>
          <w:rFonts w:eastAsia="宋体"/>
          <w:snapToGrid w:val="0"/>
          <w:color w:val="000000"/>
          <w:sz w:val="24"/>
          <w:szCs w:val="24"/>
        </w:rPr>
        <w:t>当一个新器械具有对公众健康很重要的技术改进时，如果FDA的整体评估被其他因素充分平衡，以支持确定新器械与同品种器械</w:t>
      </w:r>
      <w:r>
        <w:rPr>
          <w:rFonts w:ascii="宋体" w:hAnsi="宋体" w:eastAsia="宋体"/>
          <w:snapToGrid w:val="0"/>
          <w:color w:val="000000"/>
          <w:sz w:val="24"/>
          <w:szCs w:val="24"/>
        </w:rPr>
        <w:t>“</w:t>
      </w:r>
      <w:r>
        <w:rPr>
          <w:rFonts w:eastAsia="宋体"/>
          <w:snapToGrid w:val="0"/>
          <w:color w:val="000000"/>
          <w:sz w:val="24"/>
          <w:szCs w:val="24"/>
        </w:rPr>
        <w:t>同样安全有效</w:t>
      </w:r>
      <w:r>
        <w:rPr>
          <w:rFonts w:ascii="宋体" w:hAnsi="宋体" w:eastAsia="宋体"/>
          <w:snapToGrid w:val="0"/>
          <w:color w:val="000000"/>
          <w:sz w:val="24"/>
          <w:szCs w:val="24"/>
        </w:rPr>
        <w:t>”</w:t>
      </w:r>
      <w:r>
        <w:rPr>
          <w:rFonts w:eastAsia="宋体"/>
          <w:snapToGrid w:val="0"/>
          <w:color w:val="000000"/>
          <w:sz w:val="24"/>
          <w:szCs w:val="24"/>
        </w:rPr>
        <w:t>，则FDA可以接受与同品种器械相比在获益和风险评估方面更大的不确定性，以促进患者获得这些创新技术。创新的变化要根据受益程度逐一进行评估。</w:t>
      </w:r>
    </w:p>
    <w:p>
      <w:pPr>
        <w:snapToGrid w:val="0"/>
        <w:ind w:firstLine="480" w:firstLineChars="200"/>
        <w:jc w:val="both"/>
        <w:rPr>
          <w:rFonts w:eastAsia="宋体"/>
          <w:snapToGrid w:val="0"/>
          <w:sz w:val="24"/>
          <w:szCs w:val="24"/>
        </w:rPr>
      </w:pPr>
    </w:p>
    <w:p>
      <w:pPr>
        <w:pStyle w:val="4"/>
        <w:spacing w:before="0" w:beforeLines="0" w:after="0" w:afterLines="0"/>
        <w:ind w:left="1760" w:hanging="484"/>
        <w:rPr>
          <w:snapToGrid w:val="0"/>
          <w:sz w:val="24"/>
          <w:szCs w:val="24"/>
        </w:rPr>
      </w:pPr>
      <w:bookmarkStart w:id="58" w:name="_Toc97472538"/>
      <w:bookmarkStart w:id="59" w:name="_Toc98779758"/>
      <w:r>
        <w:rPr>
          <w:snapToGrid w:val="0"/>
          <w:sz w:val="24"/>
          <w:szCs w:val="24"/>
        </w:rPr>
        <w:t>（4）</w:t>
      </w:r>
      <w:r>
        <w:rPr>
          <w:snapToGrid w:val="0"/>
          <w:sz w:val="24"/>
          <w:szCs w:val="24"/>
        </w:rPr>
        <w:tab/>
      </w:r>
      <w:r>
        <w:rPr>
          <w:snapToGrid w:val="0"/>
          <w:sz w:val="24"/>
          <w:szCs w:val="24"/>
        </w:rPr>
        <w:t>患者对风险的容忍度和对获益的看法</w:t>
      </w:r>
      <w:bookmarkEnd w:id="58"/>
      <w:bookmarkEnd w:id="59"/>
    </w:p>
    <w:p>
      <w:pPr>
        <w:snapToGrid w:val="0"/>
        <w:ind w:firstLine="480" w:firstLineChars="200"/>
        <w:jc w:val="both"/>
        <w:rPr>
          <w:rFonts w:eastAsia="宋体"/>
          <w:snapToGrid w:val="0"/>
          <w:color w:val="000000"/>
          <w:sz w:val="24"/>
          <w:szCs w:val="24"/>
        </w:rPr>
      </w:pPr>
    </w:p>
    <w:p>
      <w:pPr>
        <w:snapToGrid w:val="0"/>
        <w:ind w:firstLine="480" w:firstLineChars="200"/>
        <w:jc w:val="both"/>
        <w:rPr>
          <w:rFonts w:eastAsia="宋体"/>
          <w:snapToGrid w:val="0"/>
          <w:sz w:val="24"/>
          <w:szCs w:val="24"/>
        </w:rPr>
      </w:pPr>
      <w:r>
        <w:rPr>
          <w:rFonts w:eastAsia="宋体"/>
          <w:snapToGrid w:val="0"/>
          <w:color w:val="000000"/>
          <w:sz w:val="24"/>
          <w:szCs w:val="24"/>
        </w:rPr>
        <w:t>风险容忍度因人而异，会影响到个别患者的决定，即新器械的技术与同品种器械相比，患者是否可以接受更高风险换取更高的可能获益。在评估获益和风险时，FDA认识到PPI的风险研究可能会识别那些合理地愿意接受较高风险水平以获得较高的可能获益或额外类型获益（例如，生活质量的改善源于更大的舒适性或易用性）的患者。同时，其他患者也可能更倾向于规避风险。以患者为中心的评估和PPI研究在评估新器械与同品种器械的相对安全性和有效性时，应同时考虑到患者使用器械或忍受风险的意愿。FDA也可考虑患者对什么是获益的看法的相关证据，因为一些患者可能比其他人更重视获益。</w:t>
      </w:r>
    </w:p>
    <w:p>
      <w:pPr>
        <w:snapToGrid w:val="0"/>
        <w:jc w:val="both"/>
        <w:rPr>
          <w:sz w:val="24"/>
        </w:rPr>
      </w:pPr>
    </w:p>
    <w:p>
      <w:pPr>
        <w:snapToGrid w:val="0"/>
        <w:jc w:val="both"/>
        <w:rPr>
          <w:sz w:val="24"/>
        </w:rPr>
      </w:pPr>
    </w:p>
    <w:p>
      <w:pPr>
        <w:snapToGrid w:val="0"/>
        <w:jc w:val="both"/>
        <w:rPr>
          <w:sz w:val="24"/>
        </w:rPr>
        <w:sectPr>
          <w:pgSz w:w="11906" w:h="16838"/>
          <w:pgMar w:top="1134" w:right="1134" w:bottom="1134" w:left="1418" w:header="567" w:footer="567" w:gutter="0"/>
          <w:cols w:space="60" w:num="1"/>
          <w:docGrid w:linePitch="272" w:charSpace="0"/>
        </w:sectPr>
      </w:pPr>
    </w:p>
    <w:p>
      <w:pPr>
        <w:snapToGrid w:val="0"/>
        <w:ind w:firstLine="480" w:firstLineChars="200"/>
        <w:jc w:val="both"/>
        <w:rPr>
          <w:rFonts w:eastAsia="宋体"/>
          <w:snapToGrid w:val="0"/>
          <w:color w:val="000000"/>
          <w:sz w:val="24"/>
          <w:szCs w:val="24"/>
        </w:rPr>
      </w:pPr>
      <w:r>
        <w:rPr>
          <w:rFonts w:eastAsia="宋体"/>
          <w:snapToGrid w:val="0"/>
          <w:color w:val="000000"/>
          <w:sz w:val="24"/>
          <w:szCs w:val="24"/>
        </w:rPr>
        <w:t>通过PPI研究评估患者对风险的耐受性和对获益的看法，可能是评估器械的整体获益-风险状况以及新器械是否与同品种器械同样安全有效的一个信息和帮助因素。FDA建议任何考虑在其510（k）中制定或提出有关患者风险承受能力或获益观点的研究和/或数据的申请人参考PPI指南。尽管PPI指南并非专门针对510（k）申请的，但该指南中的概念和建议可能对计划在510（k）中申请PPI研究作为获益-风险评估的部分制造商有帮助。</w:t>
      </w:r>
    </w:p>
    <w:p>
      <w:pPr>
        <w:snapToGrid w:val="0"/>
        <w:jc w:val="both"/>
        <w:rPr>
          <w:rFonts w:eastAsia="宋体"/>
          <w:snapToGrid w:val="0"/>
          <w:sz w:val="24"/>
          <w:szCs w:val="24"/>
        </w:rPr>
      </w:pPr>
    </w:p>
    <w:p>
      <w:pPr>
        <w:snapToGrid w:val="0"/>
        <w:ind w:firstLine="480" w:firstLineChars="200"/>
        <w:jc w:val="both"/>
        <w:rPr>
          <w:rFonts w:eastAsia="宋体"/>
          <w:snapToGrid w:val="0"/>
          <w:sz w:val="24"/>
          <w:szCs w:val="24"/>
        </w:rPr>
      </w:pPr>
      <w:bookmarkStart w:id="60" w:name="bookmark28"/>
      <w:bookmarkEnd w:id="60"/>
      <w:r>
        <w:rPr>
          <w:rFonts w:eastAsia="宋体"/>
          <w:snapToGrid w:val="0"/>
          <w:color w:val="000000"/>
          <w:sz w:val="24"/>
          <w:szCs w:val="24"/>
        </w:rPr>
        <w:t>我们也建议通过使用FDA指南文件</w:t>
      </w:r>
      <w:r>
        <w:rPr>
          <w:rFonts w:ascii="宋体" w:hAnsi="宋体" w:eastAsia="宋体"/>
          <w:snapToGrid w:val="0"/>
          <w:color w:val="000000"/>
          <w:sz w:val="24"/>
          <w:szCs w:val="24"/>
        </w:rPr>
        <w:t>“</w:t>
      </w:r>
      <w:r>
        <w:rPr>
          <w:rFonts w:eastAsia="宋体"/>
          <w:snapToGrid w:val="0"/>
          <w:color w:val="0000FF"/>
          <w:sz w:val="24"/>
          <w:szCs w:val="24"/>
          <w:u w:val="single"/>
        </w:rPr>
        <w:fldChar w:fldCharType="begin"/>
      </w:r>
      <w:r>
        <w:rPr>
          <w:rFonts w:eastAsia="宋体"/>
          <w:snapToGrid w:val="0"/>
          <w:color w:val="0000FF"/>
          <w:sz w:val="24"/>
          <w:szCs w:val="24"/>
          <w:u w:val="single"/>
        </w:rPr>
        <w:instrText xml:space="preserve"> HYPERLINK "https://www.fda.gov/MedicalDevices/DeviceRegulationandGuidance/GuidanceDocuments/UCM311176" </w:instrText>
      </w:r>
      <w:r>
        <w:rPr>
          <w:rFonts w:eastAsia="宋体"/>
          <w:snapToGrid w:val="0"/>
          <w:color w:val="0000FF"/>
          <w:sz w:val="24"/>
          <w:szCs w:val="24"/>
          <w:u w:val="single"/>
        </w:rPr>
        <w:fldChar w:fldCharType="separate"/>
      </w:r>
      <w:r>
        <w:rPr>
          <w:rStyle w:val="16"/>
          <w:rFonts w:eastAsia="宋体"/>
          <w:snapToGrid w:val="0"/>
          <w:color w:val="0000FF"/>
          <w:sz w:val="24"/>
          <w:szCs w:val="24"/>
        </w:rPr>
        <w:t>医疗器械申请的反馈请求：美国食品药品监督管理局工作人员举行的预申请计划和会议</w:t>
      </w:r>
      <w:r>
        <w:rPr>
          <w:rFonts w:eastAsia="宋体"/>
          <w:snapToGrid w:val="0"/>
          <w:color w:val="0000FF"/>
          <w:sz w:val="24"/>
          <w:szCs w:val="24"/>
          <w:u w:val="single"/>
        </w:rPr>
        <w:fldChar w:fldCharType="end"/>
      </w:r>
      <w:r>
        <w:rPr>
          <w:rFonts w:eastAsia="宋体"/>
          <w:snapToGrid w:val="0"/>
          <w:color w:val="000000"/>
          <w:sz w:val="24"/>
          <w:szCs w:val="24"/>
        </w:rPr>
        <w:t>。</w:t>
      </w:r>
      <w:r>
        <w:rPr>
          <w:rFonts w:ascii="宋体" w:hAnsi="宋体" w:eastAsia="宋体"/>
          <w:snapToGrid w:val="0"/>
          <w:color w:val="000000"/>
          <w:sz w:val="24"/>
          <w:szCs w:val="24"/>
        </w:rPr>
        <w:t>”</w:t>
      </w:r>
      <w:r>
        <w:rPr>
          <w:rFonts w:eastAsia="宋体"/>
          <w:snapToGrid w:val="0"/>
          <w:color w:val="000000"/>
          <w:sz w:val="24"/>
          <w:szCs w:val="24"/>
        </w:rPr>
        <w:t>在早期阶段与适当的FDA评审部门讨论您的计划。</w:t>
      </w:r>
      <w:r>
        <w:rPr>
          <w:rStyle w:val="18"/>
          <w:rFonts w:eastAsia="宋体"/>
          <w:snapToGrid w:val="0"/>
          <w:sz w:val="24"/>
          <w:szCs w:val="24"/>
        </w:rPr>
        <w:footnoteReference w:id="13"/>
      </w:r>
    </w:p>
    <w:p>
      <w:pPr>
        <w:snapToGrid w:val="0"/>
        <w:ind w:firstLine="480" w:firstLineChars="200"/>
        <w:jc w:val="both"/>
        <w:rPr>
          <w:rFonts w:eastAsia="宋体"/>
          <w:snapToGrid w:val="0"/>
          <w:sz w:val="24"/>
          <w:szCs w:val="24"/>
        </w:rPr>
      </w:pPr>
    </w:p>
    <w:p>
      <w:pPr>
        <w:pStyle w:val="4"/>
        <w:spacing w:before="0" w:beforeLines="0" w:after="0" w:afterLines="0"/>
        <w:ind w:left="1760" w:hanging="484"/>
        <w:rPr>
          <w:sz w:val="24"/>
        </w:rPr>
      </w:pPr>
      <w:bookmarkStart w:id="61" w:name="_Toc98779759"/>
      <w:bookmarkStart w:id="62" w:name="_Toc97472539"/>
      <w:r>
        <w:rPr>
          <w:rFonts w:hint="eastAsia"/>
          <w:sz w:val="24"/>
        </w:rPr>
        <w:t>（</w:t>
      </w:r>
      <w:r>
        <w:rPr>
          <w:sz w:val="24"/>
        </w:rPr>
        <w:t>5</w:t>
      </w:r>
      <w:r>
        <w:rPr>
          <w:rFonts w:hint="eastAsia"/>
          <w:sz w:val="24"/>
        </w:rPr>
        <w:t>）</w:t>
      </w:r>
      <w:r>
        <w:rPr>
          <w:sz w:val="24"/>
        </w:rPr>
        <w:tab/>
      </w:r>
      <w:r>
        <w:rPr>
          <w:snapToGrid w:val="0"/>
          <w:sz w:val="24"/>
          <w:szCs w:val="24"/>
        </w:rPr>
        <w:t>医疗</w:t>
      </w:r>
      <w:r>
        <w:rPr>
          <w:rFonts w:hint="eastAsia"/>
          <w:sz w:val="24"/>
        </w:rPr>
        <w:t>保健专业人员、患者或护理人员的获益</w:t>
      </w:r>
      <w:bookmarkEnd w:id="61"/>
      <w:bookmarkEnd w:id="62"/>
    </w:p>
    <w:p>
      <w:pPr>
        <w:snapToGrid w:val="0"/>
        <w:ind w:firstLine="480" w:firstLineChars="200"/>
        <w:jc w:val="both"/>
        <w:rPr>
          <w:rFonts w:eastAsia="宋体"/>
          <w:snapToGrid w:val="0"/>
          <w:color w:val="000000"/>
          <w:sz w:val="24"/>
          <w:szCs w:val="24"/>
        </w:rPr>
      </w:pPr>
      <w:bookmarkStart w:id="63" w:name="bookmark29"/>
      <w:bookmarkEnd w:id="63"/>
    </w:p>
    <w:p>
      <w:pPr>
        <w:snapToGrid w:val="0"/>
        <w:ind w:firstLine="480" w:firstLineChars="200"/>
        <w:jc w:val="both"/>
        <w:rPr>
          <w:color w:val="000000"/>
          <w:sz w:val="24"/>
        </w:rPr>
      </w:pPr>
      <w:r>
        <w:rPr>
          <w:rFonts w:eastAsia="宋体"/>
          <w:snapToGrid w:val="0"/>
          <w:color w:val="000000"/>
          <w:sz w:val="24"/>
          <w:szCs w:val="24"/>
        </w:rPr>
        <w:t>FDA认识到，某些器械，例如具备不同技术的手术工具或对正在进行的患者管理产生积极影响的器械，可以通过改善护理患者的方式使医疗保健专业人员（HCP）或护理人员获益，从而改善患者的结果。其他的示例是包括具有改进的人体工程学设计以便于使用的手术器械或具有无线功能的患者监测器械。对于这些器械，申请人可以考虑制定或提出有效的测量方法和/或关于HCP或护理人员的获益观点的数据。FDA建议任何考虑在其510（k）中开发或提出有效的测量方法和/或有关HCP或护理人员获益观点数据的提申请人，尽早与适当的FDA审评部门互动。</w:t>
      </w:r>
    </w:p>
    <w:p>
      <w:pPr>
        <w:snapToGrid w:val="0"/>
        <w:ind w:firstLine="480" w:firstLineChars="200"/>
        <w:jc w:val="both"/>
        <w:rPr>
          <w:rFonts w:eastAsia="宋体"/>
          <w:snapToGrid w:val="0"/>
          <w:sz w:val="24"/>
          <w:szCs w:val="24"/>
        </w:rPr>
      </w:pPr>
    </w:p>
    <w:p>
      <w:pPr>
        <w:pStyle w:val="4"/>
        <w:spacing w:before="0" w:beforeLines="0" w:after="0" w:afterLines="0"/>
        <w:ind w:left="1760" w:hanging="484"/>
        <w:rPr>
          <w:sz w:val="24"/>
        </w:rPr>
      </w:pPr>
      <w:bookmarkStart w:id="64" w:name="_Toc97472540"/>
      <w:bookmarkStart w:id="65" w:name="_Toc98779760"/>
      <w:r>
        <w:rPr>
          <w:rFonts w:hint="eastAsia"/>
          <w:sz w:val="24"/>
        </w:rPr>
        <w:t>（</w:t>
      </w:r>
      <w:r>
        <w:rPr>
          <w:sz w:val="24"/>
        </w:rPr>
        <w:t>6</w:t>
      </w:r>
      <w:r>
        <w:rPr>
          <w:rFonts w:hint="eastAsia"/>
          <w:sz w:val="24"/>
        </w:rPr>
        <w:t>）</w:t>
      </w:r>
      <w:r>
        <w:rPr>
          <w:sz w:val="24"/>
        </w:rPr>
        <w:tab/>
      </w:r>
      <w:r>
        <w:rPr>
          <w:rFonts w:hint="eastAsia"/>
          <w:sz w:val="24"/>
        </w:rPr>
        <w:t>风险缓解</w:t>
      </w:r>
      <w:bookmarkEnd w:id="64"/>
      <w:bookmarkEnd w:id="65"/>
    </w:p>
    <w:p>
      <w:pPr>
        <w:snapToGrid w:val="0"/>
        <w:ind w:firstLine="480" w:firstLineChars="200"/>
        <w:jc w:val="both"/>
        <w:rPr>
          <w:rFonts w:eastAsia="宋体"/>
          <w:snapToGrid w:val="0"/>
          <w:color w:val="000000"/>
          <w:sz w:val="24"/>
          <w:szCs w:val="24"/>
        </w:rPr>
      </w:pPr>
    </w:p>
    <w:p>
      <w:pPr>
        <w:snapToGrid w:val="0"/>
        <w:ind w:firstLine="480" w:firstLineChars="200"/>
        <w:jc w:val="both"/>
        <w:rPr>
          <w:rFonts w:eastAsia="宋体"/>
          <w:snapToGrid w:val="0"/>
          <w:sz w:val="24"/>
          <w:szCs w:val="24"/>
        </w:rPr>
      </w:pPr>
      <w:r>
        <w:rPr>
          <w:rFonts w:eastAsia="宋体"/>
          <w:snapToGrid w:val="0"/>
          <w:color w:val="000000"/>
          <w:sz w:val="24"/>
          <w:szCs w:val="24"/>
        </w:rPr>
        <w:t>在适当的情况，使用缓解措施可以将有害事件发生的概率降至最低，并改善获益风险状况。即使新器械的风险增加，如果风险得到了适当的缓解，则FDA可以确定新器械具有与同品种器械相当的获益-风险，因此确定新器械与同品种器械</w:t>
      </w:r>
      <w:r>
        <w:rPr>
          <w:rFonts w:ascii="宋体" w:hAnsi="宋体" w:eastAsia="宋体"/>
          <w:snapToGrid w:val="0"/>
          <w:color w:val="000000"/>
          <w:sz w:val="24"/>
          <w:szCs w:val="24"/>
        </w:rPr>
        <w:t>“</w:t>
      </w:r>
      <w:r>
        <w:rPr>
          <w:rFonts w:eastAsia="宋体"/>
          <w:snapToGrid w:val="0"/>
          <w:color w:val="000000"/>
          <w:sz w:val="24"/>
          <w:szCs w:val="24"/>
        </w:rPr>
        <w:t>同样安全有效</w:t>
      </w:r>
      <w:r>
        <w:rPr>
          <w:rFonts w:ascii="宋体" w:hAnsi="宋体" w:eastAsia="宋体"/>
          <w:snapToGrid w:val="0"/>
          <w:color w:val="000000"/>
          <w:sz w:val="24"/>
          <w:szCs w:val="24"/>
        </w:rPr>
        <w:t>”</w:t>
      </w:r>
      <w:r>
        <w:rPr>
          <w:rFonts w:eastAsia="宋体"/>
          <w:snapToGrid w:val="0"/>
          <w:color w:val="000000"/>
          <w:sz w:val="24"/>
          <w:szCs w:val="24"/>
        </w:rPr>
        <w:t>。</w:t>
      </w:r>
      <w:bookmarkStart w:id="66" w:name="bookmark31"/>
      <w:bookmarkEnd w:id="66"/>
      <w:r>
        <w:rPr>
          <w:rFonts w:eastAsia="宋体"/>
          <w:snapToGrid w:val="0"/>
          <w:color w:val="000000"/>
          <w:sz w:val="24"/>
          <w:szCs w:val="24"/>
        </w:rPr>
        <w:t>最常见的风险缓解形式是在标签内包括适当的信息（如警告、预防措施、禁忌症）。一些风险可以通过其他形式的风险交流得到缓解，包括培训和专业及患者标签。对于体外诊断器械，通过使用补充或辅助诊断检测和/或控制，或与其他可用信息（包括临床症状和家族史）结合使用，可以缓解风险。</w:t>
      </w:r>
    </w:p>
    <w:p>
      <w:pPr>
        <w:snapToGrid w:val="0"/>
        <w:jc w:val="both"/>
        <w:rPr>
          <w:rFonts w:eastAsia="宋体"/>
          <w:snapToGrid w:val="0"/>
          <w:sz w:val="24"/>
          <w:szCs w:val="24"/>
        </w:rPr>
      </w:pPr>
    </w:p>
    <w:p>
      <w:pPr>
        <w:snapToGrid w:val="0"/>
        <w:jc w:val="both"/>
        <w:rPr>
          <w:rFonts w:eastAsia="宋体"/>
          <w:snapToGrid w:val="0"/>
          <w:sz w:val="24"/>
          <w:szCs w:val="24"/>
        </w:rPr>
        <w:sectPr>
          <w:pgSz w:w="11906" w:h="16838"/>
          <w:pgMar w:top="1134" w:right="1134" w:bottom="1134" w:left="1418" w:header="567" w:footer="567" w:gutter="0"/>
          <w:cols w:space="60" w:num="1"/>
          <w:docGrid w:linePitch="272" w:charSpace="0"/>
        </w:sectPr>
      </w:pPr>
    </w:p>
    <w:p>
      <w:pPr>
        <w:pStyle w:val="4"/>
        <w:spacing w:before="0" w:beforeLines="0" w:after="0" w:afterLines="0"/>
        <w:ind w:left="1760" w:hanging="484"/>
        <w:rPr>
          <w:sz w:val="24"/>
        </w:rPr>
      </w:pPr>
      <w:bookmarkStart w:id="67" w:name="_Toc98779761"/>
      <w:bookmarkStart w:id="68" w:name="_Toc97472541"/>
      <w:r>
        <w:rPr>
          <w:rFonts w:hint="eastAsia"/>
          <w:sz w:val="24"/>
        </w:rPr>
        <w:t>（</w:t>
      </w:r>
      <w:r>
        <w:rPr>
          <w:sz w:val="24"/>
        </w:rPr>
        <w:t>7</w:t>
      </w:r>
      <w:r>
        <w:rPr>
          <w:rFonts w:hint="eastAsia"/>
          <w:sz w:val="24"/>
        </w:rPr>
        <w:t>）</w:t>
      </w:r>
      <w:r>
        <w:rPr>
          <w:sz w:val="24"/>
        </w:rPr>
        <w:tab/>
      </w:r>
      <w:r>
        <w:rPr>
          <w:rFonts w:hint="eastAsia"/>
          <w:sz w:val="24"/>
        </w:rPr>
        <w:t>上市后数据</w:t>
      </w:r>
      <w:bookmarkEnd w:id="67"/>
      <w:bookmarkEnd w:id="68"/>
    </w:p>
    <w:p>
      <w:pPr>
        <w:snapToGrid w:val="0"/>
        <w:ind w:firstLine="480" w:firstLineChars="200"/>
        <w:jc w:val="both"/>
        <w:rPr>
          <w:rFonts w:eastAsia="宋体"/>
          <w:snapToGrid w:val="0"/>
          <w:color w:val="000000"/>
          <w:sz w:val="24"/>
          <w:szCs w:val="24"/>
        </w:rPr>
      </w:pPr>
    </w:p>
    <w:p>
      <w:pPr>
        <w:snapToGrid w:val="0"/>
        <w:ind w:firstLine="480" w:firstLineChars="200"/>
        <w:jc w:val="both"/>
        <w:rPr>
          <w:rFonts w:eastAsia="宋体"/>
          <w:snapToGrid w:val="0"/>
          <w:sz w:val="24"/>
          <w:szCs w:val="24"/>
        </w:rPr>
      </w:pPr>
      <w:r>
        <w:rPr>
          <w:rFonts w:eastAsia="宋体"/>
          <w:snapToGrid w:val="0"/>
          <w:color w:val="000000"/>
          <w:sz w:val="24"/>
          <w:szCs w:val="24"/>
        </w:rPr>
        <w:t>在上市后的环境中使用器械，可以使人们对其风险和获益以及同品种器械的风险和获益有更多了解。当审评一个新的器械并根据本指南进行评估不同的技术特征时，FDA可以考虑收集同一类型的已上市器械的上市后数据（例如，文献、召回、登记数据、医疗器械报告）。这种评估可以阐明缓解措施的规模和效果，并在根据SE鉴定评估新器械的获益和风险时提供额外的信息。在某些情况下，上市后的信息可用于确认某些风险已被缓解，或确定哪些患者最有可能遭受不良事件。此外，FDA有权要求对某些第二类器械进行上市后监督，并可以命令对预计将在儿科人群中广泛使用的新器械</w:t>
      </w:r>
      <w:r>
        <w:rPr>
          <w:rStyle w:val="18"/>
          <w:rFonts w:eastAsia="宋体"/>
          <w:snapToGrid w:val="0"/>
          <w:color w:val="000000"/>
          <w:sz w:val="24"/>
          <w:szCs w:val="24"/>
        </w:rPr>
        <w:footnoteReference w:id="14"/>
      </w:r>
      <w:r>
        <w:rPr>
          <w:rFonts w:eastAsia="宋体"/>
          <w:snapToGrid w:val="0"/>
          <w:color w:val="000000"/>
          <w:sz w:val="24"/>
          <w:szCs w:val="24"/>
        </w:rPr>
        <w:t>进行上市后监督，将此作为确定SE的条件之一。</w:t>
      </w:r>
      <w:r>
        <w:rPr>
          <w:rStyle w:val="18"/>
          <w:rFonts w:eastAsia="宋体"/>
          <w:snapToGrid w:val="0"/>
          <w:color w:val="000000"/>
          <w:sz w:val="24"/>
          <w:szCs w:val="24"/>
        </w:rPr>
        <w:footnoteReference w:id="15"/>
      </w:r>
      <w:r>
        <w:rPr>
          <w:rFonts w:eastAsia="宋体"/>
          <w:snapToGrid w:val="0"/>
          <w:color w:val="000000"/>
          <w:sz w:val="24"/>
          <w:szCs w:val="24"/>
        </w:rPr>
        <w:t>对预计有广泛儿科用途的新器械进行上市后监督，可以起到补充上市前数据的作用。</w:t>
      </w:r>
    </w:p>
    <w:p>
      <w:pPr>
        <w:snapToGrid w:val="0"/>
        <w:jc w:val="both"/>
        <w:rPr>
          <w:rFonts w:eastAsia="宋体"/>
          <w:snapToGrid w:val="0"/>
          <w:color w:val="000000"/>
          <w:sz w:val="24"/>
          <w:szCs w:val="24"/>
        </w:rPr>
      </w:pPr>
    </w:p>
    <w:p>
      <w:pPr>
        <w:snapToGrid w:val="0"/>
        <w:ind w:firstLine="480" w:firstLineChars="200"/>
        <w:jc w:val="both"/>
        <w:rPr>
          <w:rFonts w:eastAsia="宋体"/>
          <w:snapToGrid w:val="0"/>
          <w:sz w:val="24"/>
          <w:szCs w:val="24"/>
        </w:rPr>
      </w:pPr>
      <w:r>
        <w:rPr>
          <w:rFonts w:eastAsia="宋体"/>
          <w:snapToGrid w:val="0"/>
          <w:color w:val="000000"/>
          <w:sz w:val="24"/>
          <w:szCs w:val="24"/>
        </w:rPr>
        <w:t>此外，《FD&amp;C法案》（21 U.S.C. § 360c（i）（1）（C））第513（i）（1）（C）条要求FDA在审评510（k）s时考虑使用上市后控制，</w:t>
      </w:r>
      <w:r>
        <w:rPr>
          <w:rFonts w:ascii="宋体" w:hAnsi="宋体"/>
          <w:color w:val="000000"/>
          <w:sz w:val="24"/>
        </w:rPr>
        <w:t>“</w:t>
      </w:r>
      <w:r>
        <w:rPr>
          <w:rFonts w:eastAsia="宋体"/>
          <w:snapToGrid w:val="0"/>
          <w:color w:val="000000"/>
          <w:sz w:val="24"/>
          <w:szCs w:val="24"/>
        </w:rPr>
        <w:t>以促进对根据第510</w:t>
      </w:r>
      <w:r>
        <w:rPr>
          <w:rFonts w:hint="eastAsia" w:eastAsia="宋体"/>
          <w:snapToGrid w:val="0"/>
          <w:color w:val="000000"/>
          <w:sz w:val="24"/>
          <w:szCs w:val="24"/>
        </w:rPr>
        <w:t>（k）</w:t>
      </w:r>
      <w:r>
        <w:rPr>
          <w:rFonts w:eastAsia="宋体"/>
          <w:snapToGrid w:val="0"/>
          <w:color w:val="000000"/>
          <w:sz w:val="24"/>
          <w:szCs w:val="24"/>
        </w:rPr>
        <w:t>条提交给部长的报告的审评，秘书应考虑在多大程度上依靠上市后的控制措施可以加快器械的分类…</w:t>
      </w:r>
      <w:r>
        <w:rPr>
          <w:rFonts w:ascii="宋体" w:hAnsi="宋体" w:eastAsia="宋体"/>
          <w:snapToGrid w:val="0"/>
          <w:color w:val="000000"/>
          <w:sz w:val="24"/>
          <w:szCs w:val="24"/>
        </w:rPr>
        <w:t>”</w:t>
      </w:r>
      <w:r>
        <w:rPr>
          <w:rFonts w:eastAsia="宋体"/>
          <w:snapToGrid w:val="0"/>
          <w:color w:val="000000"/>
          <w:sz w:val="24"/>
          <w:szCs w:val="24"/>
        </w:rPr>
        <w:t>如FDA指南</w:t>
      </w:r>
      <w:r>
        <w:rPr>
          <w:rFonts w:ascii="宋体" w:hAnsi="宋体"/>
          <w:color w:val="000000"/>
          <w:sz w:val="24"/>
        </w:rPr>
        <w:t>“</w:t>
      </w:r>
      <w:r>
        <w:rPr>
          <w:rFonts w:eastAsia="宋体"/>
          <w:snapToGrid w:val="0"/>
          <w:color w:val="0000FF"/>
          <w:sz w:val="24"/>
          <w:szCs w:val="24"/>
          <w:u w:val="single"/>
        </w:rPr>
        <w:fldChar w:fldCharType="begin"/>
      </w:r>
      <w:r>
        <w:rPr>
          <w:rFonts w:eastAsia="宋体"/>
          <w:snapToGrid w:val="0"/>
          <w:color w:val="0000FF"/>
          <w:sz w:val="24"/>
          <w:szCs w:val="24"/>
          <w:u w:val="single"/>
        </w:rPr>
        <w:instrText xml:space="preserve"> HYPERLINK "https://www.fda.gov/MedicalDevices/DeviceRegulationandGuidance/GuidanceDocuments/UCM085999" </w:instrText>
      </w:r>
      <w:r>
        <w:rPr>
          <w:rFonts w:eastAsia="宋体"/>
          <w:snapToGrid w:val="0"/>
          <w:color w:val="0000FF"/>
          <w:sz w:val="24"/>
          <w:szCs w:val="24"/>
          <w:u w:val="single"/>
        </w:rPr>
        <w:fldChar w:fldCharType="separate"/>
      </w:r>
      <w:r>
        <w:rPr>
          <w:rStyle w:val="16"/>
          <w:rFonts w:eastAsia="宋体"/>
          <w:snapToGrid w:val="0"/>
          <w:color w:val="0000FF"/>
          <w:sz w:val="24"/>
          <w:szCs w:val="24"/>
        </w:rPr>
        <w:t>1997年《FDA现代化法》中最小负担条款：概念和原则</w:t>
      </w:r>
      <w:r>
        <w:rPr>
          <w:rFonts w:eastAsia="宋体"/>
          <w:snapToGrid w:val="0"/>
          <w:color w:val="0000FF"/>
          <w:sz w:val="24"/>
          <w:szCs w:val="24"/>
          <w:u w:val="single"/>
        </w:rPr>
        <w:fldChar w:fldCharType="end"/>
      </w:r>
      <w:r>
        <w:rPr>
          <w:rFonts w:ascii="宋体" w:hAnsi="宋体" w:eastAsia="宋体"/>
          <w:snapToGrid w:val="0"/>
          <w:color w:val="000000"/>
          <w:sz w:val="24"/>
          <w:szCs w:val="24"/>
        </w:rPr>
        <w:t>”</w:t>
      </w:r>
      <w:r>
        <w:rPr>
          <w:rStyle w:val="18"/>
          <w:rFonts w:eastAsia="宋体"/>
          <w:snapToGrid w:val="0"/>
          <w:color w:val="000000"/>
          <w:sz w:val="24"/>
          <w:szCs w:val="24"/>
        </w:rPr>
        <w:footnoteReference w:id="16"/>
      </w:r>
      <w:r>
        <w:rPr>
          <w:rFonts w:eastAsia="宋体"/>
          <w:snapToGrid w:val="0"/>
          <w:color w:val="000000"/>
          <w:sz w:val="24"/>
          <w:szCs w:val="24"/>
        </w:rPr>
        <w:t>中讨论的，依靠上市后控制（如质量体系规定、上市后监督和医疗器械报告要求）应被视为一种机制，以缩小510（k）的市场前数据范围，但同时仍然确保器械安全有效。在某些情况下，如果FDA的整体评估被其他因素充分平衡以支持SE，并考虑到FDA在要求510（k）s的上市后研究方面的局限性，FDA可以通过更多地依赖上市后控制，如适用的上市后监督，来接受关于器械的获益-风险概况的更大的上市前不确定性，以减轻510（k）的上市前负担。</w:t>
      </w:r>
    </w:p>
    <w:p>
      <w:pPr>
        <w:snapToGrid w:val="0"/>
        <w:jc w:val="both"/>
        <w:rPr>
          <w:rFonts w:eastAsia="宋体"/>
          <w:snapToGrid w:val="0"/>
          <w:color w:val="000000"/>
          <w:sz w:val="24"/>
          <w:szCs w:val="24"/>
          <w:vertAlign w:val="superscript"/>
        </w:rPr>
      </w:pPr>
    </w:p>
    <w:p>
      <w:pPr>
        <w:snapToGrid w:val="0"/>
        <w:jc w:val="both"/>
        <w:rPr>
          <w:rFonts w:eastAsia="宋体"/>
          <w:snapToGrid w:val="0"/>
          <w:color w:val="0000FF"/>
          <w:sz w:val="24"/>
          <w:szCs w:val="24"/>
          <w:u w:val="single"/>
        </w:rPr>
      </w:pPr>
    </w:p>
    <w:p>
      <w:pPr>
        <w:tabs>
          <w:tab w:val="left" w:pos="178"/>
        </w:tabs>
        <w:snapToGrid w:val="0"/>
        <w:jc w:val="both"/>
        <w:rPr>
          <w:sz w:val="24"/>
        </w:rPr>
      </w:pPr>
    </w:p>
    <w:p>
      <w:pPr>
        <w:tabs>
          <w:tab w:val="left" w:pos="178"/>
        </w:tabs>
        <w:snapToGrid w:val="0"/>
        <w:jc w:val="both"/>
        <w:rPr>
          <w:sz w:val="24"/>
        </w:rPr>
        <w:sectPr>
          <w:pgSz w:w="11906" w:h="16838"/>
          <w:pgMar w:top="1134" w:right="1134" w:bottom="1134" w:left="1418" w:header="567" w:footer="567" w:gutter="0"/>
          <w:cols w:space="60" w:num="1"/>
          <w:docGrid w:linePitch="272" w:charSpace="0"/>
        </w:sectPr>
      </w:pPr>
    </w:p>
    <w:p>
      <w:pPr>
        <w:pStyle w:val="2"/>
        <w:spacing w:before="0" w:beforeLines="0" w:after="0" w:afterLines="0"/>
        <w:rPr>
          <w:sz w:val="32"/>
        </w:rPr>
      </w:pPr>
      <w:bookmarkStart w:id="69" w:name="bookmark34"/>
      <w:bookmarkStart w:id="70" w:name="_Toc98779762"/>
      <w:bookmarkStart w:id="71" w:name="_Toc97472542"/>
      <w:r>
        <w:rPr>
          <w:sz w:val="32"/>
        </w:rPr>
        <w:t>V</w:t>
      </w:r>
      <w:bookmarkEnd w:id="69"/>
      <w:r>
        <w:rPr>
          <w:sz w:val="32"/>
        </w:rPr>
        <w:t>.</w:t>
      </w:r>
      <w:r>
        <w:rPr>
          <w:sz w:val="32"/>
        </w:rPr>
        <w:tab/>
      </w:r>
      <w:r>
        <w:rPr>
          <w:rFonts w:hint="eastAsia"/>
          <w:sz w:val="32"/>
        </w:rPr>
        <w:t>获益</w:t>
      </w:r>
      <w:r>
        <w:rPr>
          <w:sz w:val="32"/>
        </w:rPr>
        <w:t>-</w:t>
      </w:r>
      <w:r>
        <w:rPr>
          <w:rFonts w:hint="eastAsia"/>
          <w:sz w:val="32"/>
        </w:rPr>
        <w:t>风险评估示例</w:t>
      </w:r>
      <w:bookmarkEnd w:id="70"/>
      <w:bookmarkEnd w:id="71"/>
    </w:p>
    <w:p>
      <w:pPr>
        <w:snapToGrid w:val="0"/>
        <w:ind w:firstLine="480" w:firstLineChars="200"/>
        <w:jc w:val="both"/>
        <w:rPr>
          <w:rFonts w:eastAsia="宋体"/>
          <w:snapToGrid w:val="0"/>
          <w:color w:val="000000"/>
          <w:sz w:val="24"/>
          <w:szCs w:val="24"/>
        </w:rPr>
      </w:pPr>
    </w:p>
    <w:p>
      <w:pPr>
        <w:snapToGrid w:val="0"/>
        <w:ind w:firstLine="480" w:firstLineChars="200"/>
        <w:jc w:val="both"/>
        <w:rPr>
          <w:rFonts w:eastAsia="宋体"/>
          <w:snapToGrid w:val="0"/>
          <w:color w:val="000000"/>
          <w:sz w:val="24"/>
          <w:szCs w:val="24"/>
        </w:rPr>
      </w:pPr>
      <w:r>
        <w:rPr>
          <w:rFonts w:eastAsia="宋体"/>
          <w:snapToGrid w:val="0"/>
          <w:color w:val="000000"/>
          <w:sz w:val="24"/>
          <w:szCs w:val="24"/>
        </w:rPr>
        <w:t>下面的示例是假设的或简化的现实情况，只为说明问题而提供，也就是说，任何示例均不是对任何实际的510（k）相关的获益-风险问题的完整评估。这些示例所描述的决定并不能预测FDA未来的决定；相反，它们是假设的结果，只是为了说明FDA在510（k）上市前审评中评估获益和风险时如何考虑本指南所描述的因素。类似的情况或器械可能导致不同的清除结果，这取决于特定器械的个别性能特点、适用人群和背景。这些示例并不打算为评估这些因素提供关于器械数据的具体建议。</w:t>
      </w:r>
    </w:p>
    <w:p>
      <w:pPr>
        <w:snapToGrid w:val="0"/>
        <w:jc w:val="both"/>
        <w:rPr>
          <w:rFonts w:eastAsia="宋体"/>
          <w:snapToGrid w:val="0"/>
          <w:sz w:val="24"/>
          <w:szCs w:val="24"/>
        </w:rPr>
      </w:pPr>
    </w:p>
    <w:p>
      <w:pPr>
        <w:snapToGrid w:val="0"/>
        <w:ind w:firstLine="480" w:firstLineChars="200"/>
        <w:jc w:val="both"/>
        <w:rPr>
          <w:color w:val="000000"/>
          <w:sz w:val="24"/>
        </w:rPr>
      </w:pPr>
      <w:bookmarkStart w:id="72" w:name="bookmark35"/>
      <w:bookmarkEnd w:id="72"/>
      <w:r>
        <w:rPr>
          <w:rFonts w:eastAsia="宋体"/>
          <w:snapToGrid w:val="0"/>
          <w:color w:val="000000"/>
          <w:sz w:val="24"/>
          <w:szCs w:val="24"/>
        </w:rPr>
        <w:t>因为本指导文件的重点是FDA发现新器械和同品种器械的预期用途是相同的，以及技术特征的差异并不会引起不同的安全有效性问题之后SE决策过程的部分，这些示例集中在SE决策过程的第4号决定之后的获益-风险评估，</w:t>
      </w:r>
      <w:r>
        <w:rPr>
          <w:rFonts w:hint="eastAsia"/>
          <w:b w:val="0"/>
          <w:color w:val="000000"/>
          <w:sz w:val="24"/>
        </w:rPr>
        <w:t>如</w:t>
      </w:r>
      <w:r>
        <w:rPr>
          <w:rFonts w:eastAsia="宋体"/>
          <w:b/>
          <w:bCs/>
          <w:snapToGrid w:val="0"/>
          <w:color w:val="000000"/>
          <w:sz w:val="24"/>
          <w:szCs w:val="24"/>
        </w:rPr>
        <w:t>图1</w:t>
      </w:r>
      <w:r>
        <w:rPr>
          <w:rFonts w:eastAsia="宋体"/>
          <w:snapToGrid w:val="0"/>
          <w:color w:val="000000"/>
          <w:sz w:val="24"/>
          <w:szCs w:val="24"/>
        </w:rPr>
        <w:t>中所述。</w:t>
      </w:r>
    </w:p>
    <w:p>
      <w:pPr>
        <w:snapToGrid w:val="0"/>
        <w:ind w:firstLine="480" w:firstLineChars="200"/>
        <w:jc w:val="both"/>
        <w:rPr>
          <w:rFonts w:eastAsia="宋体"/>
          <w:snapToGrid w:val="0"/>
          <w:sz w:val="24"/>
          <w:szCs w:val="24"/>
        </w:rPr>
      </w:pPr>
    </w:p>
    <w:p>
      <w:pPr>
        <w:pStyle w:val="3"/>
        <w:spacing w:before="0" w:beforeLines="0" w:after="0" w:afterLines="0"/>
        <w:ind w:left="1193" w:hanging="563"/>
        <w:rPr>
          <w:sz w:val="28"/>
        </w:rPr>
      </w:pPr>
      <w:bookmarkStart w:id="73" w:name="_Toc97472543"/>
      <w:bookmarkStart w:id="74" w:name="_Toc98779763"/>
      <w:r>
        <w:rPr>
          <w:sz w:val="28"/>
        </w:rPr>
        <w:t>A.</w:t>
      </w:r>
      <w:r>
        <w:rPr>
          <w:sz w:val="28"/>
        </w:rPr>
        <w:tab/>
      </w:r>
      <w:r>
        <w:rPr>
          <w:rFonts w:hint="eastAsia"/>
          <w:sz w:val="28"/>
        </w:rPr>
        <w:t>示例</w:t>
      </w:r>
      <w:r>
        <w:rPr>
          <w:sz w:val="28"/>
        </w:rPr>
        <w:t>1</w:t>
      </w:r>
      <w:r>
        <w:rPr>
          <w:rFonts w:hint="eastAsia"/>
          <w:sz w:val="28"/>
        </w:rPr>
        <w:t>：器械设计</w:t>
      </w:r>
      <w:bookmarkEnd w:id="73"/>
      <w:r>
        <w:rPr>
          <w:rFonts w:eastAsia="宋体"/>
          <w:snapToGrid w:val="0"/>
          <w:sz w:val="28"/>
          <w:szCs w:val="28"/>
        </w:rPr>
        <w:t>改变</w:t>
      </w:r>
      <w:bookmarkEnd w:id="74"/>
    </w:p>
    <w:p>
      <w:pPr>
        <w:snapToGrid w:val="0"/>
        <w:jc w:val="both"/>
        <w:rPr>
          <w:rFonts w:eastAsia="宋体"/>
          <w:b/>
          <w:bCs/>
          <w:snapToGrid w:val="0"/>
          <w:color w:val="000000"/>
          <w:sz w:val="24"/>
          <w:szCs w:val="24"/>
        </w:rPr>
      </w:pPr>
    </w:p>
    <w:p>
      <w:pPr>
        <w:snapToGrid w:val="0"/>
        <w:jc w:val="both"/>
        <w:rPr>
          <w:rFonts w:eastAsia="宋体"/>
          <w:snapToGrid w:val="0"/>
          <w:color w:val="000000"/>
          <w:sz w:val="24"/>
          <w:szCs w:val="24"/>
        </w:rPr>
      </w:pPr>
      <w:r>
        <w:rPr>
          <w:rFonts w:eastAsia="宋体"/>
          <w:b/>
          <w:bCs/>
          <w:snapToGrid w:val="0"/>
          <w:color w:val="000000"/>
          <w:sz w:val="24"/>
          <w:szCs w:val="24"/>
        </w:rPr>
        <w:t>场景：</w:t>
      </w:r>
      <w:r>
        <w:rPr>
          <w:rFonts w:eastAsia="宋体"/>
          <w:snapToGrid w:val="0"/>
          <w:color w:val="000000"/>
          <w:sz w:val="24"/>
          <w:szCs w:val="24"/>
        </w:rPr>
        <w:t>一家制造商提交了一份510（k），用于脊柱手术中使用的动力隆鼻器，该隆鼻器采用了新的设计，即与已确定的同品种器械相比，具有不同的形状和不同的、更深的切割动作。新设计带来了更大的风险，因为新的切割动作暴露了患者的更多解剖结构，增加了受伤的风险。另一方面，新设计加快了切割过程，最大限度地减少了外科手术所需的时间，而且其形状比现有的同品种器械更容易进入特定的解剖区域。在审评基准检测后，FDA指出，基准检测的目的不是为了解决增加的风险。制造商提供了性能数据，证明审评小组指出的风险发生率非常低。动物研究对同品种器械进行了直接比较。新器械显示出更短的手术时间，且对参与调查的外科医生的调查结果强调，与同品种器械相比，新器械更容易进入更困难的解剖区域，因此在进入患者难以触及的解剖区域时，减少了伤害邻近组织的可能性。该器械也有一系列的不同尺寸，这也引起了人们对风险升高的担忧，因为使用超出标准的尺寸，会导致动物研究中更高的不良事件率。</w:t>
      </w:r>
    </w:p>
    <w:p>
      <w:pPr>
        <w:snapToGrid w:val="0"/>
        <w:jc w:val="both"/>
        <w:rPr>
          <w:rFonts w:eastAsia="宋体"/>
          <w:snapToGrid w:val="0"/>
          <w:sz w:val="24"/>
          <w:szCs w:val="24"/>
        </w:rPr>
      </w:pPr>
    </w:p>
    <w:p>
      <w:pPr>
        <w:snapToGrid w:val="0"/>
        <w:jc w:val="both"/>
        <w:rPr>
          <w:rFonts w:eastAsia="宋体"/>
          <w:b/>
          <w:bCs/>
          <w:snapToGrid w:val="0"/>
          <w:color w:val="000000"/>
          <w:sz w:val="24"/>
          <w:szCs w:val="24"/>
          <w:u w:val="single"/>
        </w:rPr>
      </w:pPr>
      <w:r>
        <w:rPr>
          <w:rFonts w:eastAsia="宋体"/>
          <w:b/>
          <w:bCs/>
          <w:snapToGrid w:val="0"/>
          <w:color w:val="000000"/>
          <w:sz w:val="24"/>
          <w:szCs w:val="24"/>
          <w:u w:val="single"/>
        </w:rPr>
        <w:t>是否建议进行获益-风险评估？</w:t>
      </w:r>
    </w:p>
    <w:p>
      <w:pPr>
        <w:snapToGrid w:val="0"/>
        <w:jc w:val="both"/>
        <w:rPr>
          <w:rFonts w:eastAsia="宋体"/>
          <w:snapToGrid w:val="0"/>
          <w:sz w:val="24"/>
          <w:szCs w:val="24"/>
        </w:rPr>
      </w:pPr>
    </w:p>
    <w:p>
      <w:pPr>
        <w:snapToGrid w:val="0"/>
        <w:ind w:firstLine="480" w:firstLineChars="200"/>
        <w:jc w:val="both"/>
        <w:rPr>
          <w:rFonts w:eastAsia="宋体"/>
          <w:snapToGrid w:val="0"/>
          <w:color w:val="000000"/>
          <w:sz w:val="24"/>
          <w:szCs w:val="24"/>
        </w:rPr>
      </w:pPr>
      <w:r>
        <w:rPr>
          <w:rFonts w:eastAsia="宋体"/>
          <w:snapToGrid w:val="0"/>
          <w:color w:val="000000"/>
          <w:sz w:val="24"/>
          <w:szCs w:val="24"/>
        </w:rPr>
        <w:t>是。应进行获益-风险评估，以评估风险的增加和获益的增加。</w:t>
      </w:r>
    </w:p>
    <w:p>
      <w:pPr>
        <w:snapToGrid w:val="0"/>
        <w:jc w:val="both"/>
        <w:rPr>
          <w:rFonts w:eastAsia="宋体"/>
          <w:snapToGrid w:val="0"/>
          <w:sz w:val="24"/>
          <w:szCs w:val="24"/>
        </w:rPr>
      </w:pPr>
    </w:p>
    <w:p>
      <w:pPr>
        <w:snapToGrid w:val="0"/>
        <w:jc w:val="both"/>
        <w:rPr>
          <w:rFonts w:eastAsia="宋体"/>
          <w:snapToGrid w:val="0"/>
          <w:sz w:val="24"/>
          <w:szCs w:val="24"/>
        </w:rPr>
      </w:pPr>
      <w:r>
        <w:rPr>
          <w:rFonts w:eastAsia="宋体"/>
          <w:b/>
          <w:bCs/>
          <w:snapToGrid w:val="0"/>
          <w:color w:val="000000"/>
          <w:sz w:val="24"/>
          <w:szCs w:val="24"/>
        </w:rPr>
        <w:t>获益：</w:t>
      </w:r>
      <w:r>
        <w:rPr>
          <w:rFonts w:eastAsia="宋体"/>
          <w:snapToGrid w:val="0"/>
          <w:color w:val="000000"/>
          <w:sz w:val="24"/>
          <w:szCs w:val="24"/>
        </w:rPr>
        <w:t>与同品种器械相比，新器械为外科医生提供了一种选择，可以更容易地进入脊柱周围的特定解剖区域，而且对邻近组织造成伤害的可能性更低。在某些情况下，外科医生可能偏好使用这种工具而不是同品种器械，因为新器械可以提供更深的切割作用，并且在动物研究中证明新器械可以缩短手术时间。此外，较短的手术时间使得麻醉时间更短，因此患者面临的感染风险更小。</w:t>
      </w:r>
    </w:p>
    <w:p>
      <w:pPr>
        <w:snapToGrid w:val="0"/>
        <w:jc w:val="both"/>
        <w:rPr>
          <w:sz w:val="24"/>
        </w:rPr>
      </w:pPr>
    </w:p>
    <w:p>
      <w:pPr>
        <w:snapToGrid w:val="0"/>
        <w:jc w:val="both"/>
        <w:rPr>
          <w:sz w:val="24"/>
        </w:rPr>
      </w:pPr>
    </w:p>
    <w:p>
      <w:pPr>
        <w:snapToGrid w:val="0"/>
        <w:jc w:val="both"/>
        <w:rPr>
          <w:sz w:val="24"/>
        </w:rPr>
        <w:sectPr>
          <w:pgSz w:w="11906" w:h="16838"/>
          <w:pgMar w:top="1134" w:right="1134" w:bottom="1134" w:left="1418" w:header="567" w:footer="567" w:gutter="0"/>
          <w:cols w:space="60" w:num="1"/>
          <w:docGrid w:linePitch="272" w:charSpace="0"/>
        </w:sectPr>
      </w:pPr>
    </w:p>
    <w:p>
      <w:pPr>
        <w:snapToGrid w:val="0"/>
        <w:jc w:val="both"/>
        <w:rPr>
          <w:rFonts w:eastAsia="宋体"/>
          <w:snapToGrid w:val="0"/>
          <w:color w:val="000000"/>
          <w:sz w:val="24"/>
          <w:szCs w:val="24"/>
        </w:rPr>
      </w:pPr>
      <w:r>
        <w:rPr>
          <w:rFonts w:eastAsia="宋体"/>
          <w:b/>
          <w:bCs/>
          <w:snapToGrid w:val="0"/>
          <w:color w:val="000000"/>
          <w:sz w:val="24"/>
          <w:szCs w:val="24"/>
        </w:rPr>
        <w:t>风险：</w:t>
      </w:r>
      <w:r>
        <w:rPr>
          <w:rFonts w:eastAsia="宋体"/>
          <w:snapToGrid w:val="0"/>
          <w:color w:val="000000"/>
          <w:sz w:val="24"/>
          <w:szCs w:val="24"/>
        </w:rPr>
        <w:t>与同品种器械相比，新的更深的切割动作对硬膜、动脉、静脉和神经根造成的伤害风险更高。制造商提供了一项动物研究的数据，以解决与新的深层切割作用有关的更高风险。这项数据表明，造成伤害的概率很低；但在动物研究中发现，使用尺寸不正确的器械会增加造成伤害的风险。</w:t>
      </w:r>
    </w:p>
    <w:p>
      <w:pPr>
        <w:snapToGrid w:val="0"/>
        <w:jc w:val="both"/>
        <w:rPr>
          <w:rFonts w:eastAsia="宋体"/>
          <w:snapToGrid w:val="0"/>
          <w:sz w:val="24"/>
          <w:szCs w:val="24"/>
        </w:rPr>
      </w:pPr>
    </w:p>
    <w:p>
      <w:pPr>
        <w:snapToGrid w:val="0"/>
        <w:jc w:val="both"/>
        <w:rPr>
          <w:rFonts w:eastAsia="宋体"/>
          <w:b/>
          <w:bCs/>
          <w:snapToGrid w:val="0"/>
          <w:color w:val="000000"/>
          <w:sz w:val="24"/>
          <w:szCs w:val="24"/>
        </w:rPr>
      </w:pPr>
      <w:r>
        <w:rPr>
          <w:rFonts w:eastAsia="宋体"/>
          <w:b/>
          <w:bCs/>
          <w:snapToGrid w:val="0"/>
          <w:color w:val="000000"/>
          <w:sz w:val="24"/>
          <w:szCs w:val="24"/>
        </w:rPr>
        <w:t>其他因素：</w:t>
      </w:r>
    </w:p>
    <w:p>
      <w:pPr>
        <w:snapToGrid w:val="0"/>
        <w:jc w:val="both"/>
        <w:rPr>
          <w:rFonts w:eastAsia="宋体"/>
          <w:snapToGrid w:val="0"/>
          <w:sz w:val="24"/>
          <w:szCs w:val="24"/>
        </w:rPr>
      </w:pPr>
    </w:p>
    <w:p>
      <w:pPr>
        <w:snapToGrid w:val="0"/>
        <w:jc w:val="both"/>
        <w:rPr>
          <w:rFonts w:eastAsia="宋体"/>
          <w:snapToGrid w:val="0"/>
          <w:color w:val="000000"/>
          <w:sz w:val="24"/>
          <w:szCs w:val="24"/>
        </w:rPr>
      </w:pPr>
      <w:r>
        <w:rPr>
          <w:rFonts w:eastAsia="宋体"/>
          <w:snapToGrid w:val="0"/>
          <w:color w:val="000000"/>
          <w:sz w:val="24"/>
          <w:szCs w:val="24"/>
          <w:u w:val="single"/>
        </w:rPr>
        <w:t>缓解风险</w:t>
      </w:r>
      <w:r>
        <w:rPr>
          <w:rFonts w:eastAsia="宋体"/>
          <w:snapToGrid w:val="0"/>
          <w:color w:val="000000"/>
          <w:sz w:val="24"/>
          <w:szCs w:val="24"/>
        </w:rPr>
        <w:t>：为了解决因使用尺寸不正确的器械而导致风险增加的问题，根据手术前的解剖测量，使用标签来确定要使用的适当尺寸。</w:t>
      </w:r>
    </w:p>
    <w:p>
      <w:pPr>
        <w:snapToGrid w:val="0"/>
        <w:jc w:val="both"/>
        <w:rPr>
          <w:rFonts w:eastAsia="宋体"/>
          <w:snapToGrid w:val="0"/>
          <w:sz w:val="24"/>
          <w:szCs w:val="24"/>
        </w:rPr>
      </w:pPr>
    </w:p>
    <w:p>
      <w:pPr>
        <w:snapToGrid w:val="0"/>
        <w:jc w:val="both"/>
        <w:rPr>
          <w:rFonts w:eastAsia="宋体"/>
          <w:snapToGrid w:val="0"/>
          <w:color w:val="000000"/>
          <w:sz w:val="24"/>
          <w:szCs w:val="24"/>
        </w:rPr>
      </w:pPr>
      <w:r>
        <w:rPr>
          <w:rFonts w:eastAsia="宋体"/>
          <w:snapToGrid w:val="0"/>
          <w:color w:val="000000"/>
          <w:sz w:val="24"/>
          <w:szCs w:val="24"/>
          <w:u w:val="single"/>
        </w:rPr>
        <w:t>HCP或护理人员的获益</w:t>
      </w:r>
      <w:r>
        <w:rPr>
          <w:rFonts w:hint="eastAsia" w:eastAsia="宋体"/>
          <w:snapToGrid w:val="0"/>
          <w:color w:val="000000"/>
          <w:sz w:val="24"/>
          <w:szCs w:val="24"/>
        </w:rPr>
        <w:t>：</w:t>
      </w:r>
      <w:r>
        <w:rPr>
          <w:rFonts w:eastAsia="宋体"/>
          <w:snapToGrid w:val="0"/>
          <w:color w:val="000000"/>
          <w:sz w:val="24"/>
          <w:szCs w:val="24"/>
        </w:rPr>
        <w:t>正如制造商提供的调查数据所显示的那样，新的设计使外科医生更容易使用，从而减少了对患者的伤害风险。</w:t>
      </w:r>
    </w:p>
    <w:p>
      <w:pPr>
        <w:snapToGrid w:val="0"/>
        <w:jc w:val="both"/>
        <w:rPr>
          <w:rFonts w:eastAsia="宋体"/>
          <w:snapToGrid w:val="0"/>
          <w:sz w:val="24"/>
          <w:szCs w:val="24"/>
        </w:rPr>
      </w:pPr>
    </w:p>
    <w:p>
      <w:pPr>
        <w:snapToGrid w:val="0"/>
        <w:jc w:val="both"/>
        <w:rPr>
          <w:color w:val="000000"/>
          <w:sz w:val="24"/>
        </w:rPr>
      </w:pPr>
      <w:bookmarkStart w:id="75" w:name="bookmark36"/>
      <w:bookmarkEnd w:id="75"/>
      <w:r>
        <w:rPr>
          <w:rFonts w:eastAsia="宋体"/>
          <w:b/>
          <w:bCs/>
          <w:snapToGrid w:val="0"/>
          <w:color w:val="000000"/>
          <w:sz w:val="24"/>
          <w:szCs w:val="24"/>
        </w:rPr>
        <w:t>SE分析：</w:t>
      </w:r>
      <w:r>
        <w:rPr>
          <w:rFonts w:eastAsia="宋体"/>
          <w:snapToGrid w:val="0"/>
          <w:color w:val="000000"/>
          <w:sz w:val="24"/>
          <w:szCs w:val="24"/>
        </w:rPr>
        <w:t>技术上的差异使硬脑膜、动脉、静脉和神经根受伤的风险增加。制造商提供了动物研究数据来解决这些额外的风险，并证明这种伤害的概率很低。制造商的标签通过确定帮助外科医生选择适当的器械尺寸的方法，进一步减轻了动物试验中观察到的风险。此外，动物研究表明，与同品种器械相比，新器械缩短了手术时间，对参与的外科医生的调查强调了更容易进入脊柱周围特定解剖区域的获益，从而减少了对患者的伤害风险。尽管由于切割的性质，可能性风险可能略高于同品种器械的风险，但事实证明，这种风险增加是最小的。此外，非临床性能数据确实证明了新的形状和切割动作在缩短手术时间和更容易进入方面的获益。因为风险的增加伴随着获益的增加，而且新器械可能具有与指征患者人群的同品种器械相当的获益风险状况，故该器械可能会被认定为SE。</w:t>
      </w:r>
    </w:p>
    <w:p>
      <w:pPr>
        <w:snapToGrid w:val="0"/>
        <w:jc w:val="both"/>
        <w:rPr>
          <w:rFonts w:eastAsia="宋体"/>
          <w:snapToGrid w:val="0"/>
          <w:sz w:val="24"/>
          <w:szCs w:val="24"/>
        </w:rPr>
      </w:pPr>
    </w:p>
    <w:p>
      <w:pPr>
        <w:pStyle w:val="3"/>
        <w:spacing w:beforeLines="0" w:afterLines="0"/>
        <w:ind w:left="1193" w:hanging="563"/>
        <w:rPr>
          <w:rFonts w:eastAsia="宋体"/>
          <w:snapToGrid w:val="0"/>
          <w:sz w:val="28"/>
          <w:szCs w:val="28"/>
        </w:rPr>
      </w:pPr>
      <w:bookmarkStart w:id="76" w:name="_Toc97472544"/>
      <w:bookmarkStart w:id="77" w:name="_Toc98779764"/>
      <w:r>
        <w:rPr>
          <w:sz w:val="28"/>
        </w:rPr>
        <w:t>B.</w:t>
      </w:r>
      <w:r>
        <w:rPr>
          <w:sz w:val="28"/>
        </w:rPr>
        <w:tab/>
      </w:r>
      <w:r>
        <w:rPr>
          <w:rFonts w:hint="eastAsia"/>
          <w:sz w:val="28"/>
        </w:rPr>
        <w:t>示例</w:t>
      </w:r>
      <w:r>
        <w:rPr>
          <w:sz w:val="28"/>
        </w:rPr>
        <w:t>2</w:t>
      </w:r>
      <w:r>
        <w:rPr>
          <w:rFonts w:hint="eastAsia"/>
          <w:sz w:val="28"/>
        </w:rPr>
        <w:t>：技术改变和操作</w:t>
      </w:r>
      <w:r>
        <w:rPr>
          <w:rFonts w:eastAsia="宋体"/>
          <w:snapToGrid w:val="0"/>
          <w:sz w:val="28"/>
          <w:szCs w:val="28"/>
        </w:rPr>
        <w:t>原理</w:t>
      </w:r>
      <w:r>
        <w:rPr>
          <w:rFonts w:hint="eastAsia"/>
          <w:sz w:val="28"/>
        </w:rPr>
        <w:t>的可能改变</w:t>
      </w:r>
      <w:bookmarkEnd w:id="76"/>
      <w:bookmarkEnd w:id="77"/>
    </w:p>
    <w:p>
      <w:pPr>
        <w:snapToGrid w:val="0"/>
        <w:jc w:val="both"/>
        <w:rPr>
          <w:color w:val="000000"/>
          <w:sz w:val="24"/>
        </w:rPr>
      </w:pPr>
    </w:p>
    <w:p>
      <w:pPr>
        <w:snapToGrid w:val="0"/>
        <w:jc w:val="both"/>
        <w:rPr>
          <w:rFonts w:eastAsia="宋体"/>
          <w:snapToGrid w:val="0"/>
          <w:sz w:val="24"/>
          <w:szCs w:val="24"/>
        </w:rPr>
      </w:pPr>
      <w:r>
        <w:rPr>
          <w:rFonts w:eastAsia="宋体"/>
          <w:b/>
          <w:bCs/>
          <w:snapToGrid w:val="0"/>
          <w:color w:val="000000"/>
          <w:sz w:val="24"/>
          <w:szCs w:val="24"/>
        </w:rPr>
        <w:t>场景：</w:t>
      </w:r>
      <w:r>
        <w:rPr>
          <w:rFonts w:eastAsia="宋体"/>
          <w:snapToGrid w:val="0"/>
          <w:color w:val="000000"/>
          <w:sz w:val="24"/>
          <w:szCs w:val="24"/>
        </w:rPr>
        <w:t>一个独立的器械使用低水平激光疗法来治疗趾甲真菌（甲癣）。新器械使用的波长与被证明能产生不同的光生物效应的同品种器械不同，其功率水平比同品种器械低得多，并且与同品种器械的脉冲序列相比，有一个恒定的能量输送序列。对于治疗真菌病，据称其作用机制是一种光生物过程，其中激光波长与真菌细胞内的发色团相互作用导致细胞死亡，或者可能涉及对真菌细胞的热效应，温度低于组织凝固或组织汽化所需的温度。由于新器械和同品种器械的技术特点不同，操作原理也可能发生变化，制造商提供了临床数据，将其器械与同品种器械进行比较。如果大多数受试者是应答者，该器械将具有与同品种器械相当的获益，其中应答者指根据预定的成功标准有效治疗脚趾甲的受试者。临床数据表明，使用新器械治疗的组别中，反应者的比率较低。新器械被认为比同品种器械构成的风险更低，因为新器械的功率水平显著降低。</w:t>
      </w:r>
    </w:p>
    <w:p>
      <w:pPr>
        <w:snapToGrid w:val="0"/>
        <w:jc w:val="both"/>
        <w:rPr>
          <w:rFonts w:eastAsia="宋体"/>
          <w:snapToGrid w:val="0"/>
          <w:sz w:val="24"/>
          <w:szCs w:val="24"/>
        </w:rPr>
      </w:pPr>
    </w:p>
    <w:p>
      <w:pPr>
        <w:snapToGrid w:val="0"/>
        <w:jc w:val="both"/>
        <w:rPr>
          <w:sz w:val="24"/>
        </w:rPr>
      </w:pPr>
    </w:p>
    <w:p>
      <w:pPr>
        <w:snapToGrid w:val="0"/>
        <w:jc w:val="both"/>
        <w:rPr>
          <w:sz w:val="24"/>
        </w:rPr>
        <w:sectPr>
          <w:pgSz w:w="11906" w:h="16838"/>
          <w:pgMar w:top="1134" w:right="1134" w:bottom="1134" w:left="1418" w:header="567" w:footer="567" w:gutter="0"/>
          <w:cols w:space="60" w:num="1"/>
          <w:docGrid w:linePitch="272" w:charSpace="0"/>
        </w:sectPr>
      </w:pPr>
    </w:p>
    <w:p>
      <w:pPr>
        <w:snapToGrid w:val="0"/>
        <w:jc w:val="both"/>
        <w:rPr>
          <w:rFonts w:eastAsia="宋体"/>
          <w:b/>
          <w:bCs/>
          <w:snapToGrid w:val="0"/>
          <w:color w:val="000000"/>
          <w:sz w:val="24"/>
          <w:szCs w:val="24"/>
          <w:u w:val="single"/>
        </w:rPr>
      </w:pPr>
      <w:r>
        <w:rPr>
          <w:rFonts w:eastAsia="宋体"/>
          <w:b/>
          <w:bCs/>
          <w:snapToGrid w:val="0"/>
          <w:color w:val="000000"/>
          <w:sz w:val="24"/>
          <w:szCs w:val="24"/>
          <w:u w:val="single"/>
        </w:rPr>
        <w:t>是否建议进行获益-风险评估？</w:t>
      </w:r>
    </w:p>
    <w:p>
      <w:pPr>
        <w:snapToGrid w:val="0"/>
        <w:jc w:val="both"/>
        <w:rPr>
          <w:rFonts w:eastAsia="宋体"/>
          <w:snapToGrid w:val="0"/>
          <w:sz w:val="24"/>
          <w:szCs w:val="24"/>
        </w:rPr>
      </w:pPr>
    </w:p>
    <w:p>
      <w:pPr>
        <w:snapToGrid w:val="0"/>
        <w:ind w:firstLine="480" w:firstLineChars="200"/>
        <w:jc w:val="both"/>
        <w:rPr>
          <w:rFonts w:eastAsia="宋体"/>
          <w:snapToGrid w:val="0"/>
          <w:color w:val="000000"/>
          <w:sz w:val="24"/>
          <w:szCs w:val="24"/>
        </w:rPr>
      </w:pPr>
      <w:r>
        <w:rPr>
          <w:rFonts w:eastAsia="宋体"/>
          <w:snapToGrid w:val="0"/>
          <w:color w:val="000000"/>
          <w:sz w:val="24"/>
          <w:szCs w:val="24"/>
        </w:rPr>
        <w:t>是。应进行获益-风险评估，以评估风险的降低和获益的减少。</w:t>
      </w:r>
    </w:p>
    <w:p>
      <w:pPr>
        <w:snapToGrid w:val="0"/>
        <w:jc w:val="both"/>
        <w:rPr>
          <w:rFonts w:eastAsia="宋体"/>
          <w:snapToGrid w:val="0"/>
          <w:sz w:val="24"/>
          <w:szCs w:val="24"/>
        </w:rPr>
      </w:pPr>
    </w:p>
    <w:p>
      <w:pPr>
        <w:snapToGrid w:val="0"/>
        <w:jc w:val="both"/>
        <w:rPr>
          <w:rFonts w:eastAsia="宋体"/>
          <w:snapToGrid w:val="0"/>
          <w:color w:val="000000"/>
          <w:sz w:val="24"/>
          <w:szCs w:val="24"/>
        </w:rPr>
      </w:pPr>
      <w:r>
        <w:rPr>
          <w:rFonts w:eastAsia="宋体"/>
          <w:b/>
          <w:bCs/>
          <w:snapToGrid w:val="0"/>
          <w:color w:val="000000"/>
          <w:sz w:val="24"/>
          <w:szCs w:val="24"/>
        </w:rPr>
        <w:t>获益：</w:t>
      </w:r>
      <w:r>
        <w:rPr>
          <w:rFonts w:eastAsia="宋体"/>
          <w:snapToGrid w:val="0"/>
          <w:color w:val="000000"/>
          <w:sz w:val="24"/>
          <w:szCs w:val="24"/>
        </w:rPr>
        <w:t>新器械提供了比同品种器械更多的替代治疗方式。但该研究未能达到主要终点，因为数据不支持大多数反应者看到治疗成功。</w:t>
      </w:r>
    </w:p>
    <w:p>
      <w:pPr>
        <w:snapToGrid w:val="0"/>
        <w:jc w:val="both"/>
        <w:rPr>
          <w:rFonts w:eastAsia="宋体"/>
          <w:snapToGrid w:val="0"/>
          <w:sz w:val="24"/>
          <w:szCs w:val="24"/>
        </w:rPr>
      </w:pPr>
    </w:p>
    <w:p>
      <w:pPr>
        <w:snapToGrid w:val="0"/>
        <w:jc w:val="both"/>
        <w:rPr>
          <w:rFonts w:eastAsia="宋体"/>
          <w:snapToGrid w:val="0"/>
          <w:color w:val="000000"/>
          <w:sz w:val="24"/>
          <w:szCs w:val="24"/>
        </w:rPr>
      </w:pPr>
      <w:r>
        <w:rPr>
          <w:rFonts w:eastAsia="宋体"/>
          <w:b/>
          <w:bCs/>
          <w:snapToGrid w:val="0"/>
          <w:color w:val="000000"/>
          <w:sz w:val="24"/>
          <w:szCs w:val="24"/>
        </w:rPr>
        <w:t>风险：</w:t>
      </w:r>
      <w:r>
        <w:rPr>
          <w:rFonts w:eastAsia="宋体"/>
          <w:snapToGrid w:val="0"/>
          <w:color w:val="000000"/>
          <w:sz w:val="24"/>
          <w:szCs w:val="24"/>
        </w:rPr>
        <w:t>与同品种器械相比，新器械在减少功率的情况下为受试者提供了更低的风险，以及最小的副作用。其他风险缓解措施包括佩戴激光安全保护眼镜，以防止激光照射对眼睛造成意外伤害。</w:t>
      </w:r>
    </w:p>
    <w:p>
      <w:pPr>
        <w:snapToGrid w:val="0"/>
        <w:jc w:val="both"/>
        <w:rPr>
          <w:rFonts w:eastAsia="宋体"/>
          <w:snapToGrid w:val="0"/>
          <w:sz w:val="24"/>
          <w:szCs w:val="24"/>
        </w:rPr>
      </w:pPr>
    </w:p>
    <w:p>
      <w:pPr>
        <w:snapToGrid w:val="0"/>
        <w:jc w:val="both"/>
        <w:rPr>
          <w:rFonts w:eastAsia="宋体"/>
          <w:b/>
          <w:bCs/>
          <w:snapToGrid w:val="0"/>
          <w:color w:val="000000"/>
          <w:sz w:val="24"/>
          <w:szCs w:val="24"/>
        </w:rPr>
      </w:pPr>
      <w:r>
        <w:rPr>
          <w:rFonts w:eastAsia="宋体"/>
          <w:b/>
          <w:bCs/>
          <w:snapToGrid w:val="0"/>
          <w:color w:val="000000"/>
          <w:sz w:val="24"/>
          <w:szCs w:val="24"/>
        </w:rPr>
        <w:t>其他因素：</w:t>
      </w:r>
    </w:p>
    <w:p>
      <w:pPr>
        <w:snapToGrid w:val="0"/>
        <w:jc w:val="both"/>
        <w:rPr>
          <w:rFonts w:eastAsia="宋体"/>
          <w:snapToGrid w:val="0"/>
          <w:sz w:val="24"/>
          <w:szCs w:val="24"/>
        </w:rPr>
      </w:pPr>
    </w:p>
    <w:p>
      <w:pPr>
        <w:snapToGrid w:val="0"/>
        <w:jc w:val="both"/>
        <w:rPr>
          <w:rFonts w:eastAsia="宋体"/>
          <w:snapToGrid w:val="0"/>
          <w:color w:val="000000"/>
          <w:sz w:val="24"/>
          <w:szCs w:val="24"/>
        </w:rPr>
      </w:pPr>
      <w:r>
        <w:rPr>
          <w:rFonts w:eastAsia="宋体"/>
          <w:snapToGrid w:val="0"/>
          <w:color w:val="000000"/>
          <w:sz w:val="24"/>
          <w:szCs w:val="24"/>
          <w:u w:val="single"/>
        </w:rPr>
        <w:t>不确定度</w:t>
      </w:r>
      <w:r>
        <w:rPr>
          <w:rFonts w:eastAsia="宋体"/>
          <w:snapToGrid w:val="0"/>
          <w:color w:val="000000"/>
          <w:sz w:val="24"/>
          <w:szCs w:val="24"/>
        </w:rPr>
        <w:t>：临床研究的结果引起了人们对观察到的新器械获益可靠性的重大关注。的比例低于预期。此外，关于制造商的照片和数据集与同品种器械的比较，存在着严重的数据不一致情况。</w:t>
      </w:r>
    </w:p>
    <w:p>
      <w:pPr>
        <w:snapToGrid w:val="0"/>
        <w:jc w:val="both"/>
        <w:rPr>
          <w:rFonts w:eastAsia="宋体"/>
          <w:snapToGrid w:val="0"/>
          <w:sz w:val="24"/>
          <w:szCs w:val="24"/>
        </w:rPr>
      </w:pPr>
    </w:p>
    <w:p>
      <w:pPr>
        <w:snapToGrid w:val="0"/>
        <w:jc w:val="both"/>
        <w:rPr>
          <w:color w:val="000000"/>
          <w:sz w:val="24"/>
        </w:rPr>
      </w:pPr>
      <w:bookmarkStart w:id="78" w:name="bookmark37"/>
      <w:bookmarkEnd w:id="78"/>
      <w:r>
        <w:rPr>
          <w:rFonts w:eastAsia="宋体"/>
          <w:b/>
          <w:bCs/>
          <w:snapToGrid w:val="0"/>
          <w:color w:val="000000"/>
          <w:sz w:val="24"/>
          <w:szCs w:val="24"/>
        </w:rPr>
        <w:t>SE分析：</w:t>
      </w:r>
      <w:r>
        <w:rPr>
          <w:rFonts w:eastAsia="宋体"/>
          <w:snapToGrid w:val="0"/>
          <w:color w:val="000000"/>
          <w:sz w:val="24"/>
          <w:szCs w:val="24"/>
        </w:rPr>
        <w:t>由于新器械和同品种器械的技术特点不同，制造商提供了临床数据来确定SE。临床数据未能证明这种新器械为大多数接受治疗的患者提供了获益。此外，所提供的数据出现了严重的不一致，被认为不可信。虽然新器械带来的风险较小，但该器械的收益却远远小于同品种器械。此外，能观察到的微小获益也具有相当大的不确定性。因此，由于缺乏足够的性能数据，该器械可能会被认定为NSE。</w:t>
      </w:r>
    </w:p>
    <w:p>
      <w:pPr>
        <w:snapToGrid w:val="0"/>
        <w:jc w:val="both"/>
        <w:rPr>
          <w:rFonts w:eastAsia="宋体"/>
          <w:snapToGrid w:val="0"/>
          <w:sz w:val="24"/>
          <w:szCs w:val="24"/>
        </w:rPr>
      </w:pPr>
    </w:p>
    <w:p>
      <w:pPr>
        <w:pStyle w:val="3"/>
        <w:spacing w:before="0" w:beforeLines="0" w:after="0" w:afterLines="0"/>
        <w:ind w:left="1193" w:hanging="563"/>
        <w:rPr>
          <w:sz w:val="28"/>
        </w:rPr>
      </w:pPr>
      <w:bookmarkStart w:id="79" w:name="_Toc98779765"/>
      <w:bookmarkStart w:id="80" w:name="_Toc97472545"/>
      <w:r>
        <w:rPr>
          <w:sz w:val="28"/>
        </w:rPr>
        <w:t>C.</w:t>
      </w:r>
      <w:r>
        <w:rPr>
          <w:sz w:val="28"/>
        </w:rPr>
        <w:tab/>
      </w:r>
      <w:r>
        <w:rPr>
          <w:rFonts w:hint="eastAsia"/>
          <w:sz w:val="28"/>
        </w:rPr>
        <w:t>示例</w:t>
      </w:r>
      <w:r>
        <w:rPr>
          <w:sz w:val="28"/>
        </w:rPr>
        <w:t>3</w:t>
      </w:r>
      <w:r>
        <w:rPr>
          <w:rFonts w:hint="eastAsia"/>
          <w:sz w:val="28"/>
        </w:rPr>
        <w:t>：具有较高故障风险的新器械</w:t>
      </w:r>
      <w:bookmarkEnd w:id="79"/>
      <w:bookmarkEnd w:id="80"/>
    </w:p>
    <w:p>
      <w:pPr>
        <w:snapToGrid w:val="0"/>
        <w:jc w:val="both"/>
        <w:rPr>
          <w:rFonts w:eastAsia="宋体"/>
          <w:b/>
          <w:bCs/>
          <w:snapToGrid w:val="0"/>
          <w:color w:val="000000"/>
          <w:sz w:val="24"/>
          <w:szCs w:val="24"/>
        </w:rPr>
      </w:pPr>
    </w:p>
    <w:p>
      <w:pPr>
        <w:snapToGrid w:val="0"/>
        <w:jc w:val="both"/>
        <w:rPr>
          <w:rFonts w:eastAsia="宋体"/>
          <w:snapToGrid w:val="0"/>
          <w:sz w:val="24"/>
          <w:szCs w:val="24"/>
        </w:rPr>
      </w:pPr>
      <w:r>
        <w:rPr>
          <w:rFonts w:eastAsia="宋体"/>
          <w:b/>
          <w:bCs/>
          <w:snapToGrid w:val="0"/>
          <w:color w:val="000000"/>
          <w:sz w:val="24"/>
          <w:szCs w:val="24"/>
        </w:rPr>
        <w:t>场景：</w:t>
      </w:r>
      <w:r>
        <w:rPr>
          <w:rFonts w:eastAsia="宋体"/>
          <w:snapToGrid w:val="0"/>
          <w:color w:val="000000"/>
          <w:sz w:val="24"/>
          <w:szCs w:val="24"/>
        </w:rPr>
        <w:t>一家制造商提交了一份510（k）申请，涉及一种可用于流动、便携式环境的外部输液泵。该器械制造商声称SE是一个独立的外部输液泵，在医院环境中用于控制向患者输送液体和药物的静脉（IV）。这款新器械采用了一个新的、紧凑的、便携式平台，可用于为通过救护车或其他交通工具（如直升机）转运的患者提供静脉治疗。与同品种器械不同的是，新器械完全靠电池运作，并且有一个比同品种器械更小、更简单的用户接口。由于新器械是移动的，它既可以作为一种医疗对策，为患者提供治疗，也可作为对化学、生物、放射性、核或高爆事件（CBRNE）的公共卫生反应的一部分。</w:t>
      </w:r>
      <w:r>
        <w:rPr>
          <w:rStyle w:val="18"/>
          <w:rFonts w:eastAsia="宋体"/>
          <w:snapToGrid w:val="0"/>
          <w:color w:val="000000"/>
          <w:sz w:val="24"/>
          <w:szCs w:val="24"/>
        </w:rPr>
        <w:footnoteReference w:id="17"/>
      </w:r>
    </w:p>
    <w:p>
      <w:pPr>
        <w:snapToGrid w:val="0"/>
        <w:jc w:val="both"/>
        <w:rPr>
          <w:rFonts w:eastAsia="宋体"/>
          <w:snapToGrid w:val="0"/>
          <w:sz w:val="24"/>
          <w:szCs w:val="24"/>
        </w:rPr>
      </w:pPr>
    </w:p>
    <w:p>
      <w:pPr>
        <w:snapToGrid w:val="0"/>
        <w:jc w:val="both"/>
        <w:rPr>
          <w:sz w:val="24"/>
        </w:rPr>
      </w:pPr>
    </w:p>
    <w:p>
      <w:pPr>
        <w:snapToGrid w:val="0"/>
        <w:jc w:val="both"/>
        <w:rPr>
          <w:sz w:val="24"/>
        </w:rPr>
        <w:sectPr>
          <w:pgSz w:w="11906" w:h="16838"/>
          <w:pgMar w:top="1134" w:right="1134" w:bottom="1134" w:left="1418" w:header="567" w:footer="567" w:gutter="0"/>
          <w:cols w:space="60" w:num="1"/>
          <w:docGrid w:linePitch="272" w:charSpace="0"/>
        </w:sectPr>
      </w:pPr>
    </w:p>
    <w:p>
      <w:pPr>
        <w:snapToGrid w:val="0"/>
        <w:ind w:firstLine="480" w:firstLineChars="200"/>
        <w:jc w:val="both"/>
        <w:rPr>
          <w:rFonts w:eastAsia="宋体"/>
          <w:snapToGrid w:val="0"/>
          <w:color w:val="000000"/>
          <w:sz w:val="24"/>
          <w:szCs w:val="24"/>
        </w:rPr>
      </w:pPr>
      <w:r>
        <w:rPr>
          <w:rFonts w:eastAsia="宋体"/>
          <w:snapToGrid w:val="0"/>
          <w:color w:val="000000"/>
          <w:sz w:val="24"/>
          <w:szCs w:val="24"/>
        </w:rPr>
        <w:t>对用户界面进行评估后，发现它足以实现器械性能，并且没有造成额外的风险。但有人担心，由于新器械的使用环境是流动的，其发生与损坏故障的风险比同品种器械高，这可能导致因输液不足、输液过度或治疗延误而对患者造成伤害。为了解决这个问题，制造商进行了台架研究，以评估该器械在模拟的、最坏情况下的流动运输场景下的耐用性。这包括但不限于湿度检测、温度暴露检测、机械力（冲击、振动等）、液体进入、压力高度和闭塞。台架检测结果表明，在流动环境中反复使用新器械，其校准漂移的风险会增加。为了减少这种风险，制造商改变了标签，指示用户经常进行预防性维护。</w:t>
      </w:r>
    </w:p>
    <w:p>
      <w:pPr>
        <w:snapToGrid w:val="0"/>
        <w:jc w:val="both"/>
        <w:rPr>
          <w:rFonts w:eastAsia="宋体"/>
          <w:snapToGrid w:val="0"/>
          <w:sz w:val="24"/>
          <w:szCs w:val="24"/>
        </w:rPr>
      </w:pPr>
    </w:p>
    <w:p>
      <w:pPr>
        <w:snapToGrid w:val="0"/>
        <w:jc w:val="both"/>
        <w:rPr>
          <w:rFonts w:eastAsia="宋体"/>
          <w:b/>
          <w:bCs/>
          <w:snapToGrid w:val="0"/>
          <w:color w:val="000000"/>
          <w:sz w:val="24"/>
          <w:szCs w:val="24"/>
          <w:u w:val="single"/>
        </w:rPr>
      </w:pPr>
      <w:r>
        <w:rPr>
          <w:rFonts w:eastAsia="宋体"/>
          <w:b/>
          <w:bCs/>
          <w:snapToGrid w:val="0"/>
          <w:color w:val="000000"/>
          <w:sz w:val="24"/>
          <w:szCs w:val="24"/>
          <w:u w:val="single"/>
        </w:rPr>
        <w:t>是否建议进行获益-风险评估？</w:t>
      </w:r>
    </w:p>
    <w:p>
      <w:pPr>
        <w:snapToGrid w:val="0"/>
        <w:jc w:val="both"/>
        <w:rPr>
          <w:rFonts w:eastAsia="宋体"/>
          <w:snapToGrid w:val="0"/>
          <w:sz w:val="24"/>
          <w:szCs w:val="24"/>
        </w:rPr>
      </w:pPr>
    </w:p>
    <w:p>
      <w:pPr>
        <w:snapToGrid w:val="0"/>
        <w:ind w:firstLine="480" w:firstLineChars="200"/>
        <w:jc w:val="both"/>
        <w:rPr>
          <w:rFonts w:eastAsia="宋体"/>
          <w:snapToGrid w:val="0"/>
          <w:color w:val="000000"/>
          <w:sz w:val="24"/>
          <w:szCs w:val="24"/>
        </w:rPr>
      </w:pPr>
      <w:r>
        <w:rPr>
          <w:rFonts w:eastAsia="宋体"/>
          <w:snapToGrid w:val="0"/>
          <w:color w:val="000000"/>
          <w:sz w:val="24"/>
          <w:szCs w:val="24"/>
        </w:rPr>
        <w:t>是。应进行获益-风险评估，以评估风险的增加和获益的增加。</w:t>
      </w:r>
    </w:p>
    <w:p>
      <w:pPr>
        <w:snapToGrid w:val="0"/>
        <w:jc w:val="both"/>
        <w:rPr>
          <w:rFonts w:eastAsia="宋体"/>
          <w:snapToGrid w:val="0"/>
          <w:sz w:val="24"/>
          <w:szCs w:val="24"/>
        </w:rPr>
      </w:pPr>
    </w:p>
    <w:p>
      <w:pPr>
        <w:snapToGrid w:val="0"/>
        <w:jc w:val="both"/>
        <w:rPr>
          <w:rFonts w:eastAsia="宋体"/>
          <w:snapToGrid w:val="0"/>
          <w:color w:val="000000"/>
          <w:sz w:val="24"/>
          <w:szCs w:val="24"/>
        </w:rPr>
      </w:pPr>
      <w:r>
        <w:rPr>
          <w:rFonts w:eastAsia="宋体"/>
          <w:b/>
          <w:bCs/>
          <w:snapToGrid w:val="0"/>
          <w:color w:val="000000"/>
          <w:sz w:val="24"/>
          <w:szCs w:val="24"/>
        </w:rPr>
        <w:t>获益：</w:t>
      </w:r>
      <w:r>
        <w:rPr>
          <w:rFonts w:eastAsia="宋体"/>
          <w:snapToGrid w:val="0"/>
          <w:color w:val="000000"/>
          <w:sz w:val="24"/>
          <w:szCs w:val="24"/>
        </w:rPr>
        <w:t>与同品种器械相比，新器械的紧凑、便携平台使医护人员能够将静脉（IV）治疗从医院护理环境扩展到移动环境。重要的是要考虑到，在救护车或直升机等运输工具的狭窄环境中，这种新器械设计的紧凑外形使医护人员能够满足患者的关键护理需求，其中可能包括呼吸机支持、心脏监测和抽吸。在紧急情况下，车辆经常被改装以适应运送多个患者。在这种情况下，患者和医护人员的空间已经受到限制，耐用医疗设备的紧凑外形成为一个基本特征。此外，该器械可以在各种温度和湿度条件下运行，正如台架数据所证明的那样，从而增加了其作为应对CBRNE事件的医疗对策的效用。</w:t>
      </w:r>
    </w:p>
    <w:p>
      <w:pPr>
        <w:snapToGrid w:val="0"/>
        <w:jc w:val="both"/>
        <w:rPr>
          <w:rFonts w:eastAsia="宋体"/>
          <w:snapToGrid w:val="0"/>
          <w:sz w:val="24"/>
          <w:szCs w:val="24"/>
        </w:rPr>
      </w:pPr>
    </w:p>
    <w:p>
      <w:pPr>
        <w:snapToGrid w:val="0"/>
        <w:jc w:val="both"/>
        <w:rPr>
          <w:rFonts w:eastAsia="宋体"/>
          <w:snapToGrid w:val="0"/>
          <w:sz w:val="24"/>
          <w:szCs w:val="24"/>
        </w:rPr>
      </w:pPr>
      <w:r>
        <w:rPr>
          <w:rFonts w:eastAsia="宋体"/>
          <w:b/>
          <w:bCs/>
          <w:snapToGrid w:val="0"/>
          <w:color w:val="000000"/>
          <w:sz w:val="24"/>
          <w:szCs w:val="24"/>
        </w:rPr>
        <w:t>风险：</w:t>
      </w:r>
      <w:r>
        <w:rPr>
          <w:rFonts w:eastAsia="宋体"/>
          <w:snapToGrid w:val="0"/>
          <w:color w:val="000000"/>
          <w:sz w:val="24"/>
          <w:szCs w:val="24"/>
        </w:rPr>
        <w:t>新器械的使用环境在救护车或直升机等流动环境中时，会给器械带来更大的损坏风险。制造商提供的非临床检测表明，由于器械在流动运输过程中受到的机械力，校准可能会随着时间的推移而漂移。这种校准漂移可能导致泵输送的液体多于或少于器械中设定的数量。试验表明，校准漂移只发生在反复暴露于流动环境之后。</w:t>
      </w:r>
    </w:p>
    <w:p>
      <w:pPr>
        <w:snapToGrid w:val="0"/>
        <w:jc w:val="both"/>
        <w:rPr>
          <w:sz w:val="24"/>
        </w:rPr>
      </w:pPr>
    </w:p>
    <w:p>
      <w:pPr>
        <w:snapToGrid w:val="0"/>
        <w:jc w:val="both"/>
        <w:rPr>
          <w:sz w:val="24"/>
        </w:rPr>
        <w:sectPr>
          <w:pgSz w:w="11906" w:h="16838"/>
          <w:pgMar w:top="1134" w:right="1134" w:bottom="1134" w:left="1418" w:header="567" w:footer="567" w:gutter="0"/>
          <w:cols w:space="60" w:num="1"/>
          <w:docGrid w:linePitch="272" w:charSpace="0"/>
        </w:sectPr>
      </w:pPr>
    </w:p>
    <w:p>
      <w:pPr>
        <w:snapToGrid w:val="0"/>
        <w:jc w:val="both"/>
        <w:rPr>
          <w:rFonts w:eastAsia="宋体"/>
          <w:b/>
          <w:bCs/>
          <w:snapToGrid w:val="0"/>
          <w:color w:val="000000"/>
          <w:sz w:val="24"/>
          <w:szCs w:val="24"/>
        </w:rPr>
      </w:pPr>
      <w:r>
        <w:rPr>
          <w:rFonts w:eastAsia="宋体"/>
          <w:b/>
          <w:bCs/>
          <w:snapToGrid w:val="0"/>
          <w:color w:val="000000"/>
          <w:sz w:val="24"/>
          <w:szCs w:val="24"/>
        </w:rPr>
        <w:t>其他因素：</w:t>
      </w:r>
    </w:p>
    <w:p>
      <w:pPr>
        <w:snapToGrid w:val="0"/>
        <w:jc w:val="both"/>
        <w:rPr>
          <w:rFonts w:eastAsia="宋体"/>
          <w:snapToGrid w:val="0"/>
          <w:sz w:val="24"/>
          <w:szCs w:val="24"/>
        </w:rPr>
      </w:pPr>
    </w:p>
    <w:p>
      <w:pPr>
        <w:snapToGrid w:val="0"/>
        <w:jc w:val="both"/>
        <w:rPr>
          <w:rFonts w:eastAsia="宋体"/>
          <w:snapToGrid w:val="0"/>
          <w:color w:val="000000"/>
          <w:sz w:val="24"/>
          <w:szCs w:val="24"/>
        </w:rPr>
      </w:pPr>
      <w:r>
        <w:rPr>
          <w:rFonts w:eastAsia="宋体"/>
          <w:snapToGrid w:val="0"/>
          <w:color w:val="000000"/>
          <w:sz w:val="24"/>
          <w:szCs w:val="24"/>
          <w:u w:val="single"/>
        </w:rPr>
        <w:t>HCP或护理人员的获益</w:t>
      </w:r>
      <w:r>
        <w:rPr>
          <w:rFonts w:hint="eastAsia" w:eastAsia="宋体"/>
          <w:snapToGrid w:val="0"/>
          <w:color w:val="000000"/>
          <w:sz w:val="24"/>
          <w:szCs w:val="24"/>
        </w:rPr>
        <w:t>：</w:t>
      </w:r>
      <w:r>
        <w:rPr>
          <w:rFonts w:eastAsia="宋体"/>
          <w:snapToGrid w:val="0"/>
          <w:color w:val="000000"/>
          <w:sz w:val="24"/>
          <w:szCs w:val="24"/>
        </w:rPr>
        <w:t>同品种器械不允许医护人员将静脉治疗延伸到移动环境中。而这款新器械允许医护人员在移动环境中使用该泵，以适应患者的关键护理需求，其中可能包括呼吸机支持、心脏监测和紧急环境下的抽吸。</w:t>
      </w:r>
    </w:p>
    <w:p>
      <w:pPr>
        <w:snapToGrid w:val="0"/>
        <w:jc w:val="both"/>
        <w:rPr>
          <w:rFonts w:eastAsia="宋体"/>
          <w:snapToGrid w:val="0"/>
          <w:sz w:val="24"/>
          <w:szCs w:val="24"/>
        </w:rPr>
      </w:pPr>
    </w:p>
    <w:p>
      <w:pPr>
        <w:snapToGrid w:val="0"/>
        <w:jc w:val="both"/>
        <w:rPr>
          <w:rFonts w:eastAsia="宋体"/>
          <w:snapToGrid w:val="0"/>
          <w:color w:val="000000"/>
          <w:sz w:val="24"/>
          <w:szCs w:val="24"/>
        </w:rPr>
      </w:pPr>
      <w:r>
        <w:rPr>
          <w:rFonts w:eastAsia="宋体"/>
          <w:snapToGrid w:val="0"/>
          <w:color w:val="000000"/>
          <w:sz w:val="24"/>
          <w:szCs w:val="24"/>
          <w:u w:val="single"/>
        </w:rPr>
        <w:t>缓解风险</w:t>
      </w:r>
      <w:r>
        <w:rPr>
          <w:rFonts w:eastAsia="宋体"/>
          <w:snapToGrid w:val="0"/>
          <w:color w:val="000000"/>
          <w:sz w:val="24"/>
          <w:szCs w:val="24"/>
        </w:rPr>
        <w:t>：制造商表明，增加预防性维护将减少与可能性校准漂移有关的健康风险。因此，制造商改变了标签，指示用户在流动使用100小时后进行预防性维护，这比同品种器械关于预防性维护的说明更频繁。</w:t>
      </w:r>
    </w:p>
    <w:p>
      <w:pPr>
        <w:snapToGrid w:val="0"/>
        <w:jc w:val="both"/>
        <w:rPr>
          <w:rFonts w:eastAsia="宋体"/>
          <w:snapToGrid w:val="0"/>
          <w:sz w:val="24"/>
          <w:szCs w:val="24"/>
        </w:rPr>
      </w:pPr>
    </w:p>
    <w:p>
      <w:pPr>
        <w:snapToGrid w:val="0"/>
        <w:jc w:val="both"/>
        <w:rPr>
          <w:rFonts w:eastAsia="宋体"/>
          <w:snapToGrid w:val="0"/>
          <w:color w:val="000000"/>
          <w:sz w:val="24"/>
          <w:szCs w:val="24"/>
        </w:rPr>
      </w:pPr>
      <w:bookmarkStart w:id="81" w:name="bookmark39"/>
      <w:bookmarkEnd w:id="81"/>
      <w:r>
        <w:rPr>
          <w:rFonts w:eastAsia="宋体"/>
          <w:b/>
          <w:bCs/>
          <w:snapToGrid w:val="0"/>
          <w:color w:val="000000"/>
          <w:sz w:val="24"/>
          <w:szCs w:val="24"/>
        </w:rPr>
        <w:t>SE分析：</w:t>
      </w:r>
      <w:r>
        <w:rPr>
          <w:rFonts w:eastAsia="宋体"/>
          <w:snapToGrid w:val="0"/>
          <w:color w:val="000000"/>
          <w:sz w:val="24"/>
          <w:szCs w:val="24"/>
        </w:rPr>
        <w:t>与同品种器械不同，新器械完全由电池操作，结构紧凑，并包含一个简化的用户界面，因此它可以在移动的门诊环境中使用。在流动环境中发生损坏故障的风险较高，可能导致输液不足、输液过度或延误治疗。制造商提供了非临床性能数据，证实了该器械在模拟的、最坏情况时的流动条件下的耐久性。这些数据显示，该器械在流动环境中反复使用时容易出现校准漂移。为了减少这种风险，制造商改变了标签，指示用户进行更频繁的预防性维护。在紧急公共卫生情况下，为在途患者或大量患者提供治疗所带来的获益超过了输液泵的流动平台所带来的校准漂移风险。由于风险的增加（通过标签中的声明来缓解）伴随着获益的增加，新器械对于指征患者人群来说，可能具有与同品种器械相当的获益风险特征，那么该器械可能会被认定为SE。</w:t>
      </w:r>
    </w:p>
    <w:p>
      <w:pPr>
        <w:snapToGrid w:val="0"/>
        <w:jc w:val="both"/>
        <w:rPr>
          <w:rFonts w:eastAsia="宋体"/>
          <w:snapToGrid w:val="0"/>
          <w:sz w:val="24"/>
          <w:szCs w:val="24"/>
        </w:rPr>
      </w:pPr>
    </w:p>
    <w:p>
      <w:pPr>
        <w:pStyle w:val="3"/>
        <w:spacing w:beforeLines="0" w:afterLines="0"/>
        <w:ind w:left="1193" w:hanging="563"/>
        <w:rPr>
          <w:rFonts w:eastAsia="宋体"/>
          <w:snapToGrid w:val="0"/>
          <w:sz w:val="28"/>
          <w:szCs w:val="28"/>
        </w:rPr>
      </w:pPr>
      <w:bookmarkStart w:id="82" w:name="_Toc98779766"/>
      <w:bookmarkStart w:id="83" w:name="_Toc97472546"/>
      <w:r>
        <w:rPr>
          <w:sz w:val="28"/>
        </w:rPr>
        <w:t>D.</w:t>
      </w:r>
      <w:r>
        <w:rPr>
          <w:sz w:val="28"/>
        </w:rPr>
        <w:tab/>
      </w:r>
      <w:r>
        <w:rPr>
          <w:rFonts w:hint="eastAsia"/>
          <w:sz w:val="28"/>
        </w:rPr>
        <w:t>示例</w:t>
      </w:r>
      <w:r>
        <w:rPr>
          <w:sz w:val="28"/>
        </w:rPr>
        <w:t>4</w:t>
      </w:r>
      <w:r>
        <w:rPr>
          <w:rFonts w:hint="eastAsia"/>
          <w:sz w:val="28"/>
        </w:rPr>
        <w:t>：</w:t>
      </w:r>
      <w:r>
        <w:rPr>
          <w:rFonts w:eastAsia="宋体"/>
          <w:snapToGrid w:val="0"/>
          <w:sz w:val="28"/>
          <w:szCs w:val="28"/>
        </w:rPr>
        <w:t>材料差异</w:t>
      </w:r>
      <w:r>
        <w:rPr>
          <w:rFonts w:hint="eastAsia"/>
          <w:sz w:val="28"/>
        </w:rPr>
        <w:t>导致不同器件性能</w:t>
      </w:r>
      <w:bookmarkEnd w:id="82"/>
      <w:bookmarkEnd w:id="83"/>
    </w:p>
    <w:p>
      <w:pPr>
        <w:snapToGrid w:val="0"/>
        <w:jc w:val="both"/>
        <w:rPr>
          <w:color w:val="000000"/>
          <w:sz w:val="24"/>
        </w:rPr>
      </w:pPr>
    </w:p>
    <w:p>
      <w:pPr>
        <w:snapToGrid w:val="0"/>
        <w:jc w:val="both"/>
        <w:rPr>
          <w:rFonts w:eastAsia="宋体"/>
          <w:snapToGrid w:val="0"/>
          <w:sz w:val="24"/>
          <w:szCs w:val="24"/>
        </w:rPr>
      </w:pPr>
      <w:r>
        <w:rPr>
          <w:rFonts w:eastAsia="宋体"/>
          <w:b/>
          <w:bCs/>
          <w:snapToGrid w:val="0"/>
          <w:color w:val="000000"/>
          <w:sz w:val="24"/>
          <w:szCs w:val="24"/>
        </w:rPr>
        <w:t>场景：</w:t>
      </w:r>
      <w:r>
        <w:rPr>
          <w:rFonts w:eastAsia="宋体"/>
          <w:snapToGrid w:val="0"/>
          <w:color w:val="000000"/>
          <w:sz w:val="24"/>
          <w:szCs w:val="24"/>
        </w:rPr>
        <w:t>一种由合成材料组成的男用避孕套的制造商声称SE与天然橡胶乳胶避孕套相同。两种器械之间唯一的技术差异是材料，即合成乳胶与天然乳胶。有人担心新材料的性能可能不如天然橡胶乳胶材料，并可能在性交过程中导致破损或滑落。这些风险可以在临床研究中进行评估，将合成避孕套的性能与合格的天然橡胶乳胶避孕套（同品种器械）进行比较。这家新器械制造商试图证明在评估性交过程中的临床失败（滑落和破损）的主要终点方面，它与天然橡胶乳胶避孕套相比没有劣势。制造商进行了临床研究，并达到了主要终点，但滑落率比天然橡胶乳胶避孕套略高。</w:t>
      </w:r>
    </w:p>
    <w:p>
      <w:pPr>
        <w:snapToGrid w:val="0"/>
        <w:jc w:val="both"/>
        <w:rPr>
          <w:rFonts w:eastAsia="宋体"/>
          <w:snapToGrid w:val="0"/>
          <w:sz w:val="24"/>
          <w:szCs w:val="24"/>
        </w:rPr>
      </w:pPr>
    </w:p>
    <w:p>
      <w:pPr>
        <w:snapToGrid w:val="0"/>
        <w:jc w:val="both"/>
        <w:rPr>
          <w:rFonts w:eastAsia="宋体"/>
          <w:snapToGrid w:val="0"/>
          <w:sz w:val="24"/>
          <w:szCs w:val="24"/>
        </w:rPr>
        <w:sectPr>
          <w:pgSz w:w="11906" w:h="16838"/>
          <w:pgMar w:top="1134" w:right="1134" w:bottom="1134" w:left="1418" w:header="567" w:footer="567" w:gutter="0"/>
          <w:cols w:space="60" w:num="1"/>
          <w:docGrid w:linePitch="272" w:charSpace="0"/>
        </w:sectPr>
      </w:pPr>
    </w:p>
    <w:p>
      <w:pPr>
        <w:snapToGrid w:val="0"/>
        <w:jc w:val="both"/>
        <w:rPr>
          <w:rFonts w:eastAsia="宋体"/>
          <w:b/>
          <w:bCs/>
          <w:snapToGrid w:val="0"/>
          <w:color w:val="000000"/>
          <w:sz w:val="24"/>
          <w:szCs w:val="24"/>
          <w:u w:val="single"/>
        </w:rPr>
      </w:pPr>
      <w:r>
        <w:rPr>
          <w:rFonts w:eastAsia="宋体"/>
          <w:b/>
          <w:bCs/>
          <w:snapToGrid w:val="0"/>
          <w:color w:val="000000"/>
          <w:sz w:val="24"/>
          <w:szCs w:val="24"/>
          <w:u w:val="single"/>
        </w:rPr>
        <w:t>是否建议进行获益-风险评估？</w:t>
      </w:r>
    </w:p>
    <w:p>
      <w:pPr>
        <w:snapToGrid w:val="0"/>
        <w:jc w:val="both"/>
        <w:rPr>
          <w:rFonts w:eastAsia="宋体"/>
          <w:snapToGrid w:val="0"/>
          <w:sz w:val="24"/>
          <w:szCs w:val="24"/>
        </w:rPr>
      </w:pPr>
    </w:p>
    <w:p>
      <w:pPr>
        <w:snapToGrid w:val="0"/>
        <w:ind w:firstLine="480" w:firstLineChars="200"/>
        <w:jc w:val="both"/>
        <w:rPr>
          <w:rFonts w:eastAsia="宋体"/>
          <w:snapToGrid w:val="0"/>
          <w:color w:val="000000"/>
          <w:sz w:val="24"/>
          <w:szCs w:val="24"/>
        </w:rPr>
      </w:pPr>
      <w:r>
        <w:rPr>
          <w:rFonts w:eastAsia="宋体"/>
          <w:snapToGrid w:val="0"/>
          <w:color w:val="000000"/>
          <w:sz w:val="24"/>
          <w:szCs w:val="24"/>
        </w:rPr>
        <w:t>是。应进行获益-风险评估，以评估风险的增加和获益的增加。</w:t>
      </w:r>
    </w:p>
    <w:p>
      <w:pPr>
        <w:snapToGrid w:val="0"/>
        <w:jc w:val="both"/>
        <w:rPr>
          <w:rFonts w:eastAsia="宋体"/>
          <w:snapToGrid w:val="0"/>
          <w:sz w:val="24"/>
          <w:szCs w:val="24"/>
        </w:rPr>
      </w:pPr>
    </w:p>
    <w:p>
      <w:pPr>
        <w:snapToGrid w:val="0"/>
        <w:jc w:val="both"/>
        <w:rPr>
          <w:rFonts w:eastAsia="宋体"/>
          <w:snapToGrid w:val="0"/>
          <w:color w:val="000000"/>
          <w:sz w:val="24"/>
          <w:szCs w:val="24"/>
        </w:rPr>
      </w:pPr>
      <w:r>
        <w:rPr>
          <w:rFonts w:eastAsia="宋体"/>
          <w:b/>
          <w:bCs/>
          <w:snapToGrid w:val="0"/>
          <w:color w:val="000000"/>
          <w:sz w:val="24"/>
          <w:szCs w:val="24"/>
        </w:rPr>
        <w:t>获益：</w:t>
      </w:r>
      <w:r>
        <w:rPr>
          <w:rFonts w:eastAsia="宋体"/>
          <w:snapToGrid w:val="0"/>
          <w:color w:val="000000"/>
          <w:sz w:val="24"/>
          <w:szCs w:val="24"/>
        </w:rPr>
        <w:t>这种器械为避孕和预防提供了另一种选择，这对于天然橡胶乳胶过敏用户及其伴侣特别有利。</w:t>
      </w:r>
    </w:p>
    <w:p>
      <w:pPr>
        <w:snapToGrid w:val="0"/>
        <w:jc w:val="both"/>
        <w:rPr>
          <w:rFonts w:eastAsia="宋体"/>
          <w:snapToGrid w:val="0"/>
          <w:sz w:val="24"/>
          <w:szCs w:val="24"/>
        </w:rPr>
      </w:pPr>
    </w:p>
    <w:p>
      <w:pPr>
        <w:snapToGrid w:val="0"/>
        <w:jc w:val="both"/>
        <w:rPr>
          <w:rFonts w:eastAsia="宋体"/>
          <w:snapToGrid w:val="0"/>
          <w:color w:val="000000"/>
          <w:sz w:val="24"/>
          <w:szCs w:val="24"/>
        </w:rPr>
      </w:pPr>
      <w:r>
        <w:rPr>
          <w:rFonts w:eastAsia="宋体"/>
          <w:b/>
          <w:bCs/>
          <w:snapToGrid w:val="0"/>
          <w:color w:val="000000"/>
          <w:sz w:val="24"/>
          <w:szCs w:val="24"/>
        </w:rPr>
        <w:t>风险：</w:t>
      </w:r>
      <w:r>
        <w:rPr>
          <w:rFonts w:eastAsia="宋体"/>
          <w:snapToGrid w:val="0"/>
          <w:color w:val="000000"/>
          <w:sz w:val="24"/>
          <w:szCs w:val="24"/>
        </w:rPr>
        <w:t>新材料可能导致在性交过程中安全套滑落和破裂情况的增加，这增加了意外怀孕和/或性传播感染（STI）传播的风险。临床研究显示，与天然橡胶乳胶避孕套相比，合成避孕套的临床失败率与之相当；但是，滑落的发生率略高。</w:t>
      </w:r>
    </w:p>
    <w:p>
      <w:pPr>
        <w:snapToGrid w:val="0"/>
        <w:jc w:val="both"/>
        <w:rPr>
          <w:rFonts w:eastAsia="宋体"/>
          <w:snapToGrid w:val="0"/>
          <w:sz w:val="24"/>
          <w:szCs w:val="24"/>
        </w:rPr>
      </w:pPr>
    </w:p>
    <w:p>
      <w:pPr>
        <w:snapToGrid w:val="0"/>
        <w:jc w:val="both"/>
        <w:rPr>
          <w:rFonts w:eastAsia="宋体"/>
          <w:b/>
          <w:bCs/>
          <w:snapToGrid w:val="0"/>
          <w:color w:val="000000"/>
          <w:sz w:val="24"/>
          <w:szCs w:val="24"/>
        </w:rPr>
      </w:pPr>
      <w:r>
        <w:rPr>
          <w:rFonts w:eastAsia="宋体"/>
          <w:b/>
          <w:bCs/>
          <w:snapToGrid w:val="0"/>
          <w:color w:val="000000"/>
          <w:sz w:val="24"/>
          <w:szCs w:val="24"/>
        </w:rPr>
        <w:t>其他因素：</w:t>
      </w:r>
    </w:p>
    <w:p>
      <w:pPr>
        <w:snapToGrid w:val="0"/>
        <w:jc w:val="both"/>
        <w:rPr>
          <w:rFonts w:eastAsia="宋体"/>
          <w:snapToGrid w:val="0"/>
          <w:sz w:val="24"/>
          <w:szCs w:val="24"/>
        </w:rPr>
      </w:pPr>
    </w:p>
    <w:p>
      <w:pPr>
        <w:snapToGrid w:val="0"/>
        <w:jc w:val="both"/>
        <w:rPr>
          <w:rFonts w:eastAsia="宋体"/>
          <w:snapToGrid w:val="0"/>
          <w:color w:val="000000"/>
          <w:sz w:val="24"/>
          <w:szCs w:val="24"/>
        </w:rPr>
      </w:pPr>
      <w:r>
        <w:rPr>
          <w:rFonts w:eastAsia="宋体"/>
          <w:snapToGrid w:val="0"/>
          <w:color w:val="000000"/>
          <w:sz w:val="24"/>
          <w:szCs w:val="24"/>
          <w:u w:val="single"/>
        </w:rPr>
        <w:t>缓解风险</w:t>
      </w:r>
      <w:r>
        <w:rPr>
          <w:rFonts w:eastAsia="宋体"/>
          <w:snapToGrid w:val="0"/>
          <w:color w:val="000000"/>
          <w:sz w:val="24"/>
          <w:szCs w:val="24"/>
        </w:rPr>
        <w:t>：为了减轻与临床研究显示的略高的滑脱率有关的风险，所有标签上均有一个警告，说明只有在使用者对天然橡胶乳胶过敏时才可以使用该器械。</w:t>
      </w:r>
    </w:p>
    <w:p>
      <w:pPr>
        <w:snapToGrid w:val="0"/>
        <w:jc w:val="both"/>
        <w:rPr>
          <w:rFonts w:eastAsia="宋体"/>
          <w:snapToGrid w:val="0"/>
          <w:sz w:val="24"/>
          <w:szCs w:val="24"/>
        </w:rPr>
      </w:pPr>
    </w:p>
    <w:p>
      <w:pPr>
        <w:snapToGrid w:val="0"/>
        <w:jc w:val="both"/>
        <w:rPr>
          <w:color w:val="000000"/>
          <w:sz w:val="24"/>
        </w:rPr>
      </w:pPr>
      <w:bookmarkStart w:id="84" w:name="bookmark40"/>
      <w:bookmarkEnd w:id="84"/>
      <w:r>
        <w:rPr>
          <w:rFonts w:eastAsia="宋体"/>
          <w:b/>
          <w:bCs/>
          <w:snapToGrid w:val="0"/>
          <w:color w:val="000000"/>
          <w:sz w:val="24"/>
          <w:szCs w:val="24"/>
        </w:rPr>
        <w:t>SE分析：</w:t>
      </w:r>
      <w:r>
        <w:rPr>
          <w:rFonts w:eastAsia="宋体"/>
          <w:snapToGrid w:val="0"/>
          <w:color w:val="000000"/>
          <w:sz w:val="24"/>
          <w:szCs w:val="24"/>
        </w:rPr>
        <w:t>这种新器械提供了另一种避孕和预防选择，这对那些对天然橡胶乳胶过敏的患者及其伴侣特别有利。但同品种器械相比，新器械可能在性交过程中增加滑落的可能性，导致意外怀孕和性传播感染的风险增加。新器械和同品种器械之间的这种风险通过标签上的警告得到了部分缓解。因为风险的增加（可能通过标签上的警告部分缓解）伴随着获益的增加，新器械很可能被认定为SE。</w:t>
      </w:r>
    </w:p>
    <w:p>
      <w:pPr>
        <w:snapToGrid w:val="0"/>
        <w:jc w:val="both"/>
        <w:rPr>
          <w:rFonts w:eastAsia="宋体"/>
          <w:snapToGrid w:val="0"/>
          <w:sz w:val="24"/>
          <w:szCs w:val="24"/>
        </w:rPr>
      </w:pPr>
    </w:p>
    <w:p>
      <w:pPr>
        <w:pStyle w:val="3"/>
        <w:spacing w:beforeLines="0" w:afterLines="0"/>
        <w:ind w:left="1193" w:hanging="563"/>
        <w:rPr>
          <w:rFonts w:eastAsia="宋体"/>
          <w:snapToGrid w:val="0"/>
          <w:sz w:val="28"/>
          <w:szCs w:val="28"/>
        </w:rPr>
      </w:pPr>
      <w:bookmarkStart w:id="85" w:name="_Toc98779767"/>
      <w:bookmarkStart w:id="86" w:name="_Toc97472547"/>
      <w:r>
        <w:rPr>
          <w:sz w:val="28"/>
        </w:rPr>
        <w:t>E.</w:t>
      </w:r>
      <w:r>
        <w:rPr>
          <w:sz w:val="28"/>
        </w:rPr>
        <w:tab/>
      </w:r>
      <w:r>
        <w:rPr>
          <w:rFonts w:hint="eastAsia"/>
          <w:sz w:val="28"/>
        </w:rPr>
        <w:t>示例</w:t>
      </w:r>
      <w:r>
        <w:rPr>
          <w:sz w:val="28"/>
        </w:rPr>
        <w:t>5</w:t>
      </w:r>
      <w:r>
        <w:rPr>
          <w:rFonts w:hint="eastAsia"/>
          <w:sz w:val="28"/>
        </w:rPr>
        <w:t>：用不同的操作原理达到相同的治疗效果</w:t>
      </w:r>
      <w:bookmarkEnd w:id="85"/>
      <w:bookmarkEnd w:id="86"/>
    </w:p>
    <w:p>
      <w:pPr>
        <w:snapToGrid w:val="0"/>
        <w:jc w:val="both"/>
        <w:rPr>
          <w:color w:val="000000"/>
          <w:sz w:val="24"/>
        </w:rPr>
      </w:pPr>
    </w:p>
    <w:p>
      <w:pPr>
        <w:snapToGrid w:val="0"/>
        <w:jc w:val="both"/>
        <w:rPr>
          <w:rFonts w:eastAsia="宋体"/>
          <w:snapToGrid w:val="0"/>
          <w:sz w:val="24"/>
          <w:szCs w:val="24"/>
        </w:rPr>
      </w:pPr>
      <w:r>
        <w:rPr>
          <w:rFonts w:eastAsia="宋体"/>
          <w:b/>
          <w:bCs/>
          <w:snapToGrid w:val="0"/>
          <w:color w:val="000000"/>
          <w:sz w:val="24"/>
          <w:szCs w:val="24"/>
        </w:rPr>
        <w:t>场景：</w:t>
      </w:r>
      <w:r>
        <w:rPr>
          <w:rFonts w:eastAsia="宋体"/>
          <w:snapToGrid w:val="0"/>
          <w:color w:val="000000"/>
          <w:sz w:val="24"/>
          <w:szCs w:val="24"/>
        </w:rPr>
        <w:t>一种对口腔施加压力的器械被用来治疗成人的阻塞性睡眠呼吸暂停。与该病症一线治疗方法的同品种同器械相比，新器械具有不同的操作原理，以达到相同的预期治疗效果。有人担心，新的操作原理有可能部分封闭口腔，从而限制使用者用鼻子呼吸。台架数据显示，与同品种器械相比，新器械施加的压力水平更高，但制造商提供的台架性能数据显示，在发生鼻腔阻塞的情况下，该压力水平不会使嘴巴关闭。此外，还提供了一项为期28天的研究的临床数据，该器械与同品种器械相比，从基线上降低了呼吸暂停-低通气指数（AHI）的能力。研究结果显示，新器械对AHI有降低作用，但小于同品种器械的作用。研究还显示，由于器械施加的压力较高，患者对器械的依从性低于前提条件，但与前提条件相比，并发症发生率较高。</w:t>
      </w:r>
    </w:p>
    <w:p>
      <w:pPr>
        <w:snapToGrid w:val="0"/>
        <w:jc w:val="both"/>
        <w:rPr>
          <w:rFonts w:eastAsia="宋体"/>
          <w:snapToGrid w:val="0"/>
          <w:sz w:val="24"/>
          <w:szCs w:val="24"/>
        </w:rPr>
      </w:pPr>
    </w:p>
    <w:p>
      <w:pPr>
        <w:snapToGrid w:val="0"/>
        <w:jc w:val="both"/>
        <w:rPr>
          <w:sz w:val="24"/>
        </w:rPr>
        <w:sectPr>
          <w:pgSz w:w="11906" w:h="16838"/>
          <w:pgMar w:top="1134" w:right="1134" w:bottom="1134" w:left="1418" w:header="567" w:footer="567" w:gutter="0"/>
          <w:cols w:space="60" w:num="1"/>
          <w:docGrid w:linePitch="272" w:charSpace="0"/>
        </w:sectPr>
      </w:pPr>
    </w:p>
    <w:p>
      <w:pPr>
        <w:snapToGrid w:val="0"/>
        <w:jc w:val="both"/>
        <w:rPr>
          <w:rFonts w:eastAsia="宋体"/>
          <w:b/>
          <w:bCs/>
          <w:snapToGrid w:val="0"/>
          <w:color w:val="000000"/>
          <w:sz w:val="24"/>
          <w:szCs w:val="24"/>
          <w:u w:val="single"/>
        </w:rPr>
      </w:pPr>
      <w:r>
        <w:rPr>
          <w:rFonts w:eastAsia="宋体"/>
          <w:b/>
          <w:bCs/>
          <w:snapToGrid w:val="0"/>
          <w:color w:val="000000"/>
          <w:sz w:val="24"/>
          <w:szCs w:val="24"/>
          <w:u w:val="single"/>
        </w:rPr>
        <w:t>是否建议进行获益-风险评估？</w:t>
      </w:r>
    </w:p>
    <w:p>
      <w:pPr>
        <w:snapToGrid w:val="0"/>
        <w:jc w:val="both"/>
        <w:rPr>
          <w:rFonts w:eastAsia="宋体"/>
          <w:snapToGrid w:val="0"/>
          <w:sz w:val="24"/>
          <w:szCs w:val="24"/>
        </w:rPr>
      </w:pPr>
    </w:p>
    <w:p>
      <w:pPr>
        <w:snapToGrid w:val="0"/>
        <w:ind w:firstLine="480" w:firstLineChars="200"/>
        <w:jc w:val="both"/>
        <w:rPr>
          <w:rFonts w:eastAsia="宋体"/>
          <w:snapToGrid w:val="0"/>
          <w:color w:val="000000"/>
          <w:sz w:val="24"/>
          <w:szCs w:val="24"/>
        </w:rPr>
      </w:pPr>
      <w:bookmarkStart w:id="87" w:name="bookmark41"/>
      <w:r>
        <w:rPr>
          <w:rFonts w:eastAsia="宋体"/>
          <w:snapToGrid w:val="0"/>
          <w:color w:val="000000"/>
          <w:sz w:val="24"/>
          <w:szCs w:val="24"/>
        </w:rPr>
        <w:t>否</w:t>
      </w:r>
      <w:bookmarkEnd w:id="87"/>
      <w:r>
        <w:rPr>
          <w:rFonts w:eastAsia="宋体"/>
          <w:snapToGrid w:val="0"/>
          <w:color w:val="000000"/>
          <w:sz w:val="24"/>
          <w:szCs w:val="24"/>
        </w:rPr>
        <w:t>。不建议进行获益-风险评估，因为风险增加，获益减少。在这些情况下，FDA通常会确定新器械与同品种器械为NSE。</w:t>
      </w:r>
    </w:p>
    <w:p>
      <w:pPr>
        <w:snapToGrid w:val="0"/>
        <w:ind w:firstLine="480" w:firstLineChars="200"/>
        <w:jc w:val="both"/>
        <w:rPr>
          <w:rFonts w:eastAsia="宋体"/>
          <w:snapToGrid w:val="0"/>
          <w:sz w:val="24"/>
          <w:szCs w:val="24"/>
        </w:rPr>
      </w:pPr>
    </w:p>
    <w:p>
      <w:pPr>
        <w:pStyle w:val="3"/>
        <w:spacing w:beforeLines="0" w:afterLines="0"/>
        <w:ind w:left="1193" w:hanging="563"/>
        <w:rPr>
          <w:rFonts w:eastAsia="宋体"/>
          <w:snapToGrid w:val="0"/>
          <w:sz w:val="28"/>
          <w:szCs w:val="28"/>
        </w:rPr>
      </w:pPr>
      <w:bookmarkStart w:id="88" w:name="_Toc98779768"/>
      <w:bookmarkStart w:id="89" w:name="_Toc97472548"/>
      <w:r>
        <w:rPr>
          <w:sz w:val="28"/>
        </w:rPr>
        <w:t>F.</w:t>
      </w:r>
      <w:r>
        <w:rPr>
          <w:sz w:val="28"/>
        </w:rPr>
        <w:tab/>
      </w:r>
      <w:r>
        <w:rPr>
          <w:rFonts w:hint="eastAsia"/>
          <w:sz w:val="28"/>
        </w:rPr>
        <w:t>示例</w:t>
      </w:r>
      <w:r>
        <w:rPr>
          <w:sz w:val="28"/>
        </w:rPr>
        <w:t>6</w:t>
      </w:r>
      <w:r>
        <w:rPr>
          <w:rFonts w:hint="eastAsia" w:eastAsia="宋体"/>
          <w:snapToGrid w:val="0"/>
          <w:sz w:val="28"/>
          <w:szCs w:val="28"/>
        </w:rPr>
        <w:t>：</w:t>
      </w:r>
      <w:r>
        <w:rPr>
          <w:rFonts w:hint="eastAsia"/>
          <w:sz w:val="28"/>
        </w:rPr>
        <w:t>比较试验产生</w:t>
      </w:r>
      <w:r>
        <w:rPr>
          <w:rFonts w:eastAsia="宋体"/>
          <w:snapToGrid w:val="0"/>
          <w:sz w:val="28"/>
          <w:szCs w:val="28"/>
        </w:rPr>
        <w:t>差异较大</w:t>
      </w:r>
      <w:r>
        <w:rPr>
          <w:rFonts w:hint="eastAsia"/>
          <w:sz w:val="28"/>
        </w:rPr>
        <w:t>的结果</w:t>
      </w:r>
      <w:bookmarkEnd w:id="88"/>
      <w:bookmarkEnd w:id="89"/>
    </w:p>
    <w:p>
      <w:pPr>
        <w:snapToGrid w:val="0"/>
        <w:jc w:val="both"/>
        <w:rPr>
          <w:color w:val="000000"/>
          <w:sz w:val="24"/>
        </w:rPr>
      </w:pPr>
    </w:p>
    <w:p>
      <w:pPr>
        <w:snapToGrid w:val="0"/>
        <w:jc w:val="both"/>
        <w:rPr>
          <w:rFonts w:eastAsia="宋体"/>
          <w:snapToGrid w:val="0"/>
          <w:color w:val="000000"/>
          <w:sz w:val="24"/>
          <w:szCs w:val="24"/>
        </w:rPr>
      </w:pPr>
      <w:r>
        <w:rPr>
          <w:rFonts w:eastAsia="宋体"/>
          <w:b/>
          <w:bCs/>
          <w:snapToGrid w:val="0"/>
          <w:color w:val="000000"/>
          <w:sz w:val="24"/>
          <w:szCs w:val="24"/>
        </w:rPr>
        <w:t>场景：</w:t>
      </w:r>
      <w:r>
        <w:rPr>
          <w:rFonts w:eastAsia="宋体"/>
          <w:snapToGrid w:val="0"/>
          <w:color w:val="000000"/>
          <w:sz w:val="24"/>
          <w:szCs w:val="24"/>
        </w:rPr>
        <w:t>一种用于测量凝血酶原时间（PT）国际正常化比率（INR）和凝血因子水平的新试验的制造商通过重组DNA技术生产一种关键试剂，而不是作为动物组织的多成分浸提物。对于PT延长的样品，与同品种器械的结果相比，新检测的PT结果显示出正偏差。两台器械的INR结果在整个测量范围内有较好的一致性，但包括少数INR明显升高的样品。对纤维蛋白原和凝血因子II、V、VII和X的校准检测显示，新器械和同品种器械之间有很强的相关性，尽管新器械在低因子水平下形成血块所需的时间比同品种器械长。精密度和日间/批间研究表明，新器械的结果比同品种器械的结果更具有可重复性。对已知的PT干扰物在生理相关浓度下的研究显示，对新测定的结果没有意外影响。对PT器械的最近上市后医疗器械报告（MDR）的审评显示，结合（不同的）重组DNA试剂的先前唯一获准PT产品受到了一种抗菌药物的干扰，而这种药物以前并没有与PT干扰有关。干扰机制（涉及重组试剂和另一个化学定义的检测成分）是明确的。实验研究表明，与MDRs相关的抗菌药物或目前上市的该类抗菌药物对新产品没有干扰。</w:t>
      </w:r>
    </w:p>
    <w:p>
      <w:pPr>
        <w:snapToGrid w:val="0"/>
        <w:jc w:val="both"/>
        <w:rPr>
          <w:rFonts w:eastAsia="宋体"/>
          <w:snapToGrid w:val="0"/>
          <w:sz w:val="24"/>
          <w:szCs w:val="24"/>
        </w:rPr>
      </w:pPr>
    </w:p>
    <w:p>
      <w:pPr>
        <w:snapToGrid w:val="0"/>
        <w:jc w:val="both"/>
        <w:rPr>
          <w:rFonts w:eastAsia="宋体"/>
          <w:b/>
          <w:bCs/>
          <w:snapToGrid w:val="0"/>
          <w:color w:val="000000"/>
          <w:sz w:val="24"/>
          <w:szCs w:val="24"/>
          <w:u w:val="single"/>
        </w:rPr>
      </w:pPr>
      <w:r>
        <w:rPr>
          <w:rFonts w:eastAsia="宋体"/>
          <w:b/>
          <w:bCs/>
          <w:snapToGrid w:val="0"/>
          <w:color w:val="000000"/>
          <w:sz w:val="24"/>
          <w:szCs w:val="24"/>
          <w:u w:val="single"/>
        </w:rPr>
        <w:t>是否建议进行获益-风险评估？</w:t>
      </w:r>
    </w:p>
    <w:p>
      <w:pPr>
        <w:snapToGrid w:val="0"/>
        <w:jc w:val="both"/>
        <w:rPr>
          <w:rFonts w:eastAsia="宋体"/>
          <w:snapToGrid w:val="0"/>
          <w:sz w:val="24"/>
          <w:szCs w:val="24"/>
        </w:rPr>
      </w:pPr>
    </w:p>
    <w:p>
      <w:pPr>
        <w:snapToGrid w:val="0"/>
        <w:ind w:firstLine="480" w:firstLineChars="200"/>
        <w:jc w:val="both"/>
        <w:rPr>
          <w:rFonts w:eastAsia="宋体"/>
          <w:snapToGrid w:val="0"/>
          <w:sz w:val="24"/>
          <w:szCs w:val="24"/>
        </w:rPr>
      </w:pPr>
      <w:r>
        <w:rPr>
          <w:rFonts w:eastAsia="宋体"/>
          <w:snapToGrid w:val="0"/>
          <w:color w:val="000000"/>
          <w:sz w:val="24"/>
          <w:szCs w:val="24"/>
        </w:rPr>
        <w:t>否。不建议进行受益风险评估，因为风险等同的情况，获益增加。在这些情况下，FDA通常会确定新器械与同品种器械为SE。</w:t>
      </w:r>
    </w:p>
    <w:p>
      <w:pPr>
        <w:snapToGrid w:val="0"/>
        <w:jc w:val="both"/>
        <w:rPr>
          <w:rFonts w:eastAsia="宋体"/>
          <w:snapToGrid w:val="0"/>
          <w:sz w:val="24"/>
          <w:szCs w:val="24"/>
        </w:rPr>
      </w:pPr>
    </w:p>
    <w:p>
      <w:pPr>
        <w:snapToGrid w:val="0"/>
        <w:jc w:val="both"/>
        <w:rPr>
          <w:rFonts w:eastAsia="宋体"/>
          <w:snapToGrid w:val="0"/>
          <w:sz w:val="24"/>
          <w:szCs w:val="24"/>
        </w:rPr>
      </w:pPr>
    </w:p>
    <w:sectPr>
      <w:pgSz w:w="11906" w:h="16838"/>
      <w:pgMar w:top="1134" w:right="1134" w:bottom="1134" w:left="1418" w:header="567" w:footer="567" w:gutter="0"/>
      <w:cols w:space="6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962F6603-4C90-4A41-928C-500F3FAE261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25</w:t>
    </w:r>
    <w:r>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6">
    <w:p>
      <w:r>
        <w:separator/>
      </w:r>
    </w:p>
  </w:footnote>
  <w:footnote w:type="continuationSeparator" w:id="37">
    <w:p>
      <w:r>
        <w:continuationSeparator/>
      </w:r>
    </w:p>
  </w:footnote>
  <w:footnote w:id="0">
    <w:p>
      <w:pPr>
        <w:pStyle w:val="11"/>
        <w:jc w:val="both"/>
        <w:rPr>
          <w:sz w:val="21"/>
        </w:rPr>
      </w:pPr>
      <w:r>
        <w:rPr>
          <w:rStyle w:val="18"/>
          <w:sz w:val="21"/>
        </w:rPr>
        <w:footnoteRef/>
      </w:r>
      <w:r>
        <w:rPr>
          <w:sz w:val="21"/>
        </w:rPr>
        <w:t xml:space="preserve"> </w:t>
      </w:r>
      <w:r>
        <w:rPr>
          <w:rFonts w:hint="eastAsia"/>
          <w:color w:val="000000"/>
          <w:sz w:val="21"/>
        </w:rPr>
        <w:t>在本指南中，</w:t>
      </w:r>
      <w:r>
        <w:rPr>
          <w:rFonts w:ascii="宋体" w:hAnsi="宋体"/>
          <w:color w:val="000000"/>
          <w:sz w:val="21"/>
        </w:rPr>
        <w:t>“</w:t>
      </w:r>
      <w:r>
        <w:rPr>
          <w:color w:val="000000"/>
          <w:sz w:val="21"/>
        </w:rPr>
        <w:t>SE</w:t>
      </w:r>
      <w:r>
        <w:rPr>
          <w:rFonts w:ascii="宋体" w:hAnsi="宋体"/>
          <w:color w:val="000000"/>
          <w:sz w:val="21"/>
        </w:rPr>
        <w:t>”</w:t>
      </w:r>
      <w:r>
        <w:rPr>
          <w:rFonts w:hint="eastAsia"/>
          <w:color w:val="000000"/>
          <w:sz w:val="21"/>
        </w:rPr>
        <w:t>也指</w:t>
      </w:r>
      <w:r>
        <w:rPr>
          <w:rFonts w:ascii="宋体" w:hAnsi="宋体"/>
          <w:color w:val="000000"/>
          <w:sz w:val="21"/>
        </w:rPr>
        <w:t>“</w:t>
      </w:r>
      <w:r>
        <w:rPr>
          <w:rFonts w:ascii="Times New Roman" w:hAnsi="Times New Roman"/>
          <w:color w:val="000000"/>
          <w:sz w:val="21"/>
        </w:rPr>
        <w:t>实质等效性</w:t>
      </w:r>
      <w:r>
        <w:rPr>
          <w:rFonts w:ascii="宋体" w:hAnsi="宋体"/>
          <w:color w:val="000000"/>
          <w:sz w:val="21"/>
        </w:rPr>
        <w:t>”</w:t>
      </w:r>
      <w:r>
        <w:rPr>
          <w:rFonts w:hint="eastAsia"/>
          <w:color w:val="000000"/>
          <w:sz w:val="21"/>
        </w:rPr>
        <w:t>。</w:t>
      </w:r>
    </w:p>
  </w:footnote>
  <w:footnote w:id="1">
    <w:p>
      <w:pPr>
        <w:pStyle w:val="11"/>
        <w:jc w:val="both"/>
        <w:rPr>
          <w:sz w:val="21"/>
        </w:rPr>
      </w:pPr>
      <w:r>
        <w:rPr>
          <w:rStyle w:val="18"/>
          <w:sz w:val="21"/>
        </w:rPr>
        <w:footnoteRef/>
      </w:r>
      <w:r>
        <w:rPr>
          <w:sz w:val="21"/>
        </w:rPr>
        <w:t xml:space="preserve"> </w:t>
      </w:r>
      <w:r>
        <w:rPr>
          <w:rFonts w:eastAsia="宋体"/>
          <w:sz w:val="21"/>
          <w:szCs w:val="21"/>
        </w:rPr>
        <w:t>参</w:t>
      </w:r>
      <w:r>
        <w:rPr>
          <w:rFonts w:eastAsia="宋体"/>
          <w:color w:val="000000"/>
          <w:sz w:val="21"/>
          <w:szCs w:val="21"/>
        </w:rPr>
        <w:t>见《联邦食品药品和化妆品法案》（</w:t>
      </w:r>
      <w:r>
        <w:rPr>
          <w:rFonts w:ascii="宋体" w:hAnsi="宋体" w:eastAsia="宋体"/>
          <w:color w:val="000000"/>
          <w:sz w:val="21"/>
          <w:szCs w:val="21"/>
        </w:rPr>
        <w:t>“</w:t>
      </w:r>
      <w:r>
        <w:rPr>
          <w:rFonts w:eastAsia="宋体"/>
          <w:color w:val="000000"/>
          <w:sz w:val="21"/>
          <w:szCs w:val="21"/>
        </w:rPr>
        <w:t>《</w:t>
      </w:r>
      <w:r>
        <w:rPr>
          <w:color w:val="000000"/>
          <w:sz w:val="21"/>
        </w:rPr>
        <w:t>FD&amp;C</w:t>
      </w:r>
      <w:r>
        <w:rPr>
          <w:rFonts w:hint="eastAsia"/>
          <w:color w:val="000000"/>
          <w:sz w:val="21"/>
        </w:rPr>
        <w:t>法案》</w:t>
      </w:r>
      <w:r>
        <w:rPr>
          <w:rFonts w:ascii="宋体" w:hAnsi="宋体"/>
          <w:color w:val="000000"/>
          <w:sz w:val="21"/>
        </w:rPr>
        <w:t>”</w:t>
      </w:r>
      <w:r>
        <w:rPr>
          <w:rFonts w:hint="eastAsia"/>
          <w:color w:val="000000"/>
          <w:sz w:val="21"/>
        </w:rPr>
        <w:t>）第</w:t>
      </w:r>
      <w:r>
        <w:rPr>
          <w:color w:val="000000"/>
          <w:sz w:val="21"/>
        </w:rPr>
        <w:t>513</w:t>
      </w:r>
      <w:r>
        <w:rPr>
          <w:rFonts w:hint="eastAsia"/>
          <w:color w:val="000000"/>
          <w:sz w:val="21"/>
        </w:rPr>
        <w:t>（</w:t>
      </w:r>
      <w:r>
        <w:rPr>
          <w:color w:val="000000"/>
          <w:sz w:val="21"/>
        </w:rPr>
        <w:t>i</w:t>
      </w:r>
      <w:r>
        <w:rPr>
          <w:rFonts w:hint="eastAsia"/>
          <w:color w:val="000000"/>
          <w:sz w:val="21"/>
        </w:rPr>
        <w:t>）条（</w:t>
      </w:r>
      <w:r>
        <w:rPr>
          <w:color w:val="000000"/>
          <w:sz w:val="21"/>
        </w:rPr>
        <w:t>21 U.S.C. § 360c</w:t>
      </w:r>
      <w:r>
        <w:rPr>
          <w:rFonts w:hint="eastAsia"/>
          <w:color w:val="000000"/>
          <w:sz w:val="21"/>
        </w:rPr>
        <w:t>（</w:t>
      </w:r>
      <w:r>
        <w:rPr>
          <w:color w:val="000000"/>
          <w:sz w:val="21"/>
        </w:rPr>
        <w:t>i</w:t>
      </w:r>
      <w:r>
        <w:rPr>
          <w:rFonts w:hint="eastAsia"/>
          <w:color w:val="000000"/>
          <w:sz w:val="21"/>
        </w:rPr>
        <w:t>））。</w:t>
      </w:r>
    </w:p>
  </w:footnote>
  <w:footnote w:id="2">
    <w:p>
      <w:pPr>
        <w:pStyle w:val="11"/>
        <w:jc w:val="both"/>
        <w:rPr>
          <w:sz w:val="21"/>
        </w:rPr>
      </w:pPr>
      <w:r>
        <w:rPr>
          <w:rStyle w:val="18"/>
          <w:sz w:val="21"/>
        </w:rPr>
        <w:footnoteRef/>
      </w:r>
      <w:r>
        <w:rPr>
          <w:rFonts w:eastAsia="宋体"/>
          <w:sz w:val="21"/>
          <w:szCs w:val="21"/>
        </w:rPr>
        <w:t xml:space="preserve"> </w:t>
      </w:r>
      <w:r>
        <w:rPr>
          <w:rFonts w:eastAsia="宋体"/>
          <w:color w:val="0000FF"/>
          <w:sz w:val="21"/>
          <w:szCs w:val="21"/>
          <w:u w:val="single"/>
        </w:rPr>
        <w:fldChar w:fldCharType="begin"/>
      </w:r>
      <w:r>
        <w:rPr>
          <w:rFonts w:eastAsia="宋体"/>
          <w:color w:val="0000FF"/>
          <w:sz w:val="21"/>
          <w:szCs w:val="21"/>
          <w:u w:val="single"/>
        </w:rPr>
        <w:instrText xml:space="preserve"> HYPERLINK "https://www.fda.gov/MedicalDevices/DeviceRegulationandGuidance/GuidanceDocuments/UCM284443" </w:instrText>
      </w:r>
      <w:r>
        <w:rPr>
          <w:rFonts w:eastAsia="宋体"/>
          <w:color w:val="0000FF"/>
          <w:sz w:val="21"/>
          <w:szCs w:val="21"/>
          <w:u w:val="single"/>
        </w:rPr>
        <w:fldChar w:fldCharType="separate"/>
      </w:r>
      <w:r>
        <w:rPr>
          <w:rStyle w:val="16"/>
          <w:rFonts w:eastAsia="宋体"/>
          <w:color w:val="0000FF"/>
          <w:sz w:val="21"/>
          <w:szCs w:val="21"/>
        </w:rPr>
        <w:t>https://www.fda.gov/MedicalDevices/DeviceRegulationandGuidance/GuidanceDocuments/UCM284443</w:t>
      </w:r>
      <w:r>
        <w:rPr>
          <w:rFonts w:eastAsia="宋体"/>
          <w:color w:val="0000FF"/>
          <w:sz w:val="21"/>
          <w:szCs w:val="21"/>
          <w:u w:val="single"/>
        </w:rPr>
        <w:fldChar w:fldCharType="end"/>
      </w:r>
      <w:r>
        <w:rPr>
          <w:rFonts w:hint="eastAsia" w:eastAsia="宋体"/>
          <w:color w:val="000000"/>
          <w:sz w:val="21"/>
          <w:szCs w:val="21"/>
        </w:rPr>
        <w:t>。</w:t>
      </w:r>
    </w:p>
  </w:footnote>
  <w:footnote w:id="3">
    <w:p>
      <w:pPr>
        <w:tabs>
          <w:tab w:val="left" w:pos="115"/>
        </w:tabs>
        <w:wordWrap w:val="0"/>
        <w:snapToGrid w:val="0"/>
        <w:jc w:val="both"/>
        <w:rPr>
          <w:sz w:val="21"/>
        </w:rPr>
      </w:pPr>
      <w:r>
        <w:rPr>
          <w:rStyle w:val="18"/>
          <w:rFonts w:eastAsia="宋体"/>
          <w:sz w:val="21"/>
          <w:szCs w:val="21"/>
        </w:rPr>
        <w:footnoteRef/>
      </w:r>
      <w:r>
        <w:rPr>
          <w:rFonts w:eastAsia="宋体"/>
          <w:sz w:val="21"/>
          <w:szCs w:val="21"/>
        </w:rPr>
        <w:t xml:space="preserve"> 参</w:t>
      </w:r>
      <w:r>
        <w:rPr>
          <w:rFonts w:eastAsia="宋体"/>
          <w:color w:val="000000"/>
          <w:sz w:val="21"/>
          <w:szCs w:val="21"/>
        </w:rPr>
        <w:t>见《修订前状况》，访问网址</w:t>
      </w:r>
      <w:bookmarkStart w:id="90" w:name="bookmark4"/>
      <w:r>
        <w:rPr>
          <w:rFonts w:eastAsia="宋体"/>
          <w:color w:val="0000FF"/>
          <w:sz w:val="21"/>
          <w:szCs w:val="21"/>
        </w:rPr>
        <w:fldChar w:fldCharType="begin"/>
      </w:r>
      <w:r>
        <w:rPr>
          <w:rFonts w:eastAsia="宋体"/>
          <w:color w:val="0000FF"/>
          <w:sz w:val="21"/>
          <w:szCs w:val="21"/>
        </w:rPr>
        <w:instrText xml:space="preserve"> HYPERLINK "https://www.fda.gov/MedicalDevices/DeviceRegulationandGuidance/MedicalDeviceQualityandCompliance/ucm379552.htm" </w:instrText>
      </w:r>
      <w:r>
        <w:rPr>
          <w:rFonts w:eastAsia="宋体"/>
          <w:color w:val="0000FF"/>
          <w:sz w:val="21"/>
          <w:szCs w:val="21"/>
        </w:rPr>
        <w:fldChar w:fldCharType="separate"/>
      </w:r>
      <w:r>
        <w:rPr>
          <w:rStyle w:val="16"/>
          <w:rFonts w:eastAsia="宋体"/>
          <w:color w:val="0000FF"/>
          <w:sz w:val="21"/>
          <w:szCs w:val="21"/>
        </w:rPr>
        <w:t>https://www.fda.gov/MedicalDevices/DeviceRegulationandGuidance/MedicalDeviceQualityandCompliance/ucm379552.htm</w:t>
      </w:r>
      <w:bookmarkEnd w:id="90"/>
      <w:r>
        <w:rPr>
          <w:rFonts w:eastAsia="宋体"/>
          <w:color w:val="0000FF"/>
          <w:sz w:val="21"/>
          <w:szCs w:val="21"/>
        </w:rPr>
        <w:fldChar w:fldCharType="end"/>
      </w:r>
      <w:r>
        <w:rPr>
          <w:rFonts w:hint="eastAsia" w:eastAsia="宋体"/>
          <w:color w:val="000000"/>
          <w:sz w:val="21"/>
          <w:szCs w:val="21"/>
        </w:rPr>
        <w:t>。</w:t>
      </w:r>
    </w:p>
  </w:footnote>
  <w:footnote w:id="4">
    <w:p>
      <w:pPr>
        <w:pStyle w:val="11"/>
        <w:jc w:val="both"/>
        <w:rPr>
          <w:sz w:val="21"/>
        </w:rPr>
      </w:pPr>
      <w:r>
        <w:rPr>
          <w:rStyle w:val="18"/>
          <w:sz w:val="21"/>
        </w:rPr>
        <w:footnoteRef/>
      </w:r>
      <w:r>
        <w:rPr>
          <w:sz w:val="21"/>
        </w:rPr>
        <w:t xml:space="preserve"> </w:t>
      </w:r>
      <w:r>
        <w:rPr>
          <w:rFonts w:hint="eastAsia"/>
          <w:color w:val="000000"/>
          <w:sz w:val="21"/>
        </w:rPr>
        <w:t>《</w:t>
      </w:r>
      <w:r>
        <w:rPr>
          <w:color w:val="000000"/>
          <w:sz w:val="21"/>
        </w:rPr>
        <w:t>FD&amp;C</w:t>
      </w:r>
      <w:r>
        <w:rPr>
          <w:rFonts w:hint="eastAsia"/>
          <w:color w:val="000000"/>
          <w:sz w:val="21"/>
        </w:rPr>
        <w:t>法案》第</w:t>
      </w:r>
      <w:r>
        <w:rPr>
          <w:color w:val="000000"/>
          <w:sz w:val="21"/>
        </w:rPr>
        <w:t>513</w:t>
      </w:r>
      <w:r>
        <w:rPr>
          <w:rFonts w:hint="eastAsia"/>
          <w:color w:val="000000"/>
          <w:sz w:val="21"/>
        </w:rPr>
        <w:t>条（</w:t>
      </w:r>
      <w:r>
        <w:rPr>
          <w:color w:val="000000"/>
          <w:sz w:val="21"/>
        </w:rPr>
        <w:t>21 U.S.C. § 360c</w:t>
      </w:r>
      <w:r>
        <w:rPr>
          <w:rFonts w:hint="eastAsia"/>
          <w:color w:val="000000"/>
          <w:sz w:val="21"/>
        </w:rPr>
        <w:t>）规定了三个设备类别（</w:t>
      </w:r>
      <w:r>
        <w:rPr>
          <w:color w:val="000000"/>
          <w:sz w:val="21"/>
        </w:rPr>
        <w:t>I</w:t>
      </w:r>
      <w:r>
        <w:rPr>
          <w:rFonts w:hint="eastAsia"/>
          <w:color w:val="000000"/>
          <w:sz w:val="21"/>
        </w:rPr>
        <w:t>类、</w:t>
      </w:r>
      <w:r>
        <w:rPr>
          <w:color w:val="000000"/>
          <w:sz w:val="21"/>
        </w:rPr>
        <w:t>II</w:t>
      </w:r>
      <w:r>
        <w:rPr>
          <w:rFonts w:hint="eastAsia"/>
          <w:color w:val="000000"/>
          <w:sz w:val="21"/>
        </w:rPr>
        <w:t>类和</w:t>
      </w:r>
      <w:r>
        <w:rPr>
          <w:color w:val="000000"/>
          <w:sz w:val="21"/>
        </w:rPr>
        <w:t>III</w:t>
      </w:r>
      <w:r>
        <w:rPr>
          <w:rFonts w:hint="eastAsia"/>
          <w:color w:val="000000"/>
          <w:sz w:val="21"/>
        </w:rPr>
        <w:t>类），并规定了设备重新分类程序。</w:t>
      </w:r>
    </w:p>
  </w:footnote>
  <w:footnote w:id="5">
    <w:p>
      <w:pPr>
        <w:snapToGrid w:val="0"/>
        <w:jc w:val="both"/>
        <w:rPr>
          <w:color w:val="000000"/>
          <w:sz w:val="21"/>
        </w:rPr>
      </w:pPr>
      <w:r>
        <w:rPr>
          <w:rStyle w:val="18"/>
          <w:sz w:val="21"/>
        </w:rPr>
        <w:footnoteRef/>
      </w:r>
      <w:r>
        <w:rPr>
          <w:sz w:val="21"/>
        </w:rPr>
        <w:t xml:space="preserve"> </w:t>
      </w:r>
      <w:r>
        <w:rPr>
          <w:color w:val="000000"/>
          <w:sz w:val="21"/>
        </w:rPr>
        <w:t>21 CFR 860.7</w:t>
      </w:r>
      <w:r>
        <w:rPr>
          <w:rFonts w:hint="eastAsia"/>
          <w:color w:val="000000"/>
          <w:sz w:val="21"/>
        </w:rPr>
        <w:t>中规定了确定器械安全性和有效性的标准。（</w:t>
      </w:r>
      <w:r>
        <w:rPr>
          <w:color w:val="000000"/>
          <w:sz w:val="21"/>
        </w:rPr>
        <w:t>b</w:t>
      </w:r>
      <w:r>
        <w:rPr>
          <w:rFonts w:hint="eastAsia"/>
          <w:color w:val="000000"/>
          <w:sz w:val="21"/>
        </w:rPr>
        <w:t>）小节指出</w:t>
      </w:r>
      <w:r>
        <w:rPr>
          <w:rFonts w:eastAsia="宋体"/>
          <w:color w:val="000000"/>
          <w:sz w:val="21"/>
          <w:szCs w:val="21"/>
        </w:rPr>
        <w:t>，</w:t>
      </w:r>
      <w:r>
        <w:rPr>
          <w:rFonts w:ascii="宋体" w:hAnsi="宋体" w:eastAsia="宋体"/>
          <w:color w:val="000000"/>
          <w:sz w:val="21"/>
          <w:szCs w:val="21"/>
        </w:rPr>
        <w:t>“</w:t>
      </w:r>
      <w:r>
        <w:rPr>
          <w:rFonts w:hint="eastAsia"/>
          <w:color w:val="000000"/>
          <w:sz w:val="21"/>
        </w:rPr>
        <w:t>除其他相关因素外，还有以下因素</w:t>
      </w:r>
      <w:r>
        <w:rPr>
          <w:color w:val="000000"/>
          <w:sz w:val="21"/>
        </w:rPr>
        <w:t>......</w:t>
      </w:r>
      <w:r>
        <w:rPr>
          <w:rFonts w:hint="eastAsia"/>
          <w:color w:val="000000"/>
          <w:sz w:val="21"/>
        </w:rPr>
        <w:t>（</w:t>
      </w:r>
      <w:r>
        <w:rPr>
          <w:color w:val="000000"/>
          <w:sz w:val="21"/>
        </w:rPr>
        <w:t>3</w:t>
      </w:r>
      <w:r>
        <w:rPr>
          <w:rFonts w:hint="eastAsia"/>
          <w:color w:val="000000"/>
          <w:sz w:val="21"/>
        </w:rPr>
        <w:t>）使用该器械可能带来的健康获益与使用该器械可能带来的伤害或疾病相权衡。</w:t>
      </w:r>
      <w:r>
        <w:rPr>
          <w:rFonts w:ascii="宋体" w:hAnsi="宋体"/>
          <w:color w:val="000000"/>
          <w:sz w:val="21"/>
        </w:rPr>
        <w:t>”</w:t>
      </w:r>
      <w:r>
        <w:rPr>
          <w:rFonts w:hint="eastAsia"/>
          <w:color w:val="000000"/>
          <w:sz w:val="21"/>
        </w:rPr>
        <w:t>（</w:t>
      </w:r>
      <w:r>
        <w:rPr>
          <w:color w:val="000000"/>
          <w:sz w:val="21"/>
        </w:rPr>
        <w:t>21 CFR 860.7</w:t>
      </w:r>
      <w:r>
        <w:rPr>
          <w:rFonts w:hint="eastAsia"/>
          <w:color w:val="000000"/>
          <w:sz w:val="21"/>
        </w:rPr>
        <w:t>（</w:t>
      </w:r>
      <w:r>
        <w:rPr>
          <w:color w:val="000000"/>
          <w:sz w:val="21"/>
        </w:rPr>
        <w:t>b</w:t>
      </w:r>
      <w:r>
        <w:rPr>
          <w:rFonts w:hint="eastAsia"/>
          <w:color w:val="000000"/>
          <w:sz w:val="21"/>
        </w:rPr>
        <w:t>））。</w:t>
      </w:r>
      <w:bookmarkStart w:id="91" w:name="bookmark7"/>
      <w:bookmarkEnd w:id="91"/>
      <w:r>
        <w:rPr>
          <w:rFonts w:hint="eastAsia"/>
          <w:color w:val="000000"/>
          <w:sz w:val="21"/>
        </w:rPr>
        <w:t>关于</w:t>
      </w:r>
      <w:r>
        <w:rPr>
          <w:color w:val="000000"/>
          <w:sz w:val="21"/>
        </w:rPr>
        <w:t>FDA</w:t>
      </w:r>
      <w:r>
        <w:rPr>
          <w:rFonts w:hint="eastAsia"/>
          <w:color w:val="000000"/>
          <w:sz w:val="21"/>
        </w:rPr>
        <w:t>安全有效性审查的其他信息，</w:t>
      </w:r>
      <w:r>
        <w:rPr>
          <w:rFonts w:eastAsia="宋体"/>
          <w:color w:val="000000"/>
          <w:sz w:val="21"/>
          <w:szCs w:val="21"/>
        </w:rPr>
        <w:t>参见</w:t>
      </w:r>
      <w:r>
        <w:rPr>
          <w:color w:val="000000"/>
          <w:sz w:val="21"/>
        </w:rPr>
        <w:t>21 CFR 860.7</w:t>
      </w:r>
      <w:r>
        <w:rPr>
          <w:rFonts w:hint="eastAsia"/>
          <w:color w:val="000000"/>
          <w:sz w:val="21"/>
        </w:rPr>
        <w:t>（</w:t>
      </w:r>
      <w:r>
        <w:rPr>
          <w:color w:val="000000"/>
          <w:sz w:val="21"/>
        </w:rPr>
        <w:t>d</w:t>
      </w:r>
      <w:r>
        <w:rPr>
          <w:rFonts w:hint="eastAsia"/>
          <w:color w:val="000000"/>
          <w:sz w:val="21"/>
        </w:rPr>
        <w:t>）和（</w:t>
      </w:r>
      <w:r>
        <w:rPr>
          <w:color w:val="000000"/>
          <w:sz w:val="21"/>
        </w:rPr>
        <w:t>e</w:t>
      </w:r>
      <w:r>
        <w:rPr>
          <w:rFonts w:hint="eastAsia"/>
          <w:color w:val="000000"/>
          <w:sz w:val="21"/>
        </w:rPr>
        <w:t>）。</w:t>
      </w:r>
    </w:p>
  </w:footnote>
  <w:footnote w:id="6">
    <w:p>
      <w:pPr>
        <w:pStyle w:val="11"/>
        <w:jc w:val="both"/>
        <w:rPr>
          <w:sz w:val="21"/>
        </w:rPr>
      </w:pPr>
      <w:r>
        <w:rPr>
          <w:rStyle w:val="18"/>
          <w:sz w:val="21"/>
        </w:rPr>
        <w:footnoteRef/>
      </w:r>
      <w:r>
        <w:rPr>
          <w:sz w:val="21"/>
        </w:rPr>
        <w:t xml:space="preserve"> </w:t>
      </w:r>
      <w:r>
        <w:rPr>
          <w:rFonts w:eastAsia="宋体"/>
          <w:sz w:val="21"/>
          <w:szCs w:val="21"/>
        </w:rPr>
        <w:t>参</w:t>
      </w:r>
      <w:r>
        <w:rPr>
          <w:rFonts w:eastAsia="宋体"/>
          <w:color w:val="000000"/>
          <w:sz w:val="21"/>
          <w:szCs w:val="21"/>
        </w:rPr>
        <w:t>见</w:t>
      </w:r>
      <w:r>
        <w:rPr>
          <w:color w:val="000000"/>
          <w:sz w:val="21"/>
        </w:rPr>
        <w:t>21 CFR 860.7</w:t>
      </w:r>
      <w:r>
        <w:rPr>
          <w:rFonts w:hint="eastAsia"/>
          <w:color w:val="000000"/>
          <w:sz w:val="21"/>
        </w:rPr>
        <w:t>（</w:t>
      </w:r>
      <w:r>
        <w:rPr>
          <w:color w:val="000000"/>
          <w:sz w:val="21"/>
        </w:rPr>
        <w:t>c</w:t>
      </w:r>
      <w:r>
        <w:rPr>
          <w:rFonts w:hint="eastAsia"/>
          <w:color w:val="000000"/>
          <w:sz w:val="21"/>
        </w:rPr>
        <w:t>）（</w:t>
      </w:r>
      <w:r>
        <w:rPr>
          <w:color w:val="000000"/>
          <w:sz w:val="21"/>
        </w:rPr>
        <w:t>2</w:t>
      </w:r>
      <w:r>
        <w:rPr>
          <w:rFonts w:hint="eastAsia"/>
          <w:color w:val="000000"/>
          <w:sz w:val="21"/>
        </w:rPr>
        <w:t>）。</w:t>
      </w:r>
    </w:p>
  </w:footnote>
  <w:footnote w:id="7">
    <w:p>
      <w:pPr>
        <w:pStyle w:val="11"/>
        <w:jc w:val="both"/>
        <w:rPr>
          <w:sz w:val="21"/>
        </w:rPr>
      </w:pPr>
      <w:r>
        <w:rPr>
          <w:rStyle w:val="18"/>
          <w:sz w:val="21"/>
        </w:rPr>
        <w:footnoteRef/>
      </w:r>
      <w:r>
        <w:rPr>
          <w:color w:val="000000"/>
          <w:sz w:val="21"/>
        </w:rPr>
        <w:t xml:space="preserve"> FDA</w:t>
      </w:r>
      <w:r>
        <w:rPr>
          <w:rFonts w:hint="eastAsia"/>
          <w:color w:val="000000"/>
          <w:sz w:val="21"/>
        </w:rPr>
        <w:t>支持</w:t>
      </w:r>
      <w:r>
        <w:rPr>
          <w:rFonts w:ascii="宋体" w:hAnsi="宋体"/>
          <w:color w:val="000000"/>
          <w:sz w:val="21"/>
        </w:rPr>
        <w:t>“</w:t>
      </w:r>
      <w:r>
        <w:rPr>
          <w:color w:val="000000"/>
          <w:sz w:val="21"/>
        </w:rPr>
        <w:t>3R</w:t>
      </w:r>
      <w:r>
        <w:rPr>
          <w:rFonts w:ascii="宋体" w:hAnsi="宋体"/>
          <w:color w:val="000000"/>
          <w:sz w:val="21"/>
        </w:rPr>
        <w:t>”</w:t>
      </w:r>
      <w:r>
        <w:rPr>
          <w:rFonts w:hint="eastAsia"/>
          <w:color w:val="000000"/>
          <w:sz w:val="21"/>
        </w:rPr>
        <w:t>原则，以在可行时减少、改善并替代使用动物进行试验。如果申办者希望使用他们认为合适、充分、经过验证和可行的非动物试验方法，我们鼓励</w:t>
      </w:r>
      <w:r>
        <w:rPr>
          <w:rFonts w:eastAsia="宋体"/>
          <w:color w:val="000000"/>
          <w:sz w:val="21"/>
          <w:szCs w:val="21"/>
        </w:rPr>
        <w:t>双方来进行</w:t>
      </w:r>
      <w:r>
        <w:rPr>
          <w:rFonts w:hint="eastAsia"/>
          <w:color w:val="000000"/>
          <w:sz w:val="21"/>
        </w:rPr>
        <w:t>协商。</w:t>
      </w:r>
      <w:r>
        <w:rPr>
          <w:rFonts w:eastAsia="宋体"/>
          <w:color w:val="000000"/>
          <w:sz w:val="21"/>
          <w:szCs w:val="21"/>
        </w:rPr>
        <w:t>我方</w:t>
      </w:r>
      <w:r>
        <w:rPr>
          <w:rFonts w:hint="eastAsia"/>
          <w:color w:val="000000"/>
          <w:sz w:val="21"/>
        </w:rPr>
        <w:t>将考虑是否可评估这种替代方法与动物试验方法的实质等效性。</w:t>
      </w:r>
    </w:p>
  </w:footnote>
  <w:footnote w:id="8">
    <w:p>
      <w:pPr>
        <w:pStyle w:val="11"/>
        <w:jc w:val="both"/>
        <w:rPr>
          <w:sz w:val="21"/>
        </w:rPr>
      </w:pPr>
      <w:r>
        <w:rPr>
          <w:rStyle w:val="18"/>
          <w:sz w:val="21"/>
        </w:rPr>
        <w:footnoteRef/>
      </w:r>
      <w:r>
        <w:rPr>
          <w:sz w:val="21"/>
        </w:rPr>
        <w:t xml:space="preserve"> </w:t>
      </w:r>
      <w:r>
        <w:rPr>
          <w:rFonts w:eastAsia="宋体"/>
          <w:sz w:val="21"/>
          <w:szCs w:val="21"/>
        </w:rPr>
        <w:t>参</w:t>
      </w:r>
      <w:r>
        <w:rPr>
          <w:rFonts w:eastAsia="宋体"/>
          <w:color w:val="000000"/>
          <w:sz w:val="21"/>
          <w:szCs w:val="21"/>
        </w:rPr>
        <w:t>见</w:t>
      </w:r>
      <w:r>
        <w:rPr>
          <w:color w:val="000000"/>
          <w:sz w:val="21"/>
        </w:rPr>
        <w:t>21 CFR 860.7</w:t>
      </w:r>
      <w:r>
        <w:rPr>
          <w:rFonts w:hint="eastAsia"/>
          <w:color w:val="000000"/>
          <w:sz w:val="21"/>
        </w:rPr>
        <w:t>（</w:t>
      </w:r>
      <w:r>
        <w:rPr>
          <w:color w:val="000000"/>
          <w:sz w:val="21"/>
        </w:rPr>
        <w:t>c</w:t>
      </w:r>
      <w:r>
        <w:rPr>
          <w:rFonts w:hint="eastAsia"/>
          <w:color w:val="000000"/>
          <w:sz w:val="21"/>
        </w:rPr>
        <w:t>）（</w:t>
      </w:r>
      <w:r>
        <w:rPr>
          <w:color w:val="000000"/>
          <w:sz w:val="21"/>
        </w:rPr>
        <w:t>2</w:t>
      </w:r>
      <w:r>
        <w:rPr>
          <w:rFonts w:hint="eastAsia"/>
          <w:color w:val="000000"/>
          <w:sz w:val="21"/>
        </w:rPr>
        <w:t>）。</w:t>
      </w:r>
    </w:p>
  </w:footnote>
  <w:footnote w:id="9">
    <w:p>
      <w:pPr>
        <w:snapToGrid w:val="0"/>
        <w:jc w:val="both"/>
        <w:rPr>
          <w:sz w:val="21"/>
        </w:rPr>
      </w:pPr>
      <w:r>
        <w:rPr>
          <w:rStyle w:val="18"/>
          <w:sz w:val="21"/>
        </w:rPr>
        <w:footnoteRef/>
      </w:r>
      <w:r>
        <w:rPr>
          <w:sz w:val="21"/>
        </w:rPr>
        <w:t xml:space="preserve"> </w:t>
      </w:r>
      <w:r>
        <w:rPr>
          <w:rFonts w:ascii="宋体" w:hAnsi="宋体" w:eastAsia="宋体"/>
          <w:sz w:val="21"/>
          <w:szCs w:val="21"/>
        </w:rPr>
        <w:t>“</w:t>
      </w:r>
      <w:r>
        <w:rPr>
          <w:rFonts w:hint="eastAsia"/>
          <w:color w:val="000000"/>
          <w:sz w:val="21"/>
        </w:rPr>
        <w:t>预期用途一词指器械的一般目的或其功能，并包括使用的适应症。使用适应症一般描述将诊断、治疗、预防、治愈或减轻的疾病或病症，包括描述该器械所针对的患者人群。适应症包括器械的所有标记的患者用途。由于</w:t>
      </w:r>
      <w:r>
        <w:rPr>
          <w:rFonts w:eastAsia="宋体"/>
          <w:color w:val="000000"/>
          <w:sz w:val="21"/>
          <w:szCs w:val="21"/>
        </w:rPr>
        <w:t>其</w:t>
      </w:r>
      <w:r>
        <w:rPr>
          <w:rFonts w:hint="eastAsia"/>
          <w:color w:val="000000"/>
          <w:sz w:val="21"/>
        </w:rPr>
        <w:t>与医疗器械有关，使用适应症声明是确定器械预期用途的一个因素；但需要提交新的</w:t>
      </w:r>
      <w:r>
        <w:rPr>
          <w:color w:val="000000"/>
          <w:sz w:val="21"/>
        </w:rPr>
        <w:t>510</w:t>
      </w:r>
      <w:r>
        <w:rPr>
          <w:rFonts w:hint="eastAsia"/>
          <w:color w:val="000000"/>
          <w:sz w:val="21"/>
        </w:rPr>
        <w:t>（</w:t>
      </w:r>
      <w:r>
        <w:rPr>
          <w:color w:val="000000"/>
          <w:sz w:val="21"/>
        </w:rPr>
        <w:t>k</w:t>
      </w:r>
      <w:r>
        <w:rPr>
          <w:rFonts w:hint="eastAsia"/>
          <w:color w:val="000000"/>
          <w:sz w:val="21"/>
        </w:rPr>
        <w:t>）的使用适应症的变化并不一定意味着器械有新的预期用途（如根据《</w:t>
      </w:r>
      <w:r>
        <w:rPr>
          <w:color w:val="000000"/>
          <w:sz w:val="21"/>
        </w:rPr>
        <w:t>FD&amp;C</w:t>
      </w:r>
      <w:r>
        <w:rPr>
          <w:rFonts w:hint="eastAsia"/>
          <w:color w:val="000000"/>
          <w:sz w:val="21"/>
        </w:rPr>
        <w:t>法案》第</w:t>
      </w:r>
      <w:r>
        <w:rPr>
          <w:color w:val="000000"/>
          <w:sz w:val="21"/>
        </w:rPr>
        <w:t>513</w:t>
      </w:r>
      <w:r>
        <w:rPr>
          <w:rFonts w:hint="eastAsia"/>
          <w:color w:val="000000"/>
          <w:sz w:val="21"/>
        </w:rPr>
        <w:t>（</w:t>
      </w:r>
      <w:r>
        <w:rPr>
          <w:color w:val="000000"/>
          <w:sz w:val="21"/>
        </w:rPr>
        <w:t>i</w:t>
      </w:r>
      <w:r>
        <w:rPr>
          <w:rFonts w:hint="eastAsia"/>
          <w:color w:val="000000"/>
          <w:sz w:val="21"/>
        </w:rPr>
        <w:t>）条，该器械将不具有实质等同性</w:t>
      </w:r>
      <w:r>
        <w:rPr>
          <w:rFonts w:eastAsia="宋体"/>
          <w:color w:val="000000"/>
          <w:sz w:val="21"/>
          <w:szCs w:val="21"/>
        </w:rPr>
        <w:t>）。</w:t>
      </w:r>
      <w:r>
        <w:rPr>
          <w:rFonts w:ascii="宋体" w:hAnsi="宋体" w:eastAsia="宋体"/>
          <w:sz w:val="21"/>
          <w:szCs w:val="21"/>
        </w:rPr>
        <w:t>”</w:t>
      </w:r>
      <w:r>
        <w:rPr>
          <w:rFonts w:eastAsia="宋体"/>
          <w:sz w:val="21"/>
          <w:szCs w:val="21"/>
        </w:rPr>
        <w:t>参</w:t>
      </w:r>
      <w:r>
        <w:rPr>
          <w:rFonts w:eastAsia="宋体"/>
          <w:color w:val="000000"/>
          <w:sz w:val="21"/>
          <w:szCs w:val="21"/>
        </w:rPr>
        <w:t>见</w:t>
      </w:r>
      <w:r>
        <w:rPr>
          <w:color w:val="000000"/>
          <w:sz w:val="21"/>
        </w:rPr>
        <w:t>FDA</w:t>
      </w:r>
      <w:r>
        <w:rPr>
          <w:rFonts w:hint="eastAsia"/>
          <w:color w:val="000000"/>
          <w:sz w:val="21"/>
        </w:rPr>
        <w:t>指南</w:t>
      </w:r>
      <w:r>
        <w:rPr>
          <w:rFonts w:eastAsia="宋体"/>
          <w:color w:val="000000"/>
          <w:sz w:val="21"/>
          <w:szCs w:val="21"/>
        </w:rPr>
        <w:t>《决定何时提交510（k）对现有器械的变更》</w:t>
      </w:r>
    </w:p>
    <w:p>
      <w:pPr>
        <w:snapToGrid w:val="0"/>
        <w:jc w:val="both"/>
        <w:rPr>
          <w:sz w:val="21"/>
        </w:rPr>
      </w:pPr>
      <w:r>
        <w:rPr>
          <w:rFonts w:hint="eastAsia" w:eastAsia="宋体"/>
          <w:color w:val="000000"/>
          <w:sz w:val="21"/>
          <w:szCs w:val="21"/>
        </w:rPr>
        <w:t>（</w:t>
      </w:r>
      <w:r>
        <w:rPr>
          <w:rFonts w:eastAsia="宋体"/>
          <w:color w:val="0000FF"/>
          <w:sz w:val="21"/>
          <w:szCs w:val="21"/>
          <w:u w:val="single"/>
        </w:rPr>
        <w:fldChar w:fldCharType="begin"/>
      </w:r>
      <w:r>
        <w:rPr>
          <w:rFonts w:eastAsia="宋体"/>
          <w:color w:val="0000FF"/>
          <w:sz w:val="21"/>
          <w:szCs w:val="21"/>
          <w:u w:val="single"/>
        </w:rPr>
        <w:instrText xml:space="preserve"> HYPERLINK "https://www.fda.gov/MedicalDevices/DeviceRegulationandGuidance/GuidanceDocuments/UCM514737" </w:instrText>
      </w:r>
      <w:r>
        <w:rPr>
          <w:rFonts w:eastAsia="宋体"/>
          <w:color w:val="0000FF"/>
          <w:sz w:val="21"/>
          <w:szCs w:val="21"/>
          <w:u w:val="single"/>
        </w:rPr>
        <w:fldChar w:fldCharType="separate"/>
      </w:r>
      <w:r>
        <w:rPr>
          <w:rStyle w:val="16"/>
          <w:rFonts w:eastAsia="宋体"/>
          <w:color w:val="0000FF"/>
          <w:sz w:val="21"/>
          <w:szCs w:val="21"/>
        </w:rPr>
        <w:t>https://www.fda.gov/MedicalDevices/DeviceRegulationandGuidance/GuidanceDocuments/UCM514737</w:t>
      </w:r>
      <w:r>
        <w:rPr>
          <w:rFonts w:eastAsia="宋体"/>
          <w:color w:val="0000FF"/>
          <w:sz w:val="21"/>
          <w:szCs w:val="21"/>
          <w:u w:val="single"/>
        </w:rPr>
        <w:fldChar w:fldCharType="end"/>
      </w:r>
      <w:r>
        <w:rPr>
          <w:rFonts w:hint="eastAsia" w:eastAsia="宋体"/>
          <w:color w:val="000000"/>
          <w:sz w:val="21"/>
          <w:szCs w:val="21"/>
        </w:rPr>
        <w:t>）</w:t>
      </w:r>
      <w:r>
        <w:rPr>
          <w:rFonts w:eastAsia="宋体"/>
          <w:color w:val="000000"/>
          <w:sz w:val="21"/>
          <w:szCs w:val="21"/>
        </w:rPr>
        <w:t>（内部引用省略）。</w:t>
      </w:r>
    </w:p>
  </w:footnote>
  <w:footnote w:id="10">
    <w:p>
      <w:pPr>
        <w:pStyle w:val="11"/>
        <w:wordWrap w:val="0"/>
        <w:jc w:val="both"/>
        <w:rPr>
          <w:sz w:val="21"/>
        </w:rPr>
      </w:pPr>
      <w:r>
        <w:rPr>
          <w:rStyle w:val="18"/>
          <w:rFonts w:eastAsia="宋体"/>
          <w:sz w:val="21"/>
          <w:szCs w:val="21"/>
        </w:rPr>
        <w:footnoteRef/>
      </w:r>
      <w:r>
        <w:rPr>
          <w:rFonts w:eastAsia="宋体"/>
          <w:sz w:val="21"/>
          <w:szCs w:val="21"/>
        </w:rPr>
        <w:t xml:space="preserve"> </w:t>
      </w:r>
      <w:r>
        <w:rPr>
          <w:rFonts w:eastAsia="宋体"/>
          <w:color w:val="000000"/>
          <w:sz w:val="21"/>
          <w:szCs w:val="21"/>
        </w:rPr>
        <w:t>见FDA指南《医疗器械分类产品代码</w:t>
      </w:r>
      <w:r>
        <w:rPr>
          <w:rFonts w:hint="eastAsia" w:eastAsia="宋体"/>
          <w:color w:val="000000"/>
          <w:sz w:val="21"/>
          <w:szCs w:val="21"/>
        </w:rPr>
        <w:t>》（</w:t>
      </w:r>
      <w:r>
        <w:rPr>
          <w:rFonts w:eastAsia="宋体"/>
          <w:color w:val="0000FF"/>
          <w:sz w:val="21"/>
          <w:szCs w:val="21"/>
          <w:u w:val="single"/>
        </w:rPr>
        <w:fldChar w:fldCharType="begin"/>
      </w:r>
      <w:r>
        <w:rPr>
          <w:rFonts w:eastAsia="宋体"/>
          <w:color w:val="0000FF"/>
          <w:sz w:val="21"/>
          <w:szCs w:val="21"/>
          <w:u w:val="single"/>
        </w:rPr>
        <w:instrText xml:space="preserve"> HYPERLINK "https://www.fda.gov/MedicalDevices/DeviceRegulationandGuidance/GuidanceDocuments/ucm285317.htm" </w:instrText>
      </w:r>
      <w:r>
        <w:rPr>
          <w:rFonts w:eastAsia="宋体"/>
          <w:color w:val="0000FF"/>
          <w:sz w:val="21"/>
          <w:szCs w:val="21"/>
          <w:u w:val="single"/>
        </w:rPr>
        <w:fldChar w:fldCharType="separate"/>
      </w:r>
      <w:r>
        <w:rPr>
          <w:rStyle w:val="16"/>
          <w:rFonts w:eastAsia="宋体"/>
          <w:color w:val="0000FF"/>
          <w:sz w:val="21"/>
          <w:szCs w:val="21"/>
        </w:rPr>
        <w:t>https://www.fda.gov/MedicalDevices/DeviceRegulationandGuidance/GuidanceDocuments/ucm285317.htm</w:t>
      </w:r>
      <w:r>
        <w:rPr>
          <w:rFonts w:eastAsia="宋体"/>
          <w:color w:val="0000FF"/>
          <w:sz w:val="21"/>
          <w:szCs w:val="21"/>
          <w:u w:val="single"/>
        </w:rPr>
        <w:fldChar w:fldCharType="end"/>
      </w:r>
      <w:r>
        <w:rPr>
          <w:rFonts w:hint="eastAsia" w:eastAsia="宋体"/>
          <w:color w:val="000000"/>
          <w:sz w:val="21"/>
          <w:szCs w:val="21"/>
        </w:rPr>
        <w:t>）</w:t>
      </w:r>
      <w:r>
        <w:rPr>
          <w:rFonts w:eastAsia="宋体"/>
          <w:color w:val="000000"/>
          <w:sz w:val="21"/>
          <w:szCs w:val="21"/>
        </w:rPr>
        <w:t>。</w:t>
      </w:r>
    </w:p>
  </w:footnote>
  <w:footnote w:id="11">
    <w:p>
      <w:pPr>
        <w:pStyle w:val="11"/>
        <w:jc w:val="both"/>
        <w:rPr>
          <w:color w:val="000000"/>
          <w:sz w:val="21"/>
        </w:rPr>
      </w:pPr>
      <w:r>
        <w:rPr>
          <w:rStyle w:val="18"/>
          <w:sz w:val="21"/>
        </w:rPr>
        <w:footnoteRef/>
      </w:r>
      <w:r>
        <w:rPr>
          <w:rFonts w:eastAsia="宋体"/>
          <w:sz w:val="21"/>
          <w:szCs w:val="21"/>
        </w:rPr>
        <w:t xml:space="preserve"> </w:t>
      </w:r>
      <w:r>
        <w:rPr>
          <w:rFonts w:eastAsia="宋体"/>
          <w:color w:val="0000FF"/>
          <w:sz w:val="21"/>
          <w:szCs w:val="21"/>
          <w:u w:val="single"/>
        </w:rPr>
        <w:fldChar w:fldCharType="begin"/>
      </w:r>
      <w:r>
        <w:rPr>
          <w:rFonts w:eastAsia="宋体"/>
          <w:color w:val="0000FF"/>
          <w:sz w:val="21"/>
          <w:szCs w:val="21"/>
          <w:u w:val="single"/>
        </w:rPr>
        <w:instrText xml:space="preserve"> HYPERLINK "https://www.fda.gov/MedicalDevices/DeviceRegulationandGuidance/GuidanceDocuments/UCM446680" </w:instrText>
      </w:r>
      <w:r>
        <w:rPr>
          <w:rFonts w:eastAsia="宋体"/>
          <w:color w:val="0000FF"/>
          <w:sz w:val="21"/>
          <w:szCs w:val="21"/>
          <w:u w:val="single"/>
        </w:rPr>
        <w:fldChar w:fldCharType="separate"/>
      </w:r>
      <w:r>
        <w:rPr>
          <w:rStyle w:val="16"/>
          <w:rFonts w:eastAsia="宋体"/>
          <w:color w:val="0000FF"/>
          <w:sz w:val="21"/>
          <w:szCs w:val="21"/>
        </w:rPr>
        <w:t>https://www.fda.gov/MedicalDevices/DeviceRegulationandGuidance/GuidanceDocuments/UCM446680</w:t>
      </w:r>
      <w:r>
        <w:rPr>
          <w:rFonts w:eastAsia="宋体"/>
          <w:color w:val="0000FF"/>
          <w:sz w:val="21"/>
          <w:szCs w:val="21"/>
          <w:u w:val="single"/>
        </w:rPr>
        <w:fldChar w:fldCharType="end"/>
      </w:r>
      <w:r>
        <w:rPr>
          <w:rFonts w:hint="eastAsia" w:eastAsia="宋体"/>
          <w:color w:val="000000"/>
          <w:sz w:val="21"/>
          <w:szCs w:val="21"/>
        </w:rPr>
        <w:t>。</w:t>
      </w:r>
    </w:p>
  </w:footnote>
  <w:footnote w:id="12">
    <w:p>
      <w:pPr>
        <w:pStyle w:val="11"/>
        <w:jc w:val="both"/>
        <w:rPr>
          <w:sz w:val="21"/>
        </w:rPr>
      </w:pPr>
      <w:r>
        <w:rPr>
          <w:rStyle w:val="18"/>
          <w:sz w:val="21"/>
        </w:rPr>
        <w:footnoteRef/>
      </w:r>
      <w:r>
        <w:rPr>
          <w:color w:val="000000"/>
          <w:sz w:val="21"/>
        </w:rPr>
        <w:t xml:space="preserve"> </w:t>
      </w:r>
      <w:r>
        <w:rPr>
          <w:rFonts w:hint="eastAsia"/>
          <w:color w:val="000000"/>
          <w:sz w:val="21"/>
        </w:rPr>
        <w:t>一般</w:t>
      </w:r>
      <w:r>
        <w:rPr>
          <w:rFonts w:eastAsia="宋体"/>
          <w:color w:val="000000"/>
          <w:sz w:val="21"/>
          <w:szCs w:val="21"/>
        </w:rPr>
        <w:t>参见</w:t>
      </w:r>
      <w:r>
        <w:rPr>
          <w:color w:val="000000"/>
          <w:sz w:val="21"/>
        </w:rPr>
        <w:t>CFR</w:t>
      </w:r>
      <w:r>
        <w:rPr>
          <w:rFonts w:eastAsia="宋体"/>
          <w:color w:val="000000"/>
          <w:sz w:val="21"/>
          <w:szCs w:val="21"/>
        </w:rPr>
        <w:t>第21篇第803</w:t>
      </w:r>
      <w:r>
        <w:rPr>
          <w:color w:val="000000"/>
          <w:sz w:val="21"/>
        </w:rPr>
        <w:t>.3</w:t>
      </w:r>
      <w:r>
        <w:rPr>
          <w:rFonts w:hint="eastAsia"/>
          <w:color w:val="000000"/>
          <w:sz w:val="21"/>
        </w:rPr>
        <w:t>（</w:t>
      </w:r>
      <w:r>
        <w:rPr>
          <w:color w:val="000000"/>
          <w:sz w:val="21"/>
        </w:rPr>
        <w:t>w</w:t>
      </w:r>
      <w:r>
        <w:rPr>
          <w:rFonts w:eastAsia="宋体"/>
          <w:color w:val="000000"/>
          <w:sz w:val="21"/>
          <w:szCs w:val="21"/>
        </w:rPr>
        <w:t>）部分（</w:t>
      </w:r>
      <w:r>
        <w:rPr>
          <w:color w:val="000000"/>
          <w:sz w:val="21"/>
        </w:rPr>
        <w:t>CFR</w:t>
      </w:r>
      <w:r>
        <w:rPr>
          <w:rFonts w:hint="eastAsia"/>
          <w:color w:val="000000"/>
          <w:sz w:val="21"/>
        </w:rPr>
        <w:t>第</w:t>
      </w:r>
      <w:r>
        <w:rPr>
          <w:rFonts w:hint="eastAsia" w:eastAsia="宋体"/>
          <w:color w:val="000000"/>
          <w:sz w:val="21"/>
          <w:szCs w:val="21"/>
        </w:rPr>
        <w:t>21篇</w:t>
      </w:r>
      <w:r>
        <w:rPr>
          <w:rFonts w:eastAsia="宋体"/>
          <w:color w:val="000000"/>
          <w:sz w:val="21"/>
          <w:szCs w:val="21"/>
        </w:rPr>
        <w:t>第</w:t>
      </w:r>
      <w:r>
        <w:rPr>
          <w:color w:val="000000"/>
          <w:sz w:val="21"/>
        </w:rPr>
        <w:t>803</w:t>
      </w:r>
      <w:r>
        <w:rPr>
          <w:rFonts w:hint="eastAsia"/>
          <w:color w:val="000000"/>
          <w:sz w:val="21"/>
        </w:rPr>
        <w:t>部分定义</w:t>
      </w:r>
      <w:r>
        <w:rPr>
          <w:rFonts w:ascii="宋体" w:hAnsi="宋体" w:eastAsia="宋体"/>
          <w:color w:val="000000"/>
          <w:sz w:val="21"/>
          <w:szCs w:val="21"/>
        </w:rPr>
        <w:t>为</w:t>
      </w:r>
      <w:r>
        <w:rPr>
          <w:rFonts w:ascii="宋体" w:hAnsi="宋体"/>
          <w:color w:val="000000"/>
          <w:sz w:val="21"/>
        </w:rPr>
        <w:t>“</w:t>
      </w:r>
      <w:r>
        <w:rPr>
          <w:rFonts w:hint="eastAsia" w:ascii="宋体" w:hAnsi="宋体"/>
          <w:color w:val="000000"/>
          <w:sz w:val="21"/>
        </w:rPr>
        <w:t>严重伤害</w:t>
      </w:r>
      <w:r>
        <w:rPr>
          <w:rFonts w:ascii="宋体" w:hAnsi="宋体"/>
          <w:color w:val="000000"/>
          <w:sz w:val="21"/>
        </w:rPr>
        <w:t>”</w:t>
      </w:r>
      <w:r>
        <w:rPr>
          <w:rFonts w:hint="eastAsia"/>
          <w:color w:val="000000"/>
          <w:sz w:val="21"/>
        </w:rPr>
        <w:t>）。</w:t>
      </w:r>
    </w:p>
  </w:footnote>
  <w:footnote w:id="13">
    <w:p>
      <w:pPr>
        <w:snapToGrid w:val="0"/>
        <w:jc w:val="both"/>
        <w:rPr>
          <w:rFonts w:eastAsia="宋体"/>
          <w:color w:val="000000"/>
          <w:sz w:val="21"/>
          <w:szCs w:val="21"/>
        </w:rPr>
      </w:pPr>
      <w:r>
        <w:rPr>
          <w:rStyle w:val="18"/>
          <w:sz w:val="18"/>
          <w:szCs w:val="18"/>
        </w:rPr>
        <w:footnoteRef/>
      </w:r>
      <w:r>
        <w:rPr>
          <w:rFonts w:eastAsia="宋体"/>
          <w:sz w:val="21"/>
          <w:szCs w:val="21"/>
        </w:rPr>
        <w:t xml:space="preserve"> </w:t>
      </w:r>
      <w:r>
        <w:rPr>
          <w:rFonts w:eastAsia="宋体"/>
          <w:color w:val="0000FF"/>
          <w:sz w:val="21"/>
          <w:szCs w:val="21"/>
          <w:u w:val="single"/>
        </w:rPr>
        <w:fldChar w:fldCharType="begin"/>
      </w:r>
      <w:r>
        <w:rPr>
          <w:rFonts w:eastAsia="宋体"/>
          <w:color w:val="0000FF"/>
          <w:sz w:val="21"/>
          <w:szCs w:val="21"/>
          <w:u w:val="single"/>
        </w:rPr>
        <w:instrText xml:space="preserve"> HYPERLINK "https://www.fda.gov/MedicalDevices/DeviceRegulationandGuidance/GuidanceDocuments/UCM311176" </w:instrText>
      </w:r>
      <w:r>
        <w:rPr>
          <w:rFonts w:eastAsia="宋体"/>
          <w:color w:val="0000FF"/>
          <w:sz w:val="21"/>
          <w:szCs w:val="21"/>
          <w:u w:val="single"/>
        </w:rPr>
        <w:fldChar w:fldCharType="separate"/>
      </w:r>
      <w:r>
        <w:rPr>
          <w:rStyle w:val="16"/>
          <w:rFonts w:eastAsia="宋体"/>
          <w:color w:val="0000FF"/>
          <w:sz w:val="21"/>
          <w:szCs w:val="21"/>
        </w:rPr>
        <w:t>https://www.fda.gov/MedicalDevices/DeviceRegulationandGuidance/GuidanceDocuments/UCM311176</w:t>
      </w:r>
      <w:r>
        <w:rPr>
          <w:rFonts w:eastAsia="宋体"/>
          <w:color w:val="0000FF"/>
          <w:sz w:val="21"/>
          <w:szCs w:val="21"/>
          <w:u w:val="single"/>
        </w:rPr>
        <w:fldChar w:fldCharType="end"/>
      </w:r>
      <w:r>
        <w:rPr>
          <w:rFonts w:hint="eastAsia" w:eastAsia="宋体"/>
          <w:color w:val="000000"/>
          <w:sz w:val="21"/>
          <w:szCs w:val="21"/>
        </w:rPr>
        <w:t>。</w:t>
      </w:r>
    </w:p>
  </w:footnote>
  <w:footnote w:id="14">
    <w:p>
      <w:pPr>
        <w:pStyle w:val="11"/>
        <w:jc w:val="both"/>
        <w:rPr>
          <w:sz w:val="21"/>
        </w:rPr>
      </w:pPr>
      <w:r>
        <w:rPr>
          <w:rStyle w:val="18"/>
        </w:rPr>
        <w:footnoteRef/>
      </w:r>
      <w:r>
        <w:rPr>
          <w:sz w:val="21"/>
        </w:rPr>
        <w:t xml:space="preserve"> </w:t>
      </w:r>
      <w:r>
        <w:rPr>
          <w:rFonts w:eastAsia="宋体"/>
          <w:sz w:val="21"/>
          <w:szCs w:val="21"/>
        </w:rPr>
        <w:t>参</w:t>
      </w:r>
      <w:r>
        <w:rPr>
          <w:rFonts w:eastAsia="宋体"/>
          <w:color w:val="000000"/>
          <w:sz w:val="21"/>
          <w:szCs w:val="21"/>
        </w:rPr>
        <w:t>见</w:t>
      </w:r>
      <w:r>
        <w:rPr>
          <w:rFonts w:hint="eastAsia"/>
          <w:color w:val="000000"/>
          <w:sz w:val="21"/>
        </w:rPr>
        <w:t>《</w:t>
      </w:r>
      <w:r>
        <w:rPr>
          <w:color w:val="000000"/>
          <w:sz w:val="21"/>
        </w:rPr>
        <w:t>FD&amp;C</w:t>
      </w:r>
      <w:r>
        <w:rPr>
          <w:rFonts w:hint="eastAsia"/>
          <w:color w:val="000000"/>
          <w:sz w:val="21"/>
        </w:rPr>
        <w:t>法案》第</w:t>
      </w:r>
      <w:r>
        <w:rPr>
          <w:color w:val="000000"/>
          <w:sz w:val="21"/>
        </w:rPr>
        <w:t>522</w:t>
      </w:r>
      <w:r>
        <w:rPr>
          <w:rFonts w:hint="eastAsia"/>
          <w:color w:val="000000"/>
          <w:sz w:val="21"/>
        </w:rPr>
        <w:t>条（</w:t>
      </w:r>
      <w:r>
        <w:rPr>
          <w:color w:val="000000"/>
          <w:sz w:val="21"/>
        </w:rPr>
        <w:t xml:space="preserve">21 U.S.C. § </w:t>
      </w:r>
      <w:r>
        <w:rPr>
          <w:rFonts w:eastAsia="宋体"/>
          <w:color w:val="000000"/>
          <w:sz w:val="21"/>
          <w:szCs w:val="21"/>
        </w:rPr>
        <w:t>360</w:t>
      </w:r>
      <w:r>
        <w:rPr>
          <w:rFonts w:hint="eastAsia" w:eastAsia="宋体"/>
          <w:color w:val="000000"/>
          <w:sz w:val="21"/>
          <w:szCs w:val="21"/>
        </w:rPr>
        <w:t>l</w:t>
      </w:r>
      <w:r>
        <w:rPr>
          <w:rFonts w:hint="eastAsia"/>
          <w:color w:val="000000"/>
          <w:sz w:val="21"/>
        </w:rPr>
        <w:t>）。</w:t>
      </w:r>
    </w:p>
  </w:footnote>
  <w:footnote w:id="15">
    <w:p>
      <w:pPr>
        <w:pStyle w:val="11"/>
        <w:jc w:val="both"/>
        <w:rPr>
          <w:sz w:val="21"/>
        </w:rPr>
      </w:pPr>
      <w:r>
        <w:rPr>
          <w:rStyle w:val="18"/>
        </w:rPr>
        <w:footnoteRef/>
      </w:r>
      <w:r>
        <w:rPr>
          <w:sz w:val="21"/>
        </w:rPr>
        <w:t xml:space="preserve"> </w:t>
      </w:r>
      <w:r>
        <w:rPr>
          <w:rFonts w:eastAsia="宋体"/>
          <w:sz w:val="21"/>
          <w:szCs w:val="21"/>
        </w:rPr>
        <w:t>参</w:t>
      </w:r>
      <w:r>
        <w:rPr>
          <w:rFonts w:eastAsia="宋体"/>
          <w:color w:val="000000"/>
          <w:sz w:val="21"/>
          <w:szCs w:val="21"/>
        </w:rPr>
        <w:t>见</w:t>
      </w:r>
      <w:r>
        <w:rPr>
          <w:rFonts w:hint="eastAsia"/>
          <w:color w:val="000000"/>
          <w:sz w:val="21"/>
        </w:rPr>
        <w:t>《</w:t>
      </w:r>
      <w:r>
        <w:rPr>
          <w:color w:val="000000"/>
          <w:sz w:val="21"/>
        </w:rPr>
        <w:t>FD&amp;C</w:t>
      </w:r>
      <w:r>
        <w:rPr>
          <w:rFonts w:hint="eastAsia"/>
          <w:color w:val="000000"/>
          <w:sz w:val="21"/>
        </w:rPr>
        <w:t>法案》第</w:t>
      </w:r>
      <w:r>
        <w:rPr>
          <w:color w:val="000000"/>
          <w:sz w:val="21"/>
        </w:rPr>
        <w:t>522</w:t>
      </w:r>
      <w:r>
        <w:rPr>
          <w:rFonts w:hint="eastAsia"/>
          <w:color w:val="000000"/>
          <w:sz w:val="21"/>
        </w:rPr>
        <w:t>（</w:t>
      </w:r>
      <w:r>
        <w:rPr>
          <w:color w:val="000000"/>
          <w:sz w:val="21"/>
        </w:rPr>
        <w:t>a</w:t>
      </w:r>
      <w:r>
        <w:rPr>
          <w:rFonts w:hint="eastAsia"/>
          <w:color w:val="000000"/>
          <w:sz w:val="21"/>
        </w:rPr>
        <w:t>）（</w:t>
      </w:r>
      <w:r>
        <w:rPr>
          <w:color w:val="000000"/>
          <w:sz w:val="21"/>
        </w:rPr>
        <w:t>1</w:t>
      </w:r>
      <w:r>
        <w:rPr>
          <w:rFonts w:hint="eastAsia"/>
          <w:color w:val="000000"/>
          <w:sz w:val="21"/>
        </w:rPr>
        <w:t>）（</w:t>
      </w:r>
      <w:r>
        <w:rPr>
          <w:color w:val="000000"/>
          <w:sz w:val="21"/>
        </w:rPr>
        <w:t>B</w:t>
      </w:r>
      <w:r>
        <w:rPr>
          <w:rFonts w:hint="eastAsia"/>
          <w:color w:val="000000"/>
          <w:sz w:val="21"/>
        </w:rPr>
        <w:t>）条（</w:t>
      </w:r>
      <w:r>
        <w:rPr>
          <w:color w:val="000000"/>
          <w:sz w:val="21"/>
        </w:rPr>
        <w:t>21 U.S.C. § 360l</w:t>
      </w:r>
      <w:r>
        <w:rPr>
          <w:rFonts w:hint="eastAsia"/>
          <w:color w:val="000000"/>
          <w:sz w:val="21"/>
        </w:rPr>
        <w:t>（</w:t>
      </w:r>
      <w:r>
        <w:rPr>
          <w:color w:val="000000"/>
          <w:sz w:val="21"/>
        </w:rPr>
        <w:t>a</w:t>
      </w:r>
      <w:r>
        <w:rPr>
          <w:rFonts w:hint="eastAsia"/>
          <w:color w:val="000000"/>
          <w:sz w:val="21"/>
        </w:rPr>
        <w:t>）（</w:t>
      </w:r>
      <w:r>
        <w:rPr>
          <w:color w:val="000000"/>
          <w:sz w:val="21"/>
        </w:rPr>
        <w:t>1</w:t>
      </w:r>
      <w:r>
        <w:rPr>
          <w:rFonts w:hint="eastAsia"/>
          <w:color w:val="000000"/>
          <w:sz w:val="21"/>
        </w:rPr>
        <w:t>）（</w:t>
      </w:r>
      <w:r>
        <w:rPr>
          <w:color w:val="000000"/>
          <w:sz w:val="21"/>
        </w:rPr>
        <w:t>B</w:t>
      </w:r>
      <w:r>
        <w:rPr>
          <w:rFonts w:hint="eastAsia"/>
          <w:color w:val="000000"/>
          <w:sz w:val="21"/>
        </w:rPr>
        <w:t>））。</w:t>
      </w:r>
    </w:p>
  </w:footnote>
  <w:footnote w:id="16">
    <w:p>
      <w:pPr>
        <w:pStyle w:val="11"/>
        <w:jc w:val="both"/>
        <w:rPr>
          <w:sz w:val="21"/>
        </w:rPr>
      </w:pPr>
      <w:r>
        <w:rPr>
          <w:rStyle w:val="18"/>
        </w:rPr>
        <w:footnoteRef/>
      </w:r>
      <w:r>
        <w:rPr>
          <w:rFonts w:eastAsia="宋体"/>
          <w:color w:val="0000FF"/>
          <w:sz w:val="21"/>
          <w:szCs w:val="21"/>
        </w:rPr>
        <w:t xml:space="preserve"> </w:t>
      </w:r>
      <w:r>
        <w:rPr>
          <w:rFonts w:eastAsia="宋体"/>
          <w:color w:val="0000FF"/>
          <w:sz w:val="21"/>
          <w:szCs w:val="21"/>
          <w:u w:val="single"/>
        </w:rPr>
        <w:fldChar w:fldCharType="begin"/>
      </w:r>
      <w:r>
        <w:rPr>
          <w:rFonts w:eastAsia="宋体"/>
          <w:color w:val="0000FF"/>
          <w:sz w:val="21"/>
          <w:szCs w:val="21"/>
          <w:u w:val="single"/>
        </w:rPr>
        <w:instrText xml:space="preserve"> HYPERLINK "https://www.fda.gov/MedicalDevices/DeviceRegulationandGuidance/GuidanceDocuments/UCM085999" </w:instrText>
      </w:r>
      <w:r>
        <w:rPr>
          <w:rFonts w:eastAsia="宋体"/>
          <w:color w:val="0000FF"/>
          <w:sz w:val="21"/>
          <w:szCs w:val="21"/>
          <w:u w:val="single"/>
        </w:rPr>
        <w:fldChar w:fldCharType="separate"/>
      </w:r>
      <w:r>
        <w:rPr>
          <w:rStyle w:val="16"/>
          <w:rFonts w:eastAsia="宋体"/>
          <w:color w:val="0000FF"/>
          <w:sz w:val="21"/>
          <w:szCs w:val="21"/>
        </w:rPr>
        <w:t>https://www.fda.gov/MedicalDevices/DeviceRegulationandGuidance/GuidanceDocuments/UCM085999</w:t>
      </w:r>
      <w:r>
        <w:rPr>
          <w:rFonts w:eastAsia="宋体"/>
          <w:color w:val="0000FF"/>
          <w:sz w:val="21"/>
          <w:szCs w:val="21"/>
          <w:u w:val="single"/>
        </w:rPr>
        <w:fldChar w:fldCharType="end"/>
      </w:r>
      <w:r>
        <w:rPr>
          <w:rFonts w:hint="eastAsia" w:eastAsia="宋体"/>
          <w:color w:val="000000"/>
          <w:sz w:val="21"/>
          <w:szCs w:val="21"/>
        </w:rPr>
        <w:t>。</w:t>
      </w:r>
    </w:p>
  </w:footnote>
  <w:footnote w:id="17">
    <w:p>
      <w:pPr>
        <w:pStyle w:val="11"/>
        <w:wordWrap w:val="0"/>
        <w:jc w:val="both"/>
        <w:rPr>
          <w:sz w:val="21"/>
        </w:rPr>
      </w:pPr>
      <w:r>
        <w:rPr>
          <w:rStyle w:val="18"/>
          <w:sz w:val="21"/>
        </w:rPr>
        <w:footnoteRef/>
      </w:r>
      <w:r>
        <w:rPr>
          <w:color w:val="000000"/>
          <w:sz w:val="21"/>
        </w:rPr>
        <w:t xml:space="preserve"> </w:t>
      </w:r>
      <w:r>
        <w:rPr>
          <w:rFonts w:hint="eastAsia"/>
          <w:color w:val="000000"/>
          <w:sz w:val="21"/>
        </w:rPr>
        <w:t>关于</w:t>
      </w:r>
      <w:r>
        <w:rPr>
          <w:color w:val="000000"/>
          <w:sz w:val="21"/>
        </w:rPr>
        <w:t>FDA</w:t>
      </w:r>
      <w:r>
        <w:rPr>
          <w:rFonts w:hint="eastAsia"/>
          <w:color w:val="000000"/>
          <w:sz w:val="21"/>
        </w:rPr>
        <w:t>根据《</w:t>
      </w:r>
      <w:r>
        <w:rPr>
          <w:color w:val="000000"/>
          <w:sz w:val="21"/>
        </w:rPr>
        <w:t>FD&amp;C</w:t>
      </w:r>
      <w:r>
        <w:rPr>
          <w:rFonts w:hint="eastAsia"/>
          <w:color w:val="000000"/>
          <w:sz w:val="21"/>
        </w:rPr>
        <w:t>法案》第</w:t>
      </w:r>
      <w:r>
        <w:rPr>
          <w:color w:val="000000"/>
          <w:sz w:val="21"/>
        </w:rPr>
        <w:t>564</w:t>
      </w:r>
      <w:r>
        <w:rPr>
          <w:rFonts w:hint="eastAsia"/>
          <w:color w:val="000000"/>
          <w:sz w:val="21"/>
        </w:rPr>
        <w:t>条（</w:t>
      </w:r>
      <w:r>
        <w:rPr>
          <w:color w:val="000000"/>
          <w:sz w:val="21"/>
        </w:rPr>
        <w:t>21 U.S.C. § 360bbb-3</w:t>
      </w:r>
      <w:r>
        <w:rPr>
          <w:rFonts w:hint="eastAsia"/>
          <w:color w:val="000000"/>
          <w:sz w:val="21"/>
        </w:rPr>
        <w:t>）授权紧急使用医疗产品的政策，请参见</w:t>
      </w:r>
      <w:r>
        <w:rPr>
          <w:color w:val="000000"/>
          <w:sz w:val="21"/>
        </w:rPr>
        <w:t>FDA</w:t>
      </w:r>
      <w:r>
        <w:rPr>
          <w:rFonts w:hint="eastAsia"/>
          <w:color w:val="000000"/>
          <w:sz w:val="21"/>
        </w:rPr>
        <w:t>指南，</w:t>
      </w:r>
      <w:r>
        <w:rPr>
          <w:rFonts w:ascii="宋体" w:hAnsi="宋体"/>
          <w:sz w:val="21"/>
        </w:rPr>
        <w:t>“</w:t>
      </w:r>
      <w:r>
        <w:rPr>
          <w:rFonts w:hint="eastAsia"/>
          <w:color w:val="000000"/>
          <w:sz w:val="21"/>
        </w:rPr>
        <w:t>医疗产品的紧急使用授权和相关授权</w:t>
      </w:r>
      <w:r>
        <w:rPr>
          <w:rFonts w:ascii="宋体" w:hAnsi="宋体"/>
          <w:color w:val="000000"/>
          <w:sz w:val="21"/>
        </w:rPr>
        <w:t>”</w:t>
      </w:r>
      <w:r>
        <w:rPr>
          <w:rFonts w:hint="eastAsia"/>
          <w:color w:val="000000"/>
          <w:sz w:val="21"/>
          <w:u w:val="single"/>
        </w:rPr>
        <w:t>（</w:t>
      </w:r>
      <w:r>
        <w:rPr>
          <w:color w:val="0000FF"/>
          <w:sz w:val="21"/>
          <w:u w:val="single"/>
        </w:rPr>
        <w:t>https://www.fda.gov/RegulatoryInformation/Guidances/ucm125127.htm</w:t>
      </w:r>
      <w:r>
        <w:rPr>
          <w:rFonts w:hint="eastAsia"/>
          <w:color w:val="000000"/>
          <w:sz w:val="21"/>
          <w:u w:val="single"/>
        </w:rPr>
        <w:t>）</w:t>
      </w:r>
      <w:r>
        <w:rPr>
          <w:rFonts w:hint="eastAsia"/>
          <w:color w:val="000000"/>
          <w:sz w:val="21"/>
        </w:rPr>
        <w:t>。《</w:t>
      </w:r>
      <w:r>
        <w:rPr>
          <w:color w:val="000000"/>
          <w:sz w:val="21"/>
        </w:rPr>
        <w:t>FD&amp;C</w:t>
      </w:r>
      <w:r>
        <w:rPr>
          <w:rFonts w:hint="eastAsia"/>
          <w:color w:val="000000"/>
          <w:sz w:val="21"/>
        </w:rPr>
        <w:t>法案》第</w:t>
      </w:r>
      <w:r>
        <w:rPr>
          <w:color w:val="000000"/>
          <w:sz w:val="21"/>
        </w:rPr>
        <w:t>564</w:t>
      </w:r>
      <w:r>
        <w:rPr>
          <w:rFonts w:hint="eastAsia"/>
          <w:color w:val="000000"/>
          <w:sz w:val="21"/>
        </w:rPr>
        <w:t>条允许</w:t>
      </w:r>
      <w:r>
        <w:rPr>
          <w:color w:val="000000"/>
          <w:sz w:val="21"/>
        </w:rPr>
        <w:t>FDA</w:t>
      </w:r>
      <w:r>
        <w:rPr>
          <w:rFonts w:hint="eastAsia"/>
          <w:color w:val="000000"/>
          <w:sz w:val="21"/>
        </w:rPr>
        <w:t>专员在宣布的紧急情况下授权使用未经批准的医疗产品或未经批准使用已批准的医疗产品，该紧急情况涉及公众或美国军队受到攻击的风险增加，或有影响国家安全的重大可能性，但必须符合某些标准。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pPr>
    <w:r>
      <w:rPr>
        <w:rFonts w:hint="eastAsia" w:eastAsia="宋体"/>
        <w:b/>
        <w:bCs/>
        <w:i/>
        <w:iCs/>
        <w:color w:val="000000"/>
        <w:sz w:val="21"/>
        <w:szCs w:val="21"/>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2D0047"/>
    <w:multiLevelType w:val="multilevel"/>
    <w:tmpl w:val="672D0047"/>
    <w:lvl w:ilvl="0" w:tentative="0">
      <w:start w:val="1"/>
      <w:numFmt w:val="decimal"/>
      <w:lvlText w:val="（%1）"/>
      <w:lvlJc w:val="left"/>
      <w:pPr>
        <w:ind w:left="2161" w:hanging="885"/>
      </w:pPr>
      <w:rPr>
        <w:rFonts w:hint="default"/>
      </w:rPr>
    </w:lvl>
    <w:lvl w:ilvl="1" w:tentative="0">
      <w:start w:val="1"/>
      <w:numFmt w:val="lowerLetter"/>
      <w:lvlText w:val="%2)"/>
      <w:lvlJc w:val="left"/>
      <w:pPr>
        <w:ind w:left="2116" w:hanging="420"/>
      </w:pPr>
    </w:lvl>
    <w:lvl w:ilvl="2" w:tentative="0">
      <w:start w:val="1"/>
      <w:numFmt w:val="lowerRoman"/>
      <w:lvlText w:val="%3."/>
      <w:lvlJc w:val="right"/>
      <w:pPr>
        <w:ind w:left="2536" w:hanging="420"/>
      </w:pPr>
    </w:lvl>
    <w:lvl w:ilvl="3" w:tentative="0">
      <w:start w:val="1"/>
      <w:numFmt w:val="decimal"/>
      <w:lvlText w:val="%4."/>
      <w:lvlJc w:val="left"/>
      <w:pPr>
        <w:ind w:left="2956" w:hanging="420"/>
      </w:pPr>
    </w:lvl>
    <w:lvl w:ilvl="4" w:tentative="0">
      <w:start w:val="1"/>
      <w:numFmt w:val="lowerLetter"/>
      <w:lvlText w:val="%5)"/>
      <w:lvlJc w:val="left"/>
      <w:pPr>
        <w:ind w:left="3376" w:hanging="420"/>
      </w:pPr>
    </w:lvl>
    <w:lvl w:ilvl="5" w:tentative="0">
      <w:start w:val="1"/>
      <w:numFmt w:val="lowerRoman"/>
      <w:lvlText w:val="%6."/>
      <w:lvlJc w:val="right"/>
      <w:pPr>
        <w:ind w:left="3796" w:hanging="420"/>
      </w:pPr>
    </w:lvl>
    <w:lvl w:ilvl="6" w:tentative="0">
      <w:start w:val="1"/>
      <w:numFmt w:val="decimal"/>
      <w:lvlText w:val="%7."/>
      <w:lvlJc w:val="left"/>
      <w:pPr>
        <w:ind w:left="4216" w:hanging="420"/>
      </w:pPr>
    </w:lvl>
    <w:lvl w:ilvl="7" w:tentative="0">
      <w:start w:val="1"/>
      <w:numFmt w:val="lowerLetter"/>
      <w:lvlText w:val="%8)"/>
      <w:lvlJc w:val="left"/>
      <w:pPr>
        <w:ind w:left="4636" w:hanging="420"/>
      </w:pPr>
    </w:lvl>
    <w:lvl w:ilvl="8" w:tentative="0">
      <w:start w:val="1"/>
      <w:numFmt w:val="lowerRoman"/>
      <w:lvlText w:val="%9."/>
      <w:lvlJc w:val="right"/>
      <w:pPr>
        <w:ind w:left="505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1"/>
  <w:bordersDoNotSurroundFooter w:val="1"/>
  <w:doNotTrackMoves/>
  <w:documentProtection w:edit="readOnly"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36"/>
    <w:footnote w:id="37"/>
  </w:foot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mmondata" w:val="eyJoZGlkIjoiZThmNjAzMWJlZjFkMmQwODUwMTJkYzE2ODFiYmFmYTcifQ=="/>
  </w:docVars>
  <w:rsids>
    <w:rsidRoot w:val="00C84590"/>
    <w:rsid w:val="00027CF0"/>
    <w:rsid w:val="00034AB1"/>
    <w:rsid w:val="00063122"/>
    <w:rsid w:val="000A7D02"/>
    <w:rsid w:val="000D12C7"/>
    <w:rsid w:val="000E7086"/>
    <w:rsid w:val="000F1A20"/>
    <w:rsid w:val="00106E17"/>
    <w:rsid w:val="00131E15"/>
    <w:rsid w:val="00172198"/>
    <w:rsid w:val="00181075"/>
    <w:rsid w:val="00185B6C"/>
    <w:rsid w:val="001D24A7"/>
    <w:rsid w:val="001E5CBB"/>
    <w:rsid w:val="001E78FC"/>
    <w:rsid w:val="002245AA"/>
    <w:rsid w:val="00224D78"/>
    <w:rsid w:val="002474F0"/>
    <w:rsid w:val="002821FB"/>
    <w:rsid w:val="002A4967"/>
    <w:rsid w:val="002D023D"/>
    <w:rsid w:val="00312C41"/>
    <w:rsid w:val="00313FE6"/>
    <w:rsid w:val="003314E0"/>
    <w:rsid w:val="00331674"/>
    <w:rsid w:val="00343021"/>
    <w:rsid w:val="00350E02"/>
    <w:rsid w:val="003B3951"/>
    <w:rsid w:val="003C3687"/>
    <w:rsid w:val="003F0B9A"/>
    <w:rsid w:val="0041340A"/>
    <w:rsid w:val="00484FC9"/>
    <w:rsid w:val="004A377C"/>
    <w:rsid w:val="004E092B"/>
    <w:rsid w:val="004F0B67"/>
    <w:rsid w:val="005F2B00"/>
    <w:rsid w:val="0063659B"/>
    <w:rsid w:val="006700F0"/>
    <w:rsid w:val="0068213F"/>
    <w:rsid w:val="006A40FD"/>
    <w:rsid w:val="00706DD6"/>
    <w:rsid w:val="007138ED"/>
    <w:rsid w:val="0072228B"/>
    <w:rsid w:val="007229E5"/>
    <w:rsid w:val="0076360D"/>
    <w:rsid w:val="0077087E"/>
    <w:rsid w:val="007726DB"/>
    <w:rsid w:val="007A41B0"/>
    <w:rsid w:val="007C244A"/>
    <w:rsid w:val="007E536D"/>
    <w:rsid w:val="007F4297"/>
    <w:rsid w:val="007F4909"/>
    <w:rsid w:val="00847B4F"/>
    <w:rsid w:val="00854CC8"/>
    <w:rsid w:val="008613D0"/>
    <w:rsid w:val="00884DED"/>
    <w:rsid w:val="00920114"/>
    <w:rsid w:val="009C288B"/>
    <w:rsid w:val="009C499D"/>
    <w:rsid w:val="009D6CA5"/>
    <w:rsid w:val="00A33583"/>
    <w:rsid w:val="00A64C71"/>
    <w:rsid w:val="00AE3793"/>
    <w:rsid w:val="00B1760A"/>
    <w:rsid w:val="00B24B11"/>
    <w:rsid w:val="00B51190"/>
    <w:rsid w:val="00B74D8E"/>
    <w:rsid w:val="00B85966"/>
    <w:rsid w:val="00C049F4"/>
    <w:rsid w:val="00C10E48"/>
    <w:rsid w:val="00C27BB4"/>
    <w:rsid w:val="00C345B6"/>
    <w:rsid w:val="00C35C2B"/>
    <w:rsid w:val="00C42607"/>
    <w:rsid w:val="00C523C1"/>
    <w:rsid w:val="00C84590"/>
    <w:rsid w:val="00CA3A24"/>
    <w:rsid w:val="00CA42E1"/>
    <w:rsid w:val="00CC0994"/>
    <w:rsid w:val="00D04CC1"/>
    <w:rsid w:val="00D34CAF"/>
    <w:rsid w:val="00D5780A"/>
    <w:rsid w:val="00D60BB7"/>
    <w:rsid w:val="00D71B4D"/>
    <w:rsid w:val="00DC694E"/>
    <w:rsid w:val="00DD1078"/>
    <w:rsid w:val="00E35A62"/>
    <w:rsid w:val="00E61405"/>
    <w:rsid w:val="00EA30A9"/>
    <w:rsid w:val="00EA6C93"/>
    <w:rsid w:val="00EB746D"/>
    <w:rsid w:val="00EC5CF4"/>
    <w:rsid w:val="00EC6F67"/>
    <w:rsid w:val="00FB60D2"/>
    <w:rsid w:val="00FE6D21"/>
    <w:rsid w:val="308247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等线" w:cs="Times New Roman"/>
      <w:lang w:val="en-US" w:eastAsia="zh-CN" w:bidi="ar-SA"/>
    </w:rPr>
  </w:style>
  <w:style w:type="paragraph" w:styleId="2">
    <w:name w:val="heading 1"/>
    <w:basedOn w:val="1"/>
    <w:next w:val="1"/>
    <w:link w:val="23"/>
    <w:qFormat/>
    <w:uiPriority w:val="9"/>
    <w:pPr>
      <w:tabs>
        <w:tab w:val="left" w:pos="630"/>
        <w:tab w:val="left" w:pos="1274"/>
      </w:tabs>
      <w:snapToGrid w:val="0"/>
      <w:spacing w:beforeLines="100" w:afterLines="100"/>
      <w:jc w:val="both"/>
      <w:outlineLvl w:val="0"/>
    </w:pPr>
    <w:rPr>
      <w:b/>
      <w:bCs/>
      <w:sz w:val="36"/>
      <w:szCs w:val="36"/>
    </w:rPr>
  </w:style>
  <w:style w:type="paragraph" w:styleId="3">
    <w:name w:val="heading 2"/>
    <w:basedOn w:val="1"/>
    <w:next w:val="1"/>
    <w:link w:val="24"/>
    <w:unhideWhenUsed/>
    <w:qFormat/>
    <w:uiPriority w:val="9"/>
    <w:pPr>
      <w:tabs>
        <w:tab w:val="left" w:pos="1276"/>
      </w:tabs>
      <w:snapToGrid w:val="0"/>
      <w:spacing w:beforeLines="100" w:afterLines="100"/>
      <w:ind w:left="1273" w:leftChars="315" w:hanging="643" w:hangingChars="201"/>
      <w:jc w:val="both"/>
      <w:outlineLvl w:val="1"/>
    </w:pPr>
    <w:rPr>
      <w:b/>
      <w:bCs/>
      <w:sz w:val="32"/>
      <w:szCs w:val="32"/>
    </w:rPr>
  </w:style>
  <w:style w:type="paragraph" w:styleId="4">
    <w:name w:val="heading 3"/>
    <w:basedOn w:val="1"/>
    <w:next w:val="1"/>
    <w:link w:val="25"/>
    <w:unhideWhenUsed/>
    <w:qFormat/>
    <w:uiPriority w:val="9"/>
    <w:pPr>
      <w:tabs>
        <w:tab w:val="left" w:pos="1843"/>
      </w:tabs>
      <w:snapToGrid w:val="0"/>
      <w:spacing w:beforeLines="50" w:afterLines="50"/>
      <w:ind w:left="1841" w:leftChars="638" w:hanging="565" w:hangingChars="201"/>
      <w:jc w:val="both"/>
      <w:outlineLvl w:val="2"/>
    </w:pPr>
    <w:rPr>
      <w:rFonts w:eastAsia="宋体"/>
      <w:b/>
      <w:bCs/>
      <w:color w:val="000000"/>
      <w:sz w:val="28"/>
      <w:szCs w:val="28"/>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8"/>
    <w:semiHidden/>
    <w:unhideWhenUsed/>
    <w:uiPriority w:val="99"/>
  </w:style>
  <w:style w:type="paragraph" w:styleId="6">
    <w:name w:val="toc 3"/>
    <w:basedOn w:val="1"/>
    <w:next w:val="1"/>
    <w:unhideWhenUsed/>
    <w:uiPriority w:val="39"/>
    <w:pPr>
      <w:tabs>
        <w:tab w:val="left" w:pos="1134"/>
        <w:tab w:val="right" w:leader="dot" w:pos="9062"/>
      </w:tabs>
      <w:snapToGrid w:val="0"/>
      <w:spacing w:after="50" w:afterLines="50"/>
      <w:ind w:left="300" w:leftChars="300"/>
      <w:jc w:val="both"/>
      <w:pPrChange w:id="0" w:author="CODEX" w:date="2022-03-22T13:52:00Z">
        <w:pPr>
          <w:widowControl w:val="0"/>
          <w:autoSpaceDE w:val="0"/>
          <w:autoSpaceDN w:val="0"/>
          <w:adjustRightInd w:val="0"/>
          <w:ind w:left="708" w:leftChars="354"/>
        </w:pPr>
      </w:pPrChange>
    </w:pPr>
    <w:rPr>
      <w:rFonts w:eastAsia="宋体"/>
      <w:sz w:val="24"/>
      <w:rPrChange w:id="1" w:author="CODEX" w:date="2022-03-22T13:52:00Z">
        <w:rPr>
          <w:rFonts w:eastAsia="宋体"/>
          <w:sz w:val="21"/>
          <w:lang w:val="en-US" w:eastAsia="zh-CN" w:bidi="ar-SA"/>
        </w:rPr>
      </w:rPrChange>
    </w:rPr>
  </w:style>
  <w:style w:type="paragraph" w:styleId="7">
    <w:name w:val="Balloon Text"/>
    <w:basedOn w:val="1"/>
    <w:link w:val="27"/>
    <w:semiHidden/>
    <w:unhideWhenUsed/>
    <w:qFormat/>
    <w:uiPriority w:val="99"/>
    <w:rPr>
      <w:sz w:val="18"/>
      <w:szCs w:val="18"/>
    </w:rPr>
  </w:style>
  <w:style w:type="paragraph" w:styleId="8">
    <w:name w:val="footer"/>
    <w:basedOn w:val="1"/>
    <w:link w:val="21"/>
    <w:unhideWhenUsed/>
    <w:uiPriority w:val="99"/>
    <w:pPr>
      <w:tabs>
        <w:tab w:val="center" w:pos="4153"/>
        <w:tab w:val="right" w:pos="8306"/>
      </w:tabs>
      <w:snapToGrid w:val="0"/>
    </w:pPr>
    <w:rPr>
      <w:sz w:val="18"/>
      <w:szCs w:val="18"/>
    </w:rPr>
  </w:style>
  <w:style w:type="paragraph" w:styleId="9">
    <w:name w:val="header"/>
    <w:basedOn w:val="1"/>
    <w:link w:val="20"/>
    <w:unhideWhenUsed/>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uiPriority w:val="39"/>
    <w:pPr>
      <w:tabs>
        <w:tab w:val="right" w:leader="dot" w:pos="9062"/>
      </w:tabs>
      <w:snapToGrid w:val="0"/>
      <w:spacing w:after="120" w:afterLines="50"/>
      <w:jc w:val="both"/>
      <w:pPrChange w:id="2" w:author="CODEX" w:date="2022-03-22T13:52:00Z">
        <w:pPr>
          <w:widowControl w:val="0"/>
          <w:autoSpaceDE w:val="0"/>
          <w:autoSpaceDN w:val="0"/>
          <w:adjustRightInd w:val="0"/>
          <w:ind w:left="424" w:hanging="424" w:hangingChars="201"/>
        </w:pPr>
      </w:pPrChange>
    </w:pPr>
    <w:rPr>
      <w:rFonts w:eastAsia="宋体"/>
      <w:sz w:val="24"/>
      <w:rPrChange w:id="3" w:author="CODEX" w:date="2022-03-22T13:52:00Z">
        <w:rPr>
          <w:rFonts w:eastAsia="宋体"/>
          <w:sz w:val="24"/>
          <w:lang w:val="en-US" w:eastAsia="zh-CN" w:bidi="ar-SA"/>
        </w:rPr>
      </w:rPrChange>
    </w:rPr>
  </w:style>
  <w:style w:type="paragraph" w:styleId="11">
    <w:name w:val="footnote text"/>
    <w:basedOn w:val="1"/>
    <w:link w:val="22"/>
    <w:semiHidden/>
    <w:unhideWhenUsed/>
    <w:uiPriority w:val="99"/>
    <w:pPr>
      <w:snapToGrid w:val="0"/>
    </w:pPr>
    <w:rPr>
      <w:sz w:val="18"/>
      <w:szCs w:val="18"/>
    </w:rPr>
  </w:style>
  <w:style w:type="paragraph" w:styleId="12">
    <w:name w:val="toc 2"/>
    <w:basedOn w:val="1"/>
    <w:next w:val="1"/>
    <w:unhideWhenUsed/>
    <w:uiPriority w:val="39"/>
    <w:pPr>
      <w:tabs>
        <w:tab w:val="left" w:pos="709"/>
        <w:tab w:val="right" w:leader="dot" w:pos="9062"/>
      </w:tabs>
      <w:snapToGrid w:val="0"/>
      <w:spacing w:after="50" w:afterLines="50"/>
      <w:ind w:left="150" w:leftChars="150"/>
      <w:jc w:val="both"/>
      <w:pPrChange w:id="4" w:author="CODEX" w:date="2022-03-22T13:52:00Z">
        <w:pPr>
          <w:widowControl w:val="0"/>
          <w:autoSpaceDE w:val="0"/>
          <w:autoSpaceDN w:val="0"/>
          <w:adjustRightInd w:val="0"/>
          <w:ind w:left="284" w:leftChars="142"/>
        </w:pPr>
      </w:pPrChange>
    </w:pPr>
    <w:rPr>
      <w:rFonts w:eastAsia="宋体"/>
      <w:sz w:val="24"/>
      <w:rPrChange w:id="5" w:author="CODEX" w:date="2022-03-22T13:52:00Z">
        <w:rPr>
          <w:rFonts w:eastAsia="宋体"/>
          <w:sz w:val="21"/>
          <w:lang w:val="en-US" w:eastAsia="zh-CN" w:bidi="ar-SA"/>
        </w:rPr>
      </w:rPrChange>
    </w:rPr>
  </w:style>
  <w:style w:type="paragraph" w:styleId="13">
    <w:name w:val="annotation subject"/>
    <w:basedOn w:val="5"/>
    <w:next w:val="5"/>
    <w:link w:val="29"/>
    <w:semiHidden/>
    <w:unhideWhenUsed/>
    <w:uiPriority w:val="99"/>
    <w:rPr>
      <w:b/>
      <w:bCs/>
    </w:rPr>
  </w:style>
  <w:style w:type="character" w:styleId="16">
    <w:name w:val="Hyperlink"/>
    <w:unhideWhenUsed/>
    <w:uiPriority w:val="99"/>
    <w:rPr>
      <w:color w:val="0563C1"/>
      <w:u w:val="single"/>
      <w:rPrChange w:id="6" w:author="CODEX" w:date="2022-03-22T13:52:00Z">
        <w:rPr>
          <w:color w:val="0000FF" w:themeColor="hyperlink"/>
          <w:u w:val="single"/>
          <w14:textFill>
            <w14:solidFill>
              <w14:schemeClr w14:val="hlink"/>
            </w14:solidFill>
          </w14:textFill>
        </w:rPr>
      </w:rPrChange>
    </w:rPr>
  </w:style>
  <w:style w:type="character" w:styleId="17">
    <w:name w:val="annotation reference"/>
    <w:semiHidden/>
    <w:unhideWhenUsed/>
    <w:uiPriority w:val="99"/>
    <w:rPr>
      <w:sz w:val="21"/>
      <w:szCs w:val="21"/>
    </w:rPr>
  </w:style>
  <w:style w:type="character" w:styleId="18">
    <w:name w:val="footnote reference"/>
    <w:semiHidden/>
    <w:unhideWhenUsed/>
    <w:uiPriority w:val="99"/>
    <w:rPr>
      <w:vertAlign w:val="superscript"/>
    </w:rPr>
  </w:style>
  <w:style w:type="paragraph" w:customStyle="1" w:styleId="19">
    <w:name w:val="Default"/>
    <w:uiPriority w:val="0"/>
    <w:pPr>
      <w:widowControl w:val="0"/>
      <w:autoSpaceDE w:val="0"/>
      <w:autoSpaceDN w:val="0"/>
      <w:adjustRightInd w:val="0"/>
    </w:pPr>
    <w:rPr>
      <w:rFonts w:ascii="Times New Roman" w:hAnsi="Times New Roman" w:eastAsia="等线" w:cs="Times New Roman"/>
      <w:color w:val="000000"/>
      <w:sz w:val="24"/>
      <w:szCs w:val="24"/>
      <w:lang w:val="en-US" w:eastAsia="zh-CN" w:bidi="ar-SA"/>
    </w:rPr>
  </w:style>
  <w:style w:type="character" w:customStyle="1" w:styleId="20">
    <w:name w:val="页眉 字符"/>
    <w:link w:val="9"/>
    <w:uiPriority w:val="99"/>
    <w:rPr>
      <w:rFonts w:ascii="Times New Roman" w:hAnsi="Times New Roman" w:cs="Times New Roman"/>
      <w:kern w:val="0"/>
      <w:sz w:val="18"/>
      <w:szCs w:val="18"/>
    </w:rPr>
  </w:style>
  <w:style w:type="character" w:customStyle="1" w:styleId="21">
    <w:name w:val="页脚 字符"/>
    <w:link w:val="8"/>
    <w:uiPriority w:val="99"/>
    <w:rPr>
      <w:rFonts w:ascii="Times New Roman" w:hAnsi="Times New Roman" w:cs="Times New Roman"/>
      <w:kern w:val="0"/>
      <w:sz w:val="18"/>
      <w:szCs w:val="18"/>
    </w:rPr>
  </w:style>
  <w:style w:type="character" w:customStyle="1" w:styleId="22">
    <w:name w:val="脚注文本 字符"/>
    <w:link w:val="11"/>
    <w:semiHidden/>
    <w:uiPriority w:val="99"/>
    <w:rPr>
      <w:rFonts w:ascii="Times New Roman" w:hAnsi="Times New Roman" w:cs="Times New Roman"/>
      <w:kern w:val="0"/>
      <w:sz w:val="18"/>
      <w:szCs w:val="18"/>
    </w:rPr>
  </w:style>
  <w:style w:type="character" w:customStyle="1" w:styleId="23">
    <w:name w:val="标题 1 字符"/>
    <w:link w:val="2"/>
    <w:uiPriority w:val="9"/>
    <w:rPr>
      <w:rFonts w:ascii="Times New Roman" w:hAnsi="Times New Roman" w:cs="Times New Roman"/>
      <w:b/>
      <w:bCs/>
      <w:kern w:val="0"/>
      <w:sz w:val="36"/>
      <w:szCs w:val="36"/>
    </w:rPr>
  </w:style>
  <w:style w:type="character" w:customStyle="1" w:styleId="24">
    <w:name w:val="标题 2 字符"/>
    <w:link w:val="3"/>
    <w:uiPriority w:val="9"/>
    <w:rPr>
      <w:rFonts w:ascii="Times New Roman" w:hAnsi="Times New Roman" w:cs="Times New Roman"/>
      <w:b/>
      <w:bCs/>
      <w:kern w:val="0"/>
      <w:sz w:val="32"/>
      <w:szCs w:val="32"/>
    </w:rPr>
  </w:style>
  <w:style w:type="character" w:customStyle="1" w:styleId="25">
    <w:name w:val="标题 3 字符"/>
    <w:link w:val="4"/>
    <w:uiPriority w:val="9"/>
    <w:rPr>
      <w:rFonts w:ascii="Times New Roman" w:hAnsi="Times New Roman" w:eastAsia="宋体" w:cs="Times New Roman"/>
      <w:b/>
      <w:bCs/>
      <w:color w:val="000000"/>
      <w:kern w:val="0"/>
      <w:sz w:val="28"/>
      <w:szCs w:val="28"/>
    </w:rPr>
  </w:style>
  <w:style w:type="character" w:customStyle="1" w:styleId="26">
    <w:name w:val="未处理的提及1"/>
    <w:semiHidden/>
    <w:unhideWhenUsed/>
    <w:qFormat/>
    <w:uiPriority w:val="99"/>
    <w:rPr>
      <w:color w:val="605E5C"/>
      <w:shd w:val="clear" w:color="auto" w:fill="E1DFDD"/>
    </w:rPr>
  </w:style>
  <w:style w:type="character" w:customStyle="1" w:styleId="27">
    <w:name w:val="批注框文本 字符"/>
    <w:link w:val="7"/>
    <w:semiHidden/>
    <w:uiPriority w:val="99"/>
    <w:rPr>
      <w:rFonts w:ascii="Times New Roman" w:hAnsi="Times New Roman" w:cs="Times New Roman"/>
      <w:kern w:val="0"/>
      <w:sz w:val="18"/>
      <w:szCs w:val="18"/>
    </w:rPr>
  </w:style>
  <w:style w:type="character" w:customStyle="1" w:styleId="28">
    <w:name w:val="批注文字 字符"/>
    <w:link w:val="5"/>
    <w:semiHidden/>
    <w:uiPriority w:val="99"/>
    <w:rPr>
      <w:rFonts w:ascii="Times New Roman" w:hAnsi="Times New Roman" w:cs="Times New Roman"/>
      <w:kern w:val="0"/>
      <w:sz w:val="20"/>
      <w:szCs w:val="20"/>
    </w:rPr>
  </w:style>
  <w:style w:type="character" w:customStyle="1" w:styleId="29">
    <w:name w:val="批注主题 字符"/>
    <w:link w:val="13"/>
    <w:semiHidden/>
    <w:uiPriority w:val="99"/>
    <w:rPr>
      <w:rFonts w:ascii="Times New Roman" w:hAnsi="Times New Roman" w:cs="Times New Roman"/>
      <w:b/>
      <w:bCs/>
      <w:kern w:val="0"/>
      <w:sz w:val="20"/>
      <w:szCs w:val="20"/>
    </w:rPr>
  </w:style>
  <w:style w:type="paragraph" w:customStyle="1" w:styleId="30">
    <w:name w:val="paragraph"/>
    <w:basedOn w:val="1"/>
    <w:uiPriority w:val="0"/>
    <w:pPr>
      <w:widowControl/>
      <w:autoSpaceDE/>
      <w:autoSpaceDN/>
      <w:adjustRightInd/>
      <w:spacing w:before="100" w:beforeAutospacing="1" w:after="100" w:afterAutospacing="1"/>
    </w:pPr>
    <w:rPr>
      <w:rFonts w:ascii="宋体" w:hAnsi="宋体" w:eastAsia="宋体" w:cs="宋体"/>
      <w:sz w:val="24"/>
      <w:szCs w:val="24"/>
    </w:rPr>
  </w:style>
  <w:style w:type="paragraph" w:customStyle="1" w:styleId="31">
    <w:name w:val="Revision"/>
    <w:hidden/>
    <w:semiHidden/>
    <w:uiPriority w:val="99"/>
    <w:rPr>
      <w:rFonts w:ascii="Times New Roman" w:hAnsi="Times New Roman" w:eastAsia="等线"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77"/>
    <customShpInfo spid="_x0000_s2068"/>
    <customShpInfo spid="_x0000_s2061"/>
    <customShpInfo spid="_x0000_s2055"/>
    <customShpInfo spid="_x0000_s2054"/>
    <customShpInfo spid="_x0000_s2057"/>
    <customShpInfo spid="_x0000_s2056"/>
    <customShpInfo spid="_x0000_s2079"/>
    <customShpInfo spid="_x0000_s2053"/>
    <customShpInfo spid="_x0000_s2075"/>
    <customShpInfo spid="_x0000_s2078"/>
    <customShpInfo spid="_x0000_s2062"/>
    <customShpInfo spid="_x0000_s2069"/>
    <customShpInfo spid="_x0000_s2072"/>
    <customShpInfo spid="_x0000_s2073"/>
    <customShpInfo spid="_x0000_s2067"/>
    <customShpInfo spid="_x0000_s2076"/>
    <customShpInfo spid="_x0000_s2050"/>
    <customShpInfo spid="_x0000_s2081"/>
    <customShpInfo spid="_x0000_s2080"/>
    <customShpInfo spid="_x0000_s2074"/>
    <customShpInfo spid="_x0000_s2071"/>
    <customShpInfo spid="_x0000_s2070"/>
    <customShpInfo spid="_x0000_s2066"/>
    <customShpInfo spid="_x0000_s2065"/>
    <customShpInfo spid="_x0000_s2064"/>
    <customShpInfo spid="_x0000_s2063"/>
    <customShpInfo spid="_x0000_s2060"/>
    <customShpInfo spid="_x0000_s2059"/>
    <customShpInfo spid="_x0000_s2058"/>
    <customShpInfo spid="_x0000_s2052"/>
    <customShpInfo spid="_x0000_s2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7EF48C-2043-4280-B354-997B014C5D4E}">
  <ds:schemaRefs/>
</ds:datastoreItem>
</file>

<file path=docProps/app.xml><?xml version="1.0" encoding="utf-8"?>
<Properties xmlns="http://schemas.openxmlformats.org/officeDocument/2006/extended-properties" xmlns:vt="http://schemas.openxmlformats.org/officeDocument/2006/docPropsVTypes">
  <Template>Normal.dotm</Template>
  <Pages>28</Pages>
  <Words>3984</Words>
  <Characters>22711</Characters>
  <Lines>189</Lines>
  <Paragraphs>53</Paragraphs>
  <TotalTime>106</TotalTime>
  <ScaleCrop>false</ScaleCrop>
  <LinksUpToDate>false</LinksUpToDate>
  <CharactersWithSpaces>26642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2022-03-21T10:02:00Z</dcterms:created>
  <dc:creator>tzi</dc:creator>
  <cp:lastModifiedBy>何佳俊</cp:lastModifiedBy>
  <dcterms:modified xsi:type="dcterms:W3CDTF">2022-10-09T06:45:25Z</dcterms:modified>
  <dc:title>Attachment B CDRH Draft Guidance Cover Sheet</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816ACB6316FC4C68A9AB34C20B778FBB</vt:lpwstr>
  </property>
</Properties>
</file>