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pBdr>
          <w:bottom w:val="single" w:color="auto" w:sz="4" w:space="1"/>
        </w:pBdr>
        <w:snapToGrid w:val="0"/>
        <w:spacing w:after="240" w:afterLines="100"/>
        <w:jc w:val="center"/>
        <w:rPr>
          <w:rFonts w:eastAsia="宋体"/>
          <w:b/>
          <w:bCs/>
          <w:sz w:val="52"/>
          <w:szCs w:val="52"/>
        </w:rPr>
      </w:pPr>
      <w:bookmarkStart w:id="3" w:name="_GoBack"/>
      <w:r>
        <w:rPr>
          <w:rFonts w:eastAsia="宋体"/>
          <w:b/>
          <w:bCs/>
          <w:sz w:val="52"/>
          <w:szCs w:val="52"/>
        </w:rPr>
        <w:t>上市前批准申请（PMA）的</w:t>
      </w:r>
      <w:r>
        <w:rPr>
          <w:rFonts w:hint="eastAsia" w:eastAsia="宋体"/>
          <w:b/>
          <w:bCs/>
          <w:sz w:val="52"/>
          <w:szCs w:val="52"/>
        </w:rPr>
        <w:br w:type="textWrapping"/>
      </w:r>
      <w:r>
        <w:rPr>
          <w:rFonts w:hint="eastAsia" w:eastAsia="宋体"/>
          <w:b/>
          <w:bCs/>
          <w:sz w:val="52"/>
          <w:szCs w:val="52"/>
        </w:rPr>
        <w:t>验收</w:t>
      </w:r>
      <w:r>
        <w:rPr>
          <w:rFonts w:eastAsia="宋体"/>
          <w:b/>
          <w:bCs/>
          <w:sz w:val="52"/>
          <w:szCs w:val="52"/>
        </w:rPr>
        <w:t>和备案审评</w:t>
      </w:r>
    </w:p>
    <w:bookmarkEnd w:id="3"/>
    <w:p>
      <w:pPr>
        <w:pStyle w:val="16"/>
        <w:pBdr>
          <w:bottom w:val="single" w:color="auto" w:sz="4" w:space="1"/>
        </w:pBdr>
        <w:snapToGrid w:val="0"/>
        <w:spacing w:after="240" w:afterLines="100"/>
        <w:jc w:val="center"/>
        <w:rPr>
          <w:rFonts w:eastAsia="宋体"/>
          <w:sz w:val="2"/>
          <w:szCs w:val="2"/>
        </w:rPr>
      </w:pPr>
    </w:p>
    <w:p>
      <w:pPr>
        <w:snapToGrid w:val="0"/>
        <w:spacing w:after="240" w:afterLines="100"/>
        <w:jc w:val="center"/>
        <w:rPr>
          <w:rFonts w:eastAsia="宋体"/>
          <w:b/>
          <w:bCs/>
          <w:sz w:val="52"/>
          <w:szCs w:val="52"/>
        </w:rPr>
      </w:pPr>
      <w:r>
        <w:rPr>
          <w:rFonts w:eastAsia="宋体"/>
          <w:b/>
          <w:bCs/>
          <w:sz w:val="52"/>
          <w:szCs w:val="52"/>
        </w:rPr>
        <w:t>行业和美国食品药品监督管理局</w:t>
      </w:r>
      <w:r>
        <w:rPr>
          <w:rFonts w:hint="eastAsia" w:eastAsia="宋体"/>
          <w:b/>
          <w:bCs/>
          <w:sz w:val="52"/>
          <w:szCs w:val="52"/>
        </w:rPr>
        <w:br w:type="textWrapping"/>
      </w:r>
      <w:r>
        <w:rPr>
          <w:rFonts w:eastAsia="宋体"/>
          <w:b/>
          <w:bCs/>
          <w:sz w:val="52"/>
          <w:szCs w:val="52"/>
        </w:rPr>
        <w:t>工作人员指南</w:t>
      </w:r>
    </w:p>
    <w:p>
      <w:pPr>
        <w:pStyle w:val="16"/>
        <w:snapToGrid w:val="0"/>
        <w:spacing w:after="240" w:afterLines="100"/>
        <w:jc w:val="center"/>
        <w:rPr>
          <w:rFonts w:eastAsia="宋体"/>
          <w:b/>
          <w:bCs/>
          <w:sz w:val="28"/>
          <w:szCs w:val="28"/>
        </w:rPr>
      </w:pPr>
    </w:p>
    <w:p>
      <w:pPr>
        <w:pStyle w:val="16"/>
        <w:snapToGrid w:val="0"/>
        <w:spacing w:after="240" w:afterLines="100"/>
        <w:jc w:val="center"/>
        <w:rPr>
          <w:rFonts w:eastAsia="宋体"/>
          <w:b/>
          <w:bCs/>
        </w:rPr>
      </w:pPr>
      <w:r>
        <w:rPr>
          <w:rFonts w:eastAsia="宋体"/>
          <w:b/>
          <w:bCs/>
        </w:rPr>
        <w:t>文件发布日期：2019年12月16日。</w:t>
      </w:r>
    </w:p>
    <w:p>
      <w:pPr>
        <w:pStyle w:val="16"/>
        <w:snapToGrid w:val="0"/>
        <w:spacing w:after="240" w:afterLines="100"/>
        <w:jc w:val="center"/>
        <w:rPr>
          <w:rFonts w:eastAsia="宋体"/>
          <w:b/>
          <w:bCs/>
        </w:rPr>
      </w:pPr>
    </w:p>
    <w:p>
      <w:pPr>
        <w:pStyle w:val="16"/>
        <w:snapToGrid w:val="0"/>
        <w:spacing w:after="240" w:afterLines="100"/>
        <w:jc w:val="center"/>
        <w:rPr>
          <w:rFonts w:eastAsia="宋体"/>
          <w:b/>
          <w:bCs/>
        </w:rPr>
      </w:pPr>
      <w:r>
        <w:rPr>
          <w:rFonts w:eastAsia="宋体"/>
          <w:b/>
          <w:bCs/>
        </w:rPr>
        <w:t>文件</w:t>
      </w:r>
      <w:r>
        <w:rPr>
          <w:rFonts w:hint="eastAsia" w:eastAsia="宋体"/>
          <w:b/>
          <w:bCs/>
        </w:rPr>
        <w:t>最初发布日期：</w:t>
      </w:r>
      <w:r>
        <w:rPr>
          <w:rFonts w:eastAsia="宋体"/>
          <w:b/>
          <w:bCs/>
        </w:rPr>
        <w:t>2003年5月1日。</w:t>
      </w:r>
    </w:p>
    <w:p>
      <w:pPr>
        <w:snapToGrid w:val="0"/>
        <w:spacing w:after="240" w:afterLines="100"/>
        <w:jc w:val="center"/>
        <w:rPr>
          <w:rFonts w:eastAsia="宋体"/>
          <w:b/>
          <w:bCs/>
          <w:sz w:val="24"/>
          <w:szCs w:val="24"/>
        </w:rPr>
      </w:pPr>
      <w:r>
        <w:rPr>
          <w:rFonts w:eastAsia="宋体"/>
          <w:b/>
          <w:bCs/>
          <w:sz w:val="24"/>
          <w:szCs w:val="24"/>
        </w:rPr>
        <w:t>本文件取代2019年2月21日发布的</w:t>
      </w:r>
      <w:r>
        <w:rPr>
          <w:rFonts w:hint="eastAsia" w:eastAsia="宋体"/>
          <w:b/>
          <w:bCs/>
          <w:sz w:val="24"/>
          <w:szCs w:val="24"/>
        </w:rPr>
        <w:br w:type="textWrapping"/>
      </w:r>
      <w:r>
        <w:rPr>
          <w:rFonts w:eastAsia="宋体"/>
          <w:b/>
          <w:bCs/>
          <w:sz w:val="24"/>
          <w:szCs w:val="24"/>
        </w:rPr>
        <w:t>《上市前批准申请（PMA）的</w:t>
      </w:r>
      <w:r>
        <w:rPr>
          <w:rFonts w:hint="eastAsia" w:eastAsia="宋体"/>
          <w:b/>
          <w:bCs/>
          <w:sz w:val="24"/>
          <w:szCs w:val="24"/>
        </w:rPr>
        <w:t>验收和</w:t>
      </w:r>
      <w:r>
        <w:rPr>
          <w:rFonts w:eastAsia="宋体"/>
          <w:b/>
          <w:bCs/>
          <w:sz w:val="24"/>
          <w:szCs w:val="24"/>
        </w:rPr>
        <w:t>备案审评》。</w:t>
      </w:r>
    </w:p>
    <w:p>
      <w:pPr>
        <w:snapToGrid w:val="0"/>
        <w:spacing w:after="240" w:afterLines="100"/>
        <w:jc w:val="both"/>
        <w:rPr>
          <w:rFonts w:eastAsia="宋体"/>
          <w:b/>
          <w:bCs/>
          <w:sz w:val="28"/>
          <w:szCs w:val="28"/>
        </w:rPr>
      </w:pPr>
    </w:p>
    <w:p>
      <w:pPr>
        <w:snapToGrid w:val="0"/>
        <w:spacing w:after="240" w:afterLines="100"/>
        <w:ind w:firstLine="480" w:firstLineChars="200"/>
        <w:jc w:val="both"/>
        <w:rPr>
          <w:rFonts w:eastAsia="宋体"/>
          <w:sz w:val="24"/>
          <w:szCs w:val="24"/>
        </w:rPr>
      </w:pPr>
      <w:r>
        <w:rPr>
          <w:rFonts w:hint="eastAsia" w:eastAsia="宋体"/>
          <w:color w:val="000000"/>
          <w:sz w:val="24"/>
          <w:szCs w:val="24"/>
        </w:rPr>
        <w:t>如对</w:t>
      </w:r>
      <w:r>
        <w:rPr>
          <w:rFonts w:eastAsia="宋体"/>
          <w:color w:val="000000"/>
          <w:sz w:val="24"/>
          <w:szCs w:val="24"/>
        </w:rPr>
        <w:t>本文件</w:t>
      </w:r>
      <w:r>
        <w:rPr>
          <w:rFonts w:hint="eastAsia" w:eastAsia="宋体"/>
          <w:color w:val="000000"/>
          <w:sz w:val="24"/>
          <w:szCs w:val="24"/>
        </w:rPr>
        <w:t>有关</w:t>
      </w:r>
      <w:r>
        <w:rPr>
          <w:rFonts w:eastAsia="宋体"/>
          <w:color w:val="000000"/>
          <w:sz w:val="24"/>
          <w:szCs w:val="24"/>
        </w:rPr>
        <w:t>CDRH监管器械的内容有任何</w:t>
      </w:r>
      <w:r>
        <w:rPr>
          <w:rFonts w:hint="eastAsia" w:eastAsia="宋体"/>
          <w:color w:val="000000"/>
          <w:sz w:val="24"/>
          <w:szCs w:val="24"/>
        </w:rPr>
        <w:t>疑问</w:t>
      </w:r>
      <w:r>
        <w:rPr>
          <w:rFonts w:eastAsia="宋体"/>
          <w:color w:val="000000"/>
          <w:sz w:val="24"/>
          <w:szCs w:val="24"/>
        </w:rPr>
        <w:t>，请致电301-796-5640联系</w:t>
      </w:r>
      <w:r>
        <w:rPr>
          <w:rFonts w:hint="eastAsia" w:eastAsia="宋体"/>
          <w:color w:val="000000"/>
          <w:sz w:val="24"/>
          <w:szCs w:val="24"/>
        </w:rPr>
        <w:t>监管计划办公室</w:t>
      </w:r>
      <w:r>
        <w:rPr>
          <w:rFonts w:eastAsia="宋体"/>
          <w:color w:val="000000"/>
          <w:sz w:val="24"/>
          <w:szCs w:val="24"/>
        </w:rPr>
        <w:t>。</w:t>
      </w:r>
      <w:r>
        <w:rPr>
          <w:rFonts w:hint="eastAsia" w:eastAsia="宋体"/>
          <w:color w:val="000000"/>
          <w:sz w:val="24"/>
          <w:szCs w:val="24"/>
        </w:rPr>
        <w:t>如对</w:t>
      </w:r>
      <w:r>
        <w:rPr>
          <w:rFonts w:eastAsia="宋体"/>
          <w:color w:val="000000"/>
          <w:sz w:val="24"/>
          <w:szCs w:val="24"/>
        </w:rPr>
        <w:t>本文件</w:t>
      </w:r>
      <w:r>
        <w:rPr>
          <w:rFonts w:hint="eastAsia" w:eastAsia="宋体"/>
          <w:color w:val="000000"/>
          <w:sz w:val="24"/>
          <w:szCs w:val="24"/>
        </w:rPr>
        <w:t>有关</w:t>
      </w:r>
      <w:r>
        <w:rPr>
          <w:rFonts w:eastAsia="宋体"/>
          <w:color w:val="000000"/>
          <w:sz w:val="24"/>
          <w:szCs w:val="24"/>
        </w:rPr>
        <w:t>CBER监管器械的内容有任何</w:t>
      </w:r>
      <w:r>
        <w:rPr>
          <w:rFonts w:hint="eastAsia" w:eastAsia="宋体"/>
          <w:color w:val="000000"/>
          <w:sz w:val="24"/>
          <w:szCs w:val="24"/>
        </w:rPr>
        <w:t>疑问</w:t>
      </w:r>
      <w:r>
        <w:rPr>
          <w:rFonts w:eastAsia="宋体"/>
          <w:color w:val="000000"/>
          <w:sz w:val="24"/>
          <w:szCs w:val="24"/>
        </w:rPr>
        <w:t>，请致电1-800-835-4709或240-402-8010，或</w:t>
      </w:r>
      <w:r>
        <w:rPr>
          <w:rFonts w:hint="eastAsia" w:eastAsia="宋体"/>
          <w:color w:val="000000"/>
          <w:sz w:val="24"/>
          <w:szCs w:val="24"/>
        </w:rPr>
        <w:t>发送</w:t>
      </w:r>
      <w:r>
        <w:rPr>
          <w:rFonts w:eastAsia="宋体"/>
          <w:color w:val="000000"/>
          <w:sz w:val="24"/>
          <w:szCs w:val="24"/>
        </w:rPr>
        <w:t>电子邮件至</w:t>
      </w:r>
      <w:r>
        <w:rPr>
          <w:rFonts w:eastAsia="宋体"/>
          <w:color w:val="0000FF"/>
          <w:sz w:val="24"/>
          <w:szCs w:val="24"/>
          <w:u w:val="single"/>
        </w:rPr>
        <w:t>ocod@fda.hhs.gov</w:t>
      </w:r>
      <w:r>
        <w:rPr>
          <w:rFonts w:hint="eastAsia" w:eastAsia="宋体"/>
          <w:color w:val="000000"/>
          <w:sz w:val="24"/>
          <w:szCs w:val="24"/>
        </w:rPr>
        <w:t>联系</w:t>
      </w:r>
      <w:r>
        <w:rPr>
          <w:rFonts w:hint="eastAsia" w:eastAsia="宋体"/>
          <w:color w:val="000000"/>
          <w:sz w:val="24"/>
          <w:szCs w:val="24"/>
        </w:rPr>
        <w:t>交流</w:t>
      </w:r>
      <w:r>
        <w:rPr>
          <w:rFonts w:hint="eastAsia" w:eastAsia="宋体"/>
          <w:color w:val="000000"/>
          <w:sz w:val="24"/>
          <w:szCs w:val="24"/>
        </w:rPr>
        <w:t>、外联</w:t>
      </w:r>
      <w:r>
        <w:rPr>
          <w:rFonts w:hint="eastAsia" w:eastAsia="宋体"/>
          <w:color w:val="000000"/>
          <w:sz w:val="24"/>
          <w:szCs w:val="24"/>
        </w:rPr>
        <w:t>和</w:t>
      </w:r>
      <w:r>
        <w:rPr>
          <w:rFonts w:hint="eastAsia" w:eastAsia="宋体"/>
          <w:color w:val="000000"/>
          <w:sz w:val="24"/>
          <w:szCs w:val="24"/>
        </w:rPr>
        <w:t>发展办公室（</w:t>
      </w:r>
      <w:r>
        <w:rPr>
          <w:rFonts w:eastAsia="宋体"/>
          <w:color w:val="000000"/>
          <w:sz w:val="24"/>
          <w:szCs w:val="24"/>
        </w:rPr>
        <w:t>OCOD</w:t>
      </w:r>
      <w:r>
        <w:rPr>
          <w:rFonts w:hint="eastAsia" w:eastAsia="宋体"/>
          <w:color w:val="000000"/>
          <w:sz w:val="24"/>
          <w:szCs w:val="24"/>
        </w:rPr>
        <w:t>）。</w:t>
      </w:r>
    </w:p>
    <w:p>
      <w:pPr>
        <w:snapToGrid w:val="0"/>
        <w:spacing w:after="240" w:afterLines="100"/>
        <w:jc w:val="both"/>
        <w:rPr>
          <w:rFonts w:eastAsia="宋体"/>
          <w:sz w:val="24"/>
          <w:szCs w:val="24"/>
        </w:rPr>
      </w:pPr>
    </w:p>
    <w:tbl>
      <w:tblPr>
        <w:tblStyle w:val="9"/>
        <w:tblW w:w="5000" w:type="pct"/>
        <w:tblInd w:w="0" w:type="dxa"/>
        <w:tblLayout w:type="autofit"/>
        <w:tblCellMar>
          <w:top w:w="57" w:type="dxa"/>
          <w:left w:w="57" w:type="dxa"/>
          <w:bottom w:w="57" w:type="dxa"/>
          <w:right w:w="57" w:type="dxa"/>
        </w:tblCellMar>
      </w:tblPr>
      <w:tblGrid>
        <w:gridCol w:w="4245"/>
        <w:gridCol w:w="5223"/>
      </w:tblGrid>
      <w:tr>
        <w:tblPrEx>
          <w:tblCellMar>
            <w:top w:w="57" w:type="dxa"/>
            <w:left w:w="57" w:type="dxa"/>
            <w:bottom w:w="57" w:type="dxa"/>
            <w:right w:w="57" w:type="dxa"/>
          </w:tblCellMar>
        </w:tblPrEx>
        <w:trPr>
          <w:trHeight w:val="1701" w:hRule="atLeast"/>
        </w:trPr>
        <w:tc>
          <w:tcPr>
            <w:tcW w:w="2242" w:type="pct"/>
            <w:tcBorders>
              <w:top w:val="nil"/>
              <w:left w:val="nil"/>
              <w:bottom w:val="nil"/>
              <w:right w:val="nil"/>
            </w:tcBorders>
            <w:shd w:val="clear" w:color="auto" w:fill="FFFFFF"/>
            <w:tcMar>
              <w:left w:w="57" w:type="dxa"/>
              <w:right w:w="57" w:type="dxa"/>
            </w:tcMar>
          </w:tcPr>
          <w:p>
            <w:pPr>
              <w:snapToGrid w:val="0"/>
              <w:spacing w:after="240" w:afterLines="100"/>
              <w:jc w:val="both"/>
              <w:rPr>
                <w:rFonts w:eastAsia="宋体"/>
                <w:sz w:val="24"/>
                <w:szCs w:val="24"/>
              </w:rPr>
            </w:pPr>
            <w:r>
              <w:rPr>
                <w:rFonts w:eastAsia="宋体"/>
                <w:szCs w:val="15"/>
              </w:rPr>
              <w:drawing>
                <wp:inline distT="0" distB="0" distL="0" distR="0">
                  <wp:extent cx="2179320" cy="60198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cstate="print"/>
                          <a:srcRect/>
                          <a:stretch>
                            <a:fillRect/>
                          </a:stretch>
                        </pic:blipFill>
                        <pic:spPr>
                          <a:xfrm>
                            <a:off x="0" y="0"/>
                            <a:ext cx="2179320" cy="601980"/>
                          </a:xfrm>
                          <a:prstGeom prst="rect">
                            <a:avLst/>
                          </a:prstGeom>
                          <a:noFill/>
                          <a:ln w="9525">
                            <a:noFill/>
                            <a:miter lim="800000"/>
                            <a:headEnd/>
                            <a:tailEnd/>
                          </a:ln>
                        </pic:spPr>
                      </pic:pic>
                    </a:graphicData>
                  </a:graphic>
                </wp:inline>
              </w:drawing>
            </w:r>
          </w:p>
        </w:tc>
        <w:tc>
          <w:tcPr>
            <w:tcW w:w="2758" w:type="pct"/>
            <w:tcBorders>
              <w:top w:val="nil"/>
              <w:left w:val="nil"/>
              <w:bottom w:val="nil"/>
              <w:right w:val="nil"/>
            </w:tcBorders>
            <w:shd w:val="clear" w:color="auto" w:fill="FFFFFF"/>
            <w:tcMar>
              <w:left w:w="57" w:type="dxa"/>
              <w:right w:w="57" w:type="dxa"/>
            </w:tcMar>
          </w:tcPr>
          <w:p>
            <w:pPr>
              <w:pStyle w:val="16"/>
              <w:snapToGrid w:val="0"/>
              <w:spacing w:after="240" w:afterLines="100"/>
              <w:jc w:val="right"/>
              <w:rPr>
                <w:rFonts w:eastAsia="宋体"/>
              </w:rPr>
            </w:pPr>
            <w:r>
              <w:rPr>
                <w:rFonts w:eastAsia="宋体"/>
                <w:b/>
                <w:bCs/>
              </w:rPr>
              <w:t>美国卫生</w:t>
            </w:r>
            <w:r>
              <w:rPr>
                <w:rFonts w:hint="eastAsia" w:eastAsia="宋体"/>
                <w:b/>
                <w:bCs/>
              </w:rPr>
              <w:t>与</w:t>
            </w:r>
            <w:r>
              <w:rPr>
                <w:rFonts w:eastAsia="宋体"/>
                <w:b/>
                <w:bCs/>
              </w:rPr>
              <w:t xml:space="preserve">公众服务部 </w:t>
            </w:r>
          </w:p>
          <w:p>
            <w:pPr>
              <w:pStyle w:val="16"/>
              <w:snapToGrid w:val="0"/>
              <w:spacing w:after="240" w:afterLines="100"/>
              <w:jc w:val="right"/>
              <w:rPr>
                <w:rFonts w:eastAsia="宋体"/>
              </w:rPr>
            </w:pPr>
            <w:r>
              <w:rPr>
                <w:rFonts w:eastAsia="宋体"/>
                <w:b/>
                <w:bCs/>
              </w:rPr>
              <w:t xml:space="preserve">美国食品药品监督管理局 </w:t>
            </w:r>
          </w:p>
          <w:p>
            <w:pPr>
              <w:pStyle w:val="16"/>
              <w:snapToGrid w:val="0"/>
              <w:spacing w:after="240" w:afterLines="100"/>
              <w:jc w:val="right"/>
              <w:rPr>
                <w:rFonts w:eastAsia="宋体"/>
              </w:rPr>
            </w:pPr>
            <w:r>
              <w:rPr>
                <w:rFonts w:eastAsia="宋体"/>
                <w:b/>
                <w:bCs/>
              </w:rPr>
              <w:t>医疗器械</w:t>
            </w:r>
            <w:r>
              <w:rPr>
                <w:rFonts w:hint="eastAsia" w:eastAsia="宋体"/>
                <w:b/>
                <w:bCs/>
              </w:rPr>
              <w:t>和</w:t>
            </w:r>
            <w:r>
              <w:rPr>
                <w:rFonts w:eastAsia="宋体"/>
                <w:b/>
                <w:bCs/>
              </w:rPr>
              <w:t xml:space="preserve">放射健康中心 </w:t>
            </w:r>
          </w:p>
          <w:p>
            <w:pPr>
              <w:snapToGrid w:val="0"/>
              <w:spacing w:after="240" w:afterLines="100"/>
              <w:jc w:val="right"/>
              <w:rPr>
                <w:rFonts w:eastAsia="宋体"/>
                <w:sz w:val="24"/>
                <w:szCs w:val="24"/>
              </w:rPr>
            </w:pPr>
            <w:r>
              <w:rPr>
                <w:rFonts w:eastAsia="宋体"/>
                <w:b/>
                <w:bCs/>
                <w:sz w:val="24"/>
                <w:szCs w:val="24"/>
              </w:rPr>
              <w:t>生物制品评价和研究中心</w:t>
            </w:r>
          </w:p>
        </w:tc>
      </w:tr>
    </w:tbl>
    <w:p>
      <w:pPr>
        <w:snapToGrid w:val="0"/>
        <w:spacing w:after="240" w:afterLines="100"/>
        <w:jc w:val="both"/>
        <w:rPr>
          <w:rFonts w:eastAsia="宋体"/>
          <w:sz w:val="21"/>
          <w:szCs w:val="21"/>
        </w:rPr>
        <w:sectPr>
          <w:headerReference r:id="rId4" w:type="default"/>
          <w:type w:val="continuous"/>
          <w:pgSz w:w="11906" w:h="16838"/>
          <w:pgMar w:top="1134" w:right="1134" w:bottom="1134" w:left="1418" w:header="567" w:footer="567" w:gutter="0"/>
          <w:cols w:space="60" w:num="1"/>
          <w:docGrid w:linePitch="272" w:charSpace="0"/>
        </w:sectPr>
      </w:pPr>
    </w:p>
    <w:p>
      <w:pPr>
        <w:pStyle w:val="16"/>
        <w:snapToGrid w:val="0"/>
        <w:spacing w:after="240" w:afterLines="100"/>
        <w:jc w:val="center"/>
        <w:rPr>
          <w:rFonts w:eastAsia="宋体"/>
          <w:b/>
          <w:bCs/>
          <w:sz w:val="44"/>
          <w:szCs w:val="44"/>
        </w:rPr>
      </w:pPr>
      <w:r>
        <w:rPr>
          <w:rFonts w:eastAsia="宋体"/>
          <w:b/>
          <w:bCs/>
          <w:sz w:val="44"/>
          <w:szCs w:val="44"/>
        </w:rPr>
        <w:t>前言</w:t>
      </w:r>
    </w:p>
    <w:p>
      <w:pPr>
        <w:snapToGrid w:val="0"/>
        <w:spacing w:after="240" w:afterLines="100"/>
        <w:jc w:val="both"/>
        <w:rPr>
          <w:rFonts w:eastAsia="宋体"/>
          <w:b/>
          <w:bCs/>
          <w:sz w:val="32"/>
          <w:szCs w:val="32"/>
        </w:rPr>
      </w:pPr>
      <w:r>
        <w:rPr>
          <w:rFonts w:eastAsia="宋体"/>
          <w:b/>
          <w:bCs/>
          <w:sz w:val="32"/>
          <w:szCs w:val="32"/>
        </w:rPr>
        <w:t>公众意见</w:t>
      </w:r>
    </w:p>
    <w:p>
      <w:pPr>
        <w:snapToGrid w:val="0"/>
        <w:spacing w:after="240" w:afterLines="100"/>
        <w:ind w:firstLine="480" w:firstLineChars="200"/>
        <w:jc w:val="both"/>
        <w:rPr>
          <w:rFonts w:eastAsia="宋体"/>
          <w:sz w:val="24"/>
          <w:szCs w:val="24"/>
        </w:rPr>
      </w:pPr>
      <w:r>
        <w:rPr>
          <w:rFonts w:hint="eastAsia" w:eastAsia="宋体"/>
          <w:color w:val="000000"/>
          <w:sz w:val="24"/>
          <w:szCs w:val="24"/>
        </w:rPr>
        <w:t>电子版意见和建议可随时提交至</w:t>
      </w:r>
      <w:r>
        <w:rPr>
          <w:rFonts w:eastAsia="宋体"/>
          <w:color w:val="0000FF"/>
          <w:sz w:val="24"/>
          <w:szCs w:val="24"/>
          <w:u w:val="single"/>
        </w:rPr>
        <w:t>https://www.regulations.gov</w:t>
      </w:r>
      <w:r>
        <w:rPr>
          <w:rFonts w:eastAsia="宋体"/>
          <w:color w:val="000000"/>
          <w:sz w:val="24"/>
          <w:szCs w:val="24"/>
        </w:rPr>
        <w:t>，供</w:t>
      </w:r>
      <w:r>
        <w:rPr>
          <w:rFonts w:hint="eastAsia" w:eastAsia="宋体"/>
          <w:color w:val="000000"/>
          <w:sz w:val="24"/>
          <w:szCs w:val="24"/>
        </w:rPr>
        <w:t>FDA审议</w:t>
      </w:r>
      <w:r>
        <w:rPr>
          <w:rFonts w:eastAsia="宋体"/>
          <w:color w:val="000000"/>
          <w:sz w:val="24"/>
          <w:szCs w:val="24"/>
        </w:rPr>
        <w:t>。</w:t>
      </w:r>
      <w:r>
        <w:rPr>
          <w:rFonts w:hint="eastAsia" w:eastAsia="宋体"/>
          <w:color w:val="000000"/>
          <w:sz w:val="24"/>
          <w:szCs w:val="24"/>
        </w:rPr>
        <w:t>可将</w:t>
      </w:r>
      <w:r>
        <w:rPr>
          <w:rFonts w:eastAsia="宋体"/>
          <w:color w:val="000000"/>
          <w:sz w:val="24"/>
          <w:szCs w:val="24"/>
        </w:rPr>
        <w:t>书面意见提交至</w:t>
      </w:r>
      <w:r>
        <w:rPr>
          <w:rFonts w:hint="eastAsia" w:eastAsia="宋体"/>
          <w:color w:val="000000"/>
          <w:sz w:val="24"/>
          <w:szCs w:val="24"/>
        </w:rPr>
        <w:t>：</w:t>
      </w:r>
      <w:r>
        <w:rPr>
          <w:rFonts w:eastAsia="宋体"/>
          <w:color w:val="000000"/>
          <w:sz w:val="24"/>
          <w:szCs w:val="24"/>
        </w:rPr>
        <w:t>美国食品药品监督管理局</w:t>
      </w:r>
      <w:r>
        <w:rPr>
          <w:rFonts w:hint="eastAsia" w:eastAsia="宋体"/>
          <w:color w:val="000000"/>
          <w:sz w:val="24"/>
          <w:szCs w:val="24"/>
        </w:rPr>
        <w:t>备案</w:t>
      </w:r>
      <w:r>
        <w:rPr>
          <w:rFonts w:eastAsia="宋体"/>
          <w:color w:val="000000"/>
          <w:sz w:val="24"/>
          <w:szCs w:val="24"/>
        </w:rPr>
        <w:t xml:space="preserve">文件管理工作人员（5630 Fishers Lane, Room 1061, </w:t>
      </w:r>
      <w:r>
        <w:rPr>
          <w:rFonts w:hint="eastAsia" w:eastAsia="宋体"/>
          <w:color w:val="000000"/>
          <w:sz w:val="24"/>
          <w:szCs w:val="24"/>
        </w:rPr>
        <w:t>(</w:t>
      </w:r>
      <w:r>
        <w:rPr>
          <w:rFonts w:eastAsia="宋体"/>
          <w:color w:val="000000"/>
          <w:sz w:val="24"/>
          <w:szCs w:val="24"/>
        </w:rPr>
        <w:t>HFA-305</w:t>
      </w:r>
      <w:r>
        <w:rPr>
          <w:rFonts w:hint="eastAsia" w:eastAsia="宋体"/>
          <w:color w:val="000000"/>
          <w:sz w:val="24"/>
          <w:szCs w:val="24"/>
        </w:rPr>
        <w:t>)</w:t>
      </w:r>
      <w:r>
        <w:rPr>
          <w:rFonts w:eastAsia="宋体"/>
          <w:color w:val="000000"/>
          <w:sz w:val="24"/>
          <w:szCs w:val="24"/>
        </w:rPr>
        <w:t>, Rockville, MD 20852）。</w:t>
      </w:r>
      <w:r>
        <w:rPr>
          <w:rFonts w:hint="eastAsia" w:eastAsia="宋体"/>
          <w:color w:val="000000"/>
          <w:sz w:val="24"/>
          <w:szCs w:val="24"/>
        </w:rPr>
        <w:t>所有意见均应注明备案文件编号</w:t>
      </w:r>
      <w:r>
        <w:rPr>
          <w:rFonts w:eastAsia="宋体"/>
          <w:color w:val="000000"/>
          <w:sz w:val="24"/>
          <w:szCs w:val="24"/>
        </w:rPr>
        <w:t>FDA-2012-D-0524。下次修订或更新本文件前，</w:t>
      </w:r>
      <w:r>
        <w:rPr>
          <w:rFonts w:hint="eastAsia" w:eastAsia="宋体"/>
          <w:color w:val="000000"/>
          <w:sz w:val="24"/>
          <w:szCs w:val="24"/>
        </w:rPr>
        <w:t>FDA</w:t>
      </w:r>
      <w:r>
        <w:rPr>
          <w:rFonts w:eastAsia="宋体"/>
          <w:color w:val="000000"/>
          <w:sz w:val="24"/>
          <w:szCs w:val="24"/>
        </w:rPr>
        <w:t>可能不会对评论意见采取行动。</w:t>
      </w:r>
    </w:p>
    <w:p>
      <w:pPr>
        <w:snapToGrid w:val="0"/>
        <w:spacing w:after="240" w:afterLines="100"/>
        <w:ind w:firstLine="482" w:firstLineChars="200"/>
        <w:jc w:val="both"/>
        <w:rPr>
          <w:rFonts w:eastAsia="宋体"/>
          <w:b/>
          <w:bCs/>
          <w:color w:val="000000"/>
          <w:sz w:val="24"/>
          <w:szCs w:val="24"/>
        </w:rPr>
      </w:pPr>
    </w:p>
    <w:p>
      <w:pPr>
        <w:snapToGrid w:val="0"/>
        <w:spacing w:after="240" w:afterLines="100"/>
        <w:jc w:val="both"/>
        <w:rPr>
          <w:rFonts w:eastAsia="宋体"/>
          <w:b/>
          <w:bCs/>
          <w:color w:val="000000"/>
          <w:sz w:val="32"/>
          <w:szCs w:val="32"/>
        </w:rPr>
      </w:pPr>
      <w:r>
        <w:rPr>
          <w:rFonts w:hint="eastAsia" w:eastAsia="宋体"/>
          <w:b/>
          <w:bCs/>
          <w:color w:val="000000"/>
          <w:sz w:val="32"/>
          <w:szCs w:val="32"/>
        </w:rPr>
        <w:t>更多</w:t>
      </w:r>
      <w:r>
        <w:rPr>
          <w:rFonts w:eastAsia="宋体"/>
          <w:b/>
          <w:bCs/>
          <w:color w:val="000000"/>
          <w:sz w:val="32"/>
          <w:szCs w:val="32"/>
        </w:rPr>
        <w:t>副本</w:t>
      </w:r>
    </w:p>
    <w:p>
      <w:pPr>
        <w:snapToGrid w:val="0"/>
        <w:spacing w:after="240" w:afterLines="100"/>
        <w:ind w:firstLine="480" w:firstLineChars="200"/>
        <w:jc w:val="both"/>
        <w:rPr>
          <w:rFonts w:eastAsia="宋体"/>
          <w:color w:val="000000"/>
          <w:sz w:val="24"/>
          <w:szCs w:val="24"/>
        </w:rPr>
      </w:pPr>
      <w:r>
        <w:rPr>
          <w:rFonts w:hint="eastAsia" w:eastAsia="宋体"/>
          <w:color w:val="000000"/>
          <w:sz w:val="24"/>
          <w:szCs w:val="24"/>
        </w:rPr>
        <w:t>更多副本可通过</w:t>
      </w:r>
      <w:r>
        <w:rPr>
          <w:rFonts w:eastAsia="宋体"/>
          <w:color w:val="000000"/>
          <w:sz w:val="24"/>
          <w:szCs w:val="24"/>
        </w:rPr>
        <w:t>互联网获取。</w:t>
      </w:r>
      <w:r>
        <w:rPr>
          <w:rFonts w:hint="eastAsia" w:eastAsia="宋体"/>
          <w:color w:val="000000"/>
          <w:sz w:val="24"/>
          <w:szCs w:val="24"/>
        </w:rPr>
        <w:t>您也可以通过电子邮件发送请求至</w:t>
      </w:r>
      <w:r>
        <w:rPr>
          <w:rFonts w:eastAsia="宋体"/>
          <w:color w:val="0000FF"/>
          <w:sz w:val="24"/>
          <w:szCs w:val="24"/>
          <w:u w:val="single"/>
        </w:rPr>
        <w:t>CDRH-</w:t>
      </w:r>
      <w:r>
        <w:rPr>
          <w:rFonts w:hint="eastAsia" w:eastAsia="宋体"/>
          <w:color w:val="0000FF"/>
          <w:sz w:val="24"/>
          <w:szCs w:val="24"/>
          <w:u w:val="single"/>
        </w:rPr>
        <w:t xml:space="preserve"> </w:t>
      </w:r>
      <w:r>
        <w:rPr>
          <w:rFonts w:eastAsia="宋体"/>
          <w:color w:val="0000FF"/>
          <w:sz w:val="24"/>
          <w:szCs w:val="24"/>
          <w:u w:val="single"/>
        </w:rPr>
        <w:t>Guidance@fda.hhs.gov</w:t>
      </w:r>
      <w:r>
        <w:rPr>
          <w:rFonts w:hint="eastAsia" w:eastAsia="宋体"/>
          <w:color w:val="000000"/>
          <w:sz w:val="24"/>
          <w:szCs w:val="24"/>
        </w:rPr>
        <w:t>获取本指南的副本</w:t>
      </w:r>
      <w:r>
        <w:rPr>
          <w:rFonts w:eastAsia="宋体"/>
          <w:color w:val="000000"/>
          <w:sz w:val="24"/>
          <w:szCs w:val="24"/>
        </w:rPr>
        <w:t>。请在申请中提供文件编号1792和完整的指南标题。</w:t>
      </w:r>
    </w:p>
    <w:p>
      <w:pPr>
        <w:snapToGrid w:val="0"/>
        <w:spacing w:after="240" w:afterLines="100"/>
        <w:ind w:firstLine="480" w:firstLineChars="200"/>
        <w:jc w:val="both"/>
        <w:rPr>
          <w:rFonts w:eastAsia="宋体"/>
          <w:sz w:val="24"/>
          <w:szCs w:val="24"/>
        </w:rPr>
      </w:pPr>
      <w:r>
        <w:rPr>
          <w:rFonts w:hint="eastAsia" w:eastAsia="宋体"/>
          <w:color w:val="000000"/>
          <w:sz w:val="24"/>
          <w:szCs w:val="24"/>
        </w:rPr>
        <w:t>更多副本可通过以下途径获取：寄送信函至生物制品评价和研究中心（CBER）、交流、外联和发展办公室（OCOD），</w:t>
      </w:r>
      <w:r>
        <w:rPr>
          <w:rFonts w:eastAsia="宋体"/>
          <w:color w:val="000000"/>
          <w:sz w:val="24"/>
          <w:szCs w:val="24"/>
        </w:rPr>
        <w:t>10903 New Hampshire Ave., WO71, Room 3128, Silver Spring, MD 20903</w:t>
      </w:r>
      <w:r>
        <w:rPr>
          <w:rFonts w:hint="eastAsia" w:eastAsia="宋体"/>
          <w:color w:val="000000"/>
          <w:sz w:val="24"/>
          <w:szCs w:val="24"/>
        </w:rPr>
        <w:t>；</w:t>
      </w:r>
      <w:r>
        <w:rPr>
          <w:rFonts w:eastAsia="宋体"/>
          <w:color w:val="000000"/>
          <w:sz w:val="24"/>
          <w:szCs w:val="24"/>
        </w:rPr>
        <w:t>或致电1-800-835-4709或240-402-8010，或发送电子邮件至</w:t>
      </w:r>
      <w:r>
        <w:rPr>
          <w:rFonts w:eastAsia="宋体"/>
          <w:color w:val="0000FF"/>
          <w:sz w:val="24"/>
          <w:szCs w:val="24"/>
          <w:u w:val="single"/>
        </w:rPr>
        <w:t>ocod@fda.hhs.gov</w:t>
      </w:r>
      <w:r>
        <w:rPr>
          <w:rFonts w:eastAsia="宋体"/>
          <w:color w:val="000000"/>
          <w:sz w:val="24"/>
          <w:szCs w:val="24"/>
        </w:rPr>
        <w:t>或登陆</w:t>
      </w:r>
      <w:r>
        <w:rPr>
          <w:rFonts w:hint="eastAsia" w:eastAsia="宋体"/>
          <w:color w:val="000000"/>
          <w:sz w:val="24"/>
          <w:szCs w:val="24"/>
        </w:rPr>
        <w:t>网址：</w:t>
      </w:r>
      <w:r>
        <w:rPr>
          <w:rFonts w:eastAsia="宋体"/>
          <w:color w:val="0000FF"/>
          <w:sz w:val="24"/>
          <w:szCs w:val="24"/>
          <w:u w:val="single"/>
        </w:rPr>
        <w:t>https://www.fda.gov/vaccines-blood-biologics/guidance-</w:t>
      </w:r>
      <w:r>
        <w:rPr>
          <w:rFonts w:hint="eastAsia" w:eastAsia="宋体"/>
          <w:color w:val="0000FF"/>
          <w:sz w:val="24"/>
          <w:szCs w:val="24"/>
          <w:u w:val="single"/>
        </w:rPr>
        <w:t xml:space="preserve"> </w:t>
      </w:r>
      <w:r>
        <w:rPr>
          <w:rFonts w:eastAsia="宋体"/>
          <w:color w:val="0000FF"/>
          <w:sz w:val="24"/>
          <w:szCs w:val="24"/>
          <w:u w:val="single"/>
        </w:rPr>
        <w:t>compliance-regulatory-information-biologics/biologics-guidances</w:t>
      </w:r>
      <w:r>
        <w:rPr>
          <w:rFonts w:eastAsia="宋体"/>
          <w:color w:val="000000"/>
          <w:sz w:val="24"/>
          <w:szCs w:val="24"/>
        </w:rPr>
        <w:t>。</w:t>
      </w:r>
    </w:p>
    <w:p>
      <w:pPr>
        <w:snapToGrid w:val="0"/>
        <w:spacing w:after="240" w:afterLines="100"/>
        <w:jc w:val="both"/>
        <w:rPr>
          <w:rFonts w:eastAsia="宋体"/>
          <w:sz w:val="24"/>
          <w:szCs w:val="24"/>
        </w:rPr>
      </w:pPr>
    </w:p>
    <w:p>
      <w:pPr>
        <w:snapToGrid w:val="0"/>
        <w:spacing w:after="240" w:afterLines="100"/>
        <w:jc w:val="both"/>
        <w:rPr>
          <w:rFonts w:eastAsia="宋体"/>
          <w:sz w:val="21"/>
          <w:szCs w:val="21"/>
        </w:rPr>
        <w:sectPr>
          <w:footerReference r:id="rId5" w:type="default"/>
          <w:pgSz w:w="11906" w:h="16838"/>
          <w:pgMar w:top="1134" w:right="1134" w:bottom="1134" w:left="1418" w:header="567" w:footer="567" w:gutter="0"/>
          <w:cols w:space="60" w:num="1"/>
          <w:docGrid w:linePitch="272" w:charSpace="0"/>
        </w:sectPr>
      </w:pPr>
    </w:p>
    <w:p>
      <w:pPr>
        <w:pStyle w:val="16"/>
        <w:pBdr>
          <w:bottom w:val="single" w:color="auto" w:sz="4" w:space="1"/>
        </w:pBdr>
        <w:snapToGrid w:val="0"/>
        <w:spacing w:after="240" w:afterLines="100"/>
        <w:jc w:val="center"/>
        <w:rPr>
          <w:rFonts w:eastAsia="宋体"/>
          <w:b/>
          <w:bCs/>
          <w:sz w:val="52"/>
          <w:szCs w:val="52"/>
        </w:rPr>
      </w:pPr>
      <w:r>
        <w:rPr>
          <w:rFonts w:eastAsia="宋体"/>
          <w:b/>
          <w:bCs/>
          <w:sz w:val="52"/>
          <w:szCs w:val="52"/>
        </w:rPr>
        <w:t>上市前批准申请（PMA）的</w:t>
      </w:r>
      <w:r>
        <w:rPr>
          <w:rFonts w:eastAsia="宋体"/>
          <w:b/>
          <w:bCs/>
          <w:sz w:val="52"/>
          <w:szCs w:val="52"/>
        </w:rPr>
        <w:br w:type="textWrapping"/>
      </w:r>
      <w:r>
        <w:rPr>
          <w:rFonts w:hint="eastAsia" w:eastAsia="宋体"/>
          <w:b/>
          <w:bCs/>
          <w:sz w:val="52"/>
          <w:szCs w:val="52"/>
        </w:rPr>
        <w:t>验收</w:t>
      </w:r>
      <w:r>
        <w:rPr>
          <w:rFonts w:eastAsia="宋体"/>
          <w:b/>
          <w:bCs/>
          <w:sz w:val="52"/>
          <w:szCs w:val="52"/>
        </w:rPr>
        <w:t>和备案审评</w:t>
      </w:r>
    </w:p>
    <w:p>
      <w:pPr>
        <w:pStyle w:val="16"/>
        <w:pBdr>
          <w:bottom w:val="single" w:color="auto" w:sz="4" w:space="1"/>
        </w:pBdr>
        <w:snapToGrid w:val="0"/>
        <w:spacing w:after="240" w:afterLines="100"/>
        <w:jc w:val="center"/>
        <w:rPr>
          <w:rFonts w:eastAsia="宋体"/>
          <w:sz w:val="2"/>
          <w:szCs w:val="2"/>
        </w:rPr>
      </w:pPr>
    </w:p>
    <w:p>
      <w:pPr>
        <w:snapToGrid w:val="0"/>
        <w:spacing w:after="240" w:afterLines="100"/>
        <w:jc w:val="center"/>
        <w:rPr>
          <w:rFonts w:eastAsia="宋体"/>
          <w:b/>
          <w:bCs/>
          <w:sz w:val="52"/>
          <w:szCs w:val="52"/>
        </w:rPr>
      </w:pPr>
      <w:r>
        <w:rPr>
          <w:rFonts w:eastAsia="宋体"/>
          <w:b/>
          <w:bCs/>
          <w:sz w:val="52"/>
          <w:szCs w:val="52"/>
        </w:rPr>
        <w:t>行业和美国食品药品监督管理局</w:t>
      </w:r>
      <w:r>
        <w:rPr>
          <w:rFonts w:hint="eastAsia" w:eastAsia="宋体"/>
          <w:b/>
          <w:bCs/>
          <w:sz w:val="52"/>
          <w:szCs w:val="52"/>
        </w:rPr>
        <w:br w:type="textWrapping"/>
      </w:r>
      <w:r>
        <w:rPr>
          <w:rFonts w:eastAsia="宋体"/>
          <w:b/>
          <w:bCs/>
          <w:sz w:val="52"/>
          <w:szCs w:val="52"/>
        </w:rPr>
        <w:t>工作人员指南</w:t>
      </w:r>
    </w:p>
    <w:p>
      <w:pPr>
        <w:pBdr>
          <w:top w:val="thinThickThinSmallGap" w:color="auto" w:sz="24" w:space="1"/>
          <w:left w:val="thinThickThinSmallGap" w:color="auto" w:sz="24" w:space="4"/>
          <w:bottom w:val="thinThickThinSmallGap" w:color="auto" w:sz="24" w:space="1"/>
          <w:right w:val="thinThickThinSmallGap" w:color="auto" w:sz="24" w:space="4"/>
        </w:pBdr>
        <w:snapToGrid w:val="0"/>
        <w:spacing w:after="240" w:afterLines="100"/>
        <w:ind w:firstLine="482" w:firstLineChars="200"/>
        <w:jc w:val="both"/>
        <w:rPr>
          <w:rFonts w:eastAsia="宋体"/>
          <w:sz w:val="24"/>
          <w:szCs w:val="24"/>
        </w:rPr>
      </w:pPr>
      <w:r>
        <w:rPr>
          <w:rFonts w:hint="eastAsia" w:eastAsia="宋体"/>
          <w:b/>
          <w:bCs/>
          <w:i/>
          <w:iCs/>
          <w:sz w:val="24"/>
          <w:szCs w:val="24"/>
        </w:rPr>
        <w:t>本指南代表美国食品药品监督管理局（</w:t>
      </w:r>
      <w:r>
        <w:rPr>
          <w:rFonts w:eastAsia="宋体"/>
          <w:b/>
          <w:bCs/>
          <w:i/>
          <w:iCs/>
          <w:sz w:val="24"/>
          <w:szCs w:val="24"/>
        </w:rPr>
        <w:t>FDA</w:t>
      </w:r>
      <w:r>
        <w:rPr>
          <w:rFonts w:hint="eastAsia" w:eastAsia="宋体"/>
          <w:b/>
          <w:bCs/>
          <w:i/>
          <w:iCs/>
          <w:sz w:val="24"/>
          <w:szCs w:val="24"/>
        </w:rPr>
        <w:t>）对该主题的当前看法。本文件不赋予任何人任何权利，对</w:t>
      </w:r>
      <w:r>
        <w:rPr>
          <w:rFonts w:eastAsia="宋体"/>
          <w:b/>
          <w:bCs/>
          <w:i/>
          <w:iCs/>
          <w:sz w:val="24"/>
          <w:szCs w:val="24"/>
        </w:rPr>
        <w:t>FDA</w:t>
      </w:r>
      <w:r>
        <w:rPr>
          <w:rFonts w:hint="eastAsia" w:eastAsia="宋体"/>
          <w:b/>
          <w:bCs/>
          <w:i/>
          <w:iCs/>
          <w:sz w:val="24"/>
          <w:szCs w:val="24"/>
        </w:rPr>
        <w:t>或公众不具有约束力。如果替代方法满足适用的情形和法规的要求，则贵司可使用替代方法。如需讨论替代方法，请联系标题页所列负责本指南的</w:t>
      </w:r>
      <w:r>
        <w:rPr>
          <w:rFonts w:eastAsia="宋体"/>
          <w:b/>
          <w:bCs/>
          <w:i/>
          <w:iCs/>
          <w:sz w:val="24"/>
          <w:szCs w:val="24"/>
        </w:rPr>
        <w:t>FDA</w:t>
      </w:r>
      <w:r>
        <w:rPr>
          <w:rFonts w:hint="eastAsia" w:eastAsia="宋体"/>
          <w:b/>
          <w:bCs/>
          <w:i/>
          <w:iCs/>
          <w:sz w:val="24"/>
          <w:szCs w:val="24"/>
        </w:rPr>
        <w:t>工作人员或办公室。</w:t>
      </w:r>
    </w:p>
    <w:p>
      <w:pPr>
        <w:pStyle w:val="2"/>
        <w:tabs>
          <w:tab w:val="left" w:pos="-1418"/>
          <w:tab w:val="clear" w:pos="1274"/>
        </w:tabs>
        <w:spacing w:beforeLines="0" w:after="240"/>
        <w:ind w:left="643" w:hanging="643" w:hangingChars="200"/>
        <w:rPr>
          <w:rFonts w:eastAsia="宋体"/>
          <w:sz w:val="32"/>
          <w:szCs w:val="32"/>
        </w:rPr>
      </w:pPr>
      <w:bookmarkStart w:id="0" w:name="_Toc87541675"/>
      <w:r>
        <w:rPr>
          <w:rFonts w:eastAsia="宋体"/>
          <w:sz w:val="32"/>
          <w:szCs w:val="32"/>
        </w:rPr>
        <w:t>I.</w:t>
      </w:r>
      <w:r>
        <w:rPr>
          <w:rFonts w:eastAsia="宋体"/>
          <w:sz w:val="32"/>
          <w:szCs w:val="32"/>
        </w:rPr>
        <w:tab/>
      </w:r>
      <w:r>
        <w:rPr>
          <w:rFonts w:hint="eastAsia" w:eastAsia="宋体"/>
          <w:sz w:val="32"/>
          <w:szCs w:val="32"/>
        </w:rPr>
        <w:t>前</w:t>
      </w:r>
      <w:r>
        <w:rPr>
          <w:rFonts w:eastAsia="宋体"/>
          <w:sz w:val="32"/>
          <w:szCs w:val="32"/>
        </w:rPr>
        <w:t>言</w:t>
      </w:r>
      <w:bookmarkEnd w:id="0"/>
    </w:p>
    <w:p>
      <w:pPr>
        <w:snapToGrid w:val="0"/>
        <w:spacing w:after="240" w:afterLines="100"/>
        <w:ind w:firstLine="480" w:firstLineChars="200"/>
        <w:jc w:val="both"/>
        <w:rPr>
          <w:rFonts w:eastAsia="宋体"/>
          <w:color w:val="000000"/>
          <w:sz w:val="24"/>
          <w:szCs w:val="24"/>
        </w:rPr>
      </w:pPr>
      <w:r>
        <w:rPr>
          <w:rFonts w:eastAsia="宋体"/>
          <w:color w:val="000000"/>
          <w:sz w:val="24"/>
          <w:szCs w:val="24"/>
        </w:rPr>
        <w:t>如下文更详细的讨论，可将不符合PMA法规（21 CFR 814.42</w:t>
      </w:r>
      <w:r>
        <w:rPr>
          <w:rFonts w:hint="eastAsia" w:eastAsia="宋体"/>
          <w:color w:val="000000"/>
          <w:sz w:val="24"/>
          <w:szCs w:val="24"/>
        </w:rPr>
        <w:t>（</w:t>
      </w:r>
      <w:r>
        <w:rPr>
          <w:rFonts w:eastAsia="宋体"/>
          <w:color w:val="000000"/>
          <w:sz w:val="24"/>
          <w:szCs w:val="24"/>
        </w:rPr>
        <w:t>e</w:t>
      </w:r>
      <w:r>
        <w:rPr>
          <w:rFonts w:hint="eastAsia" w:eastAsia="宋体"/>
          <w:color w:val="000000"/>
          <w:sz w:val="24"/>
          <w:szCs w:val="24"/>
        </w:rPr>
        <w:t>）</w:t>
      </w:r>
      <w:r>
        <w:rPr>
          <w:rFonts w:eastAsia="宋体"/>
          <w:color w:val="000000"/>
          <w:sz w:val="24"/>
          <w:szCs w:val="24"/>
        </w:rPr>
        <w:t>）确定</w:t>
      </w:r>
      <w:r>
        <w:rPr>
          <w:rFonts w:hint="eastAsia" w:eastAsia="宋体"/>
          <w:color w:val="000000"/>
          <w:sz w:val="24"/>
          <w:szCs w:val="24"/>
        </w:rPr>
        <w:t>的</w:t>
      </w:r>
      <w:r>
        <w:rPr>
          <w:rFonts w:eastAsia="宋体"/>
          <w:color w:val="000000"/>
          <w:sz w:val="24"/>
          <w:szCs w:val="24"/>
        </w:rPr>
        <w:t>标准作为拒绝</w:t>
      </w:r>
      <w:r>
        <w:rPr>
          <w:rFonts w:hint="eastAsia" w:eastAsia="宋体"/>
          <w:color w:val="000000"/>
          <w:sz w:val="24"/>
          <w:szCs w:val="24"/>
        </w:rPr>
        <w:t>备案</w:t>
      </w:r>
      <w:r>
        <w:rPr>
          <w:rFonts w:eastAsia="宋体"/>
          <w:color w:val="000000"/>
          <w:sz w:val="24"/>
          <w:szCs w:val="24"/>
        </w:rPr>
        <w:t>PMA的依据。本指南预期供FDA工作人员和器械行业使用，以帮助阐明需要在PMA中解决的广泛临床前和临床问题以及在</w:t>
      </w:r>
      <w:r>
        <w:rPr>
          <w:rFonts w:hint="eastAsia" w:eastAsia="宋体"/>
          <w:color w:val="000000"/>
          <w:sz w:val="24"/>
          <w:szCs w:val="24"/>
        </w:rPr>
        <w:t>备案</w:t>
      </w:r>
      <w:r>
        <w:rPr>
          <w:rFonts w:eastAsia="宋体"/>
          <w:color w:val="000000"/>
          <w:sz w:val="24"/>
          <w:szCs w:val="24"/>
        </w:rPr>
        <w:t>过程中作出的关键决定。</w:t>
      </w:r>
    </w:p>
    <w:p>
      <w:pPr>
        <w:snapToGrid w:val="0"/>
        <w:spacing w:after="240" w:afterLines="100"/>
        <w:ind w:firstLine="480" w:firstLineChars="200"/>
        <w:jc w:val="both"/>
        <w:rPr>
          <w:rFonts w:eastAsia="宋体"/>
          <w:color w:val="000000"/>
          <w:sz w:val="24"/>
          <w:szCs w:val="24"/>
        </w:rPr>
      </w:pPr>
      <w:r>
        <w:rPr>
          <w:rFonts w:eastAsia="宋体"/>
          <w:color w:val="000000"/>
          <w:sz w:val="24"/>
          <w:szCs w:val="24"/>
        </w:rPr>
        <w:t>将</w:t>
      </w:r>
      <w:r>
        <w:rPr>
          <w:rFonts w:hint="eastAsia" w:eastAsia="宋体"/>
          <w:color w:val="000000"/>
          <w:sz w:val="24"/>
          <w:szCs w:val="24"/>
        </w:rPr>
        <w:t>FDA</w:t>
      </w:r>
      <w:r>
        <w:rPr>
          <w:rFonts w:eastAsia="宋体"/>
          <w:color w:val="000000"/>
          <w:sz w:val="24"/>
          <w:szCs w:val="24"/>
        </w:rPr>
        <w:t>的审评资源集中在完整的申请上，</w:t>
      </w:r>
      <w:r>
        <w:rPr>
          <w:rFonts w:hint="eastAsia" w:eastAsia="宋体"/>
          <w:color w:val="000000"/>
          <w:sz w:val="24"/>
          <w:szCs w:val="24"/>
        </w:rPr>
        <w:t>可</w:t>
      </w:r>
      <w:r>
        <w:rPr>
          <w:rFonts w:eastAsia="宋体"/>
          <w:color w:val="000000"/>
          <w:sz w:val="24"/>
          <w:szCs w:val="24"/>
        </w:rPr>
        <w:t>提供一个确保患者尽快获得安全有效的医疗器械的更有效方法。此外，随着《2002年医疗器械</w:t>
      </w:r>
      <w:r>
        <w:rPr>
          <w:rFonts w:hint="eastAsia" w:eastAsia="宋体"/>
          <w:color w:val="000000"/>
          <w:sz w:val="24"/>
          <w:szCs w:val="24"/>
        </w:rPr>
        <w:t>用户</w:t>
      </w:r>
      <w:r>
        <w:rPr>
          <w:rFonts w:eastAsia="宋体"/>
          <w:color w:val="000000"/>
          <w:sz w:val="24"/>
          <w:szCs w:val="24"/>
        </w:rPr>
        <w:t>费用和现代化法案》（MDUFMA）、《2007年医疗器械</w:t>
      </w:r>
      <w:r>
        <w:rPr>
          <w:rFonts w:hint="eastAsia" w:eastAsia="宋体"/>
          <w:color w:val="000000"/>
          <w:sz w:val="24"/>
          <w:szCs w:val="24"/>
        </w:rPr>
        <w:t>用户费用</w:t>
      </w:r>
      <w:r>
        <w:rPr>
          <w:rFonts w:eastAsia="宋体"/>
          <w:color w:val="000000"/>
          <w:sz w:val="24"/>
          <w:szCs w:val="24"/>
        </w:rPr>
        <w:t>修正案》（MDUFA II）、《2012年医疗器械</w:t>
      </w:r>
      <w:r>
        <w:rPr>
          <w:rFonts w:hint="eastAsia" w:eastAsia="宋体"/>
          <w:color w:val="000000"/>
          <w:sz w:val="24"/>
          <w:szCs w:val="24"/>
        </w:rPr>
        <w:t>用户</w:t>
      </w:r>
      <w:r>
        <w:rPr>
          <w:rFonts w:eastAsia="宋体"/>
          <w:color w:val="000000"/>
          <w:sz w:val="24"/>
          <w:szCs w:val="24"/>
        </w:rPr>
        <w:t>费用修正案》（MDUFA III）和《2017年医疗器械</w:t>
      </w:r>
      <w:r>
        <w:rPr>
          <w:rFonts w:hint="eastAsia" w:eastAsia="宋体"/>
          <w:color w:val="000000"/>
          <w:sz w:val="24"/>
          <w:szCs w:val="24"/>
        </w:rPr>
        <w:t>用户</w:t>
      </w:r>
      <w:r>
        <w:rPr>
          <w:rFonts w:eastAsia="宋体"/>
          <w:color w:val="000000"/>
          <w:sz w:val="24"/>
          <w:szCs w:val="24"/>
        </w:rPr>
        <w:t>费用修正案》的颁布</w:t>
      </w:r>
      <w:r>
        <w:rPr>
          <w:rStyle w:val="13"/>
          <w:rFonts w:eastAsia="宋体"/>
          <w:color w:val="000000"/>
          <w:sz w:val="24"/>
          <w:szCs w:val="24"/>
        </w:rPr>
        <w:footnoteReference w:id="0"/>
      </w:r>
      <w:r>
        <w:rPr>
          <w:rFonts w:eastAsia="宋体"/>
          <w:color w:val="000000"/>
          <w:sz w:val="24"/>
          <w:szCs w:val="24"/>
        </w:rPr>
        <w:t>，FDA基于审评的及时性同意了绩效目标。因此，</w:t>
      </w:r>
      <w:r>
        <w:rPr>
          <w:rFonts w:hint="eastAsia" w:eastAsia="宋体"/>
          <w:color w:val="000000"/>
          <w:sz w:val="24"/>
          <w:szCs w:val="24"/>
        </w:rPr>
        <w:t>验收</w:t>
      </w:r>
      <w:r>
        <w:rPr>
          <w:rFonts w:eastAsia="宋体"/>
          <w:color w:val="000000"/>
          <w:sz w:val="24"/>
          <w:szCs w:val="24"/>
        </w:rPr>
        <w:t>审评对于鼓励PMA申请人提交高质量的申请和使</w:t>
      </w:r>
      <w:r>
        <w:rPr>
          <w:rFonts w:hint="eastAsia" w:eastAsia="宋体"/>
          <w:color w:val="000000"/>
          <w:sz w:val="24"/>
          <w:szCs w:val="24"/>
        </w:rPr>
        <w:t>FDA</w:t>
      </w:r>
      <w:r>
        <w:rPr>
          <w:rFonts w:eastAsia="宋体"/>
          <w:color w:val="000000"/>
          <w:sz w:val="24"/>
          <w:szCs w:val="24"/>
        </w:rPr>
        <w:t>适当地将资源集中在完整的申请上具有更重要的意义。</w:t>
      </w:r>
    </w:p>
    <w:p>
      <w:pPr>
        <w:snapToGrid w:val="0"/>
        <w:spacing w:after="240" w:afterLines="100"/>
        <w:ind w:firstLine="480" w:firstLineChars="200"/>
        <w:jc w:val="both"/>
        <w:rPr>
          <w:rFonts w:eastAsia="宋体"/>
          <w:sz w:val="24"/>
          <w:szCs w:val="24"/>
        </w:rPr>
      </w:pPr>
      <w:r>
        <w:rPr>
          <w:rFonts w:eastAsia="宋体"/>
          <w:color w:val="000000"/>
          <w:sz w:val="24"/>
          <w:szCs w:val="24"/>
        </w:rPr>
        <w:t>因此，我们修改了PMA备案指南和检查表。我们将PMA备案的标准分为1）</w:t>
      </w:r>
      <w:r>
        <w:rPr>
          <w:rFonts w:hint="eastAsia" w:eastAsia="宋体"/>
          <w:color w:val="000000"/>
          <w:sz w:val="24"/>
          <w:szCs w:val="24"/>
        </w:rPr>
        <w:t>验收</w:t>
      </w:r>
      <w:r>
        <w:rPr>
          <w:rFonts w:eastAsia="宋体"/>
          <w:color w:val="000000"/>
          <w:sz w:val="24"/>
          <w:szCs w:val="24"/>
        </w:rPr>
        <w:t>标准和2）备案标准。</w:t>
      </w:r>
      <w:r>
        <w:rPr>
          <w:rFonts w:hint="eastAsia" w:eastAsia="宋体"/>
          <w:color w:val="000000"/>
          <w:sz w:val="24"/>
          <w:szCs w:val="24"/>
        </w:rPr>
        <w:t>验收审评</w:t>
      </w:r>
      <w:r>
        <w:rPr>
          <w:rFonts w:eastAsia="宋体"/>
          <w:color w:val="000000"/>
          <w:sz w:val="24"/>
          <w:szCs w:val="24"/>
        </w:rPr>
        <w:t>包括评估申请的完整性，并在文件控制中心（DCC）收到</w:t>
      </w:r>
      <w:r>
        <w:rPr>
          <w:rStyle w:val="13"/>
          <w:rFonts w:eastAsia="宋体"/>
          <w:color w:val="000000"/>
          <w:sz w:val="24"/>
          <w:szCs w:val="24"/>
        </w:rPr>
        <w:footnoteReference w:id="1"/>
      </w:r>
      <w:r>
        <w:rPr>
          <w:rFonts w:eastAsia="宋体"/>
          <w:color w:val="000000"/>
          <w:sz w:val="24"/>
          <w:szCs w:val="24"/>
        </w:rPr>
        <w:t>申请后的前15个日历日内以书面形式告知申请人是否缺失任何要素，如果缺失，则确定缺失要素。为了提高我们</w:t>
      </w:r>
      <w:r>
        <w:rPr>
          <w:rFonts w:hint="eastAsia" w:eastAsia="宋体"/>
          <w:color w:val="000000"/>
          <w:sz w:val="24"/>
          <w:szCs w:val="24"/>
        </w:rPr>
        <w:t>验收</w:t>
      </w:r>
      <w:r>
        <w:rPr>
          <w:rFonts w:eastAsia="宋体"/>
          <w:color w:val="000000"/>
          <w:sz w:val="24"/>
          <w:szCs w:val="24"/>
        </w:rPr>
        <w:t>和备案决定的一致性，并帮助申请人更好地理解FDA对PMA进行实质性审评所需的信息类型，本指南和相关</w:t>
      </w:r>
      <w:r>
        <w:rPr>
          <w:rFonts w:hint="eastAsia" w:eastAsia="宋体"/>
          <w:color w:val="000000"/>
          <w:sz w:val="24"/>
          <w:szCs w:val="24"/>
        </w:rPr>
        <w:t>检查表</w:t>
      </w:r>
      <w:r>
        <w:rPr>
          <w:rFonts w:eastAsia="宋体"/>
          <w:color w:val="000000"/>
          <w:sz w:val="24"/>
          <w:szCs w:val="24"/>
        </w:rPr>
        <w:t>阐明了完整PMA申请的必要要素和内容。我们概述的过程适用于PMA申请中审评的所有器械，并已编入</w:t>
      </w:r>
      <w:r>
        <w:rPr>
          <w:rFonts w:hint="eastAsia" w:eastAsia="宋体"/>
          <w:color w:val="000000"/>
          <w:sz w:val="24"/>
          <w:szCs w:val="24"/>
        </w:rPr>
        <w:t>检查表</w:t>
      </w:r>
      <w:r>
        <w:rPr>
          <w:rFonts w:eastAsia="宋体"/>
          <w:color w:val="000000"/>
          <w:sz w:val="24"/>
          <w:szCs w:val="24"/>
        </w:rPr>
        <w:t>供FDA审评人员使用。</w:t>
      </w:r>
    </w:p>
    <w:p>
      <w:pPr>
        <w:snapToGrid w:val="0"/>
        <w:spacing w:after="240" w:afterLines="100"/>
        <w:ind w:firstLine="480" w:firstLineChars="200"/>
        <w:jc w:val="both"/>
        <w:rPr>
          <w:rFonts w:eastAsia="宋体"/>
          <w:sz w:val="24"/>
          <w:szCs w:val="24"/>
        </w:rPr>
      </w:pPr>
    </w:p>
    <w:p>
      <w:pPr>
        <w:snapToGrid w:val="0"/>
        <w:spacing w:after="240" w:afterLines="100"/>
        <w:jc w:val="both"/>
        <w:rPr>
          <w:rFonts w:eastAsia="宋体"/>
          <w:sz w:val="21"/>
          <w:szCs w:val="21"/>
        </w:rPr>
        <w:sectPr>
          <w:pgSz w:w="11906" w:h="16838"/>
          <w:pgMar w:top="1134" w:right="1134" w:bottom="1134" w:left="1418" w:header="567" w:footer="567" w:gutter="0"/>
          <w:cols w:space="60" w:num="1"/>
          <w:docGrid w:linePitch="272" w:charSpace="0"/>
        </w:sectPr>
      </w:pPr>
    </w:p>
    <w:p>
      <w:pPr>
        <w:snapToGrid w:val="0"/>
        <w:spacing w:after="240" w:afterLines="100"/>
        <w:ind w:firstLine="480" w:firstLineChars="200"/>
        <w:jc w:val="both"/>
        <w:rPr>
          <w:rFonts w:eastAsia="宋体"/>
          <w:color w:val="000000"/>
          <w:sz w:val="24"/>
          <w:szCs w:val="24"/>
        </w:rPr>
      </w:pPr>
      <w:r>
        <w:rPr>
          <w:rFonts w:eastAsia="宋体"/>
          <w:color w:val="000000"/>
          <w:sz w:val="24"/>
          <w:szCs w:val="24"/>
        </w:rPr>
        <w:t>FDA工作人员和行业应注意到，本指南与之前的PMA备案</w:t>
      </w:r>
      <w:r>
        <w:rPr>
          <w:rFonts w:hint="eastAsia" w:eastAsia="宋体"/>
          <w:color w:val="000000"/>
          <w:sz w:val="24"/>
          <w:szCs w:val="24"/>
        </w:rPr>
        <w:t>检查表</w:t>
      </w:r>
      <w:r>
        <w:rPr>
          <w:rFonts w:eastAsia="宋体"/>
          <w:color w:val="000000"/>
          <w:sz w:val="24"/>
          <w:szCs w:val="24"/>
        </w:rPr>
        <w:t>和指南文件并无显著差异，因为法规中定义的PMA备案标准并无变化。</w:t>
      </w:r>
      <w:r>
        <w:rPr>
          <w:rFonts w:ascii="宋体" w:hAnsi="宋体" w:eastAsia="宋体"/>
          <w:color w:val="000000"/>
          <w:sz w:val="24"/>
          <w:szCs w:val="24"/>
        </w:rPr>
        <w:t>“</w:t>
      </w:r>
      <w:r>
        <w:rPr>
          <w:rFonts w:eastAsia="宋体"/>
          <w:color w:val="000000"/>
          <w:sz w:val="24"/>
          <w:szCs w:val="24"/>
        </w:rPr>
        <w:t>初步问题</w:t>
      </w:r>
      <w:r>
        <w:rPr>
          <w:rFonts w:ascii="宋体" w:hAnsi="宋体" w:eastAsia="宋体"/>
          <w:color w:val="000000"/>
          <w:sz w:val="24"/>
          <w:szCs w:val="24"/>
        </w:rPr>
        <w:t>”</w:t>
      </w:r>
      <w:r>
        <w:rPr>
          <w:rFonts w:eastAsia="宋体"/>
          <w:color w:val="000000"/>
          <w:sz w:val="24"/>
          <w:szCs w:val="24"/>
        </w:rPr>
        <w:t>保持不变，并将</w:t>
      </w:r>
      <w:r>
        <w:rPr>
          <w:rFonts w:ascii="宋体" w:hAnsi="宋体" w:eastAsia="宋体"/>
          <w:color w:val="000000"/>
          <w:sz w:val="24"/>
          <w:szCs w:val="24"/>
        </w:rPr>
        <w:t>“</w:t>
      </w:r>
      <w:r>
        <w:rPr>
          <w:rFonts w:hint="eastAsia" w:eastAsia="宋体"/>
          <w:color w:val="000000"/>
          <w:sz w:val="24"/>
          <w:szCs w:val="24"/>
        </w:rPr>
        <w:t>备案</w:t>
      </w:r>
      <w:r>
        <w:rPr>
          <w:rFonts w:eastAsia="宋体"/>
          <w:color w:val="000000"/>
          <w:sz w:val="24"/>
          <w:szCs w:val="24"/>
        </w:rPr>
        <w:t>审评问题</w:t>
      </w:r>
      <w:r>
        <w:rPr>
          <w:rFonts w:ascii="宋体" w:hAnsi="宋体" w:eastAsia="宋体"/>
          <w:color w:val="000000"/>
          <w:sz w:val="24"/>
          <w:szCs w:val="24"/>
        </w:rPr>
        <w:t>”</w:t>
      </w:r>
      <w:r>
        <w:rPr>
          <w:rFonts w:eastAsia="宋体"/>
          <w:color w:val="000000"/>
          <w:sz w:val="24"/>
          <w:szCs w:val="24"/>
        </w:rPr>
        <w:t>分为</w:t>
      </w:r>
      <w:r>
        <w:rPr>
          <w:rFonts w:ascii="宋体" w:hAnsi="宋体" w:eastAsia="宋体"/>
          <w:color w:val="000000"/>
          <w:sz w:val="24"/>
          <w:szCs w:val="24"/>
        </w:rPr>
        <w:t>“</w:t>
      </w:r>
      <w:r>
        <w:rPr>
          <w:rFonts w:hint="eastAsia" w:eastAsia="宋体"/>
          <w:color w:val="000000"/>
          <w:sz w:val="24"/>
          <w:szCs w:val="24"/>
        </w:rPr>
        <w:t>验收</w:t>
      </w:r>
      <w:r>
        <w:rPr>
          <w:rFonts w:eastAsia="宋体"/>
          <w:color w:val="000000"/>
          <w:sz w:val="24"/>
          <w:szCs w:val="24"/>
        </w:rPr>
        <w:t>决定问题</w:t>
      </w:r>
      <w:r>
        <w:rPr>
          <w:rFonts w:ascii="宋体" w:hAnsi="宋体" w:eastAsia="宋体"/>
          <w:color w:val="000000"/>
          <w:sz w:val="24"/>
          <w:szCs w:val="24"/>
        </w:rPr>
        <w:t>”</w:t>
      </w:r>
      <w:r>
        <w:rPr>
          <w:rFonts w:eastAsia="宋体"/>
          <w:color w:val="000000"/>
          <w:sz w:val="24"/>
          <w:szCs w:val="24"/>
        </w:rPr>
        <w:t>（即文件是否行政完整）和</w:t>
      </w:r>
      <w:r>
        <w:rPr>
          <w:rFonts w:ascii="宋体" w:hAnsi="宋体" w:eastAsia="宋体"/>
          <w:color w:val="000000"/>
          <w:sz w:val="24"/>
          <w:szCs w:val="24"/>
        </w:rPr>
        <w:t>“</w:t>
      </w:r>
      <w:r>
        <w:rPr>
          <w:rFonts w:hint="eastAsia" w:eastAsia="宋体"/>
          <w:color w:val="000000"/>
          <w:sz w:val="24"/>
          <w:szCs w:val="24"/>
        </w:rPr>
        <w:t>备案</w:t>
      </w:r>
      <w:r>
        <w:rPr>
          <w:rFonts w:eastAsia="宋体"/>
          <w:color w:val="000000"/>
          <w:sz w:val="24"/>
          <w:szCs w:val="24"/>
        </w:rPr>
        <w:t>决定问题</w:t>
      </w:r>
      <w:r>
        <w:rPr>
          <w:rFonts w:ascii="宋体" w:hAnsi="宋体" w:eastAsia="宋体"/>
          <w:color w:val="000000"/>
          <w:sz w:val="24"/>
          <w:szCs w:val="24"/>
        </w:rPr>
        <w:t>”</w:t>
      </w:r>
      <w:r>
        <w:rPr>
          <w:rFonts w:eastAsia="宋体"/>
          <w:color w:val="000000"/>
          <w:sz w:val="24"/>
          <w:szCs w:val="24"/>
        </w:rPr>
        <w:t>（即确定PMA技术要素的基本充分性）。在《2003年PMA备案指南》中，我们指出，</w:t>
      </w:r>
      <w:r>
        <w:rPr>
          <w:rFonts w:hint="eastAsia" w:eastAsia="宋体"/>
          <w:color w:val="000000"/>
          <w:sz w:val="24"/>
          <w:szCs w:val="24"/>
        </w:rPr>
        <w:t>制造</w:t>
      </w:r>
      <w:r>
        <w:rPr>
          <w:rFonts w:eastAsia="宋体"/>
          <w:color w:val="000000"/>
          <w:sz w:val="24"/>
          <w:szCs w:val="24"/>
        </w:rPr>
        <w:t>部分的延迟提交并不妨碍PMA备案，如果该部分未包含在原始PMA申请中，建议在90天内提交该部分。但是，近年来很少发生制造部分延迟提交的情况，在很多情况下，</w:t>
      </w:r>
      <w:r>
        <w:rPr>
          <w:rFonts w:hint="eastAsia" w:eastAsia="宋体"/>
          <w:color w:val="000000"/>
          <w:sz w:val="24"/>
          <w:szCs w:val="24"/>
        </w:rPr>
        <w:t>该</w:t>
      </w:r>
      <w:r>
        <w:rPr>
          <w:rFonts w:eastAsia="宋体"/>
          <w:color w:val="000000"/>
          <w:sz w:val="24"/>
          <w:szCs w:val="24"/>
        </w:rPr>
        <w:t>部分是在PMA的其他部分之前提交的，作为模块化PMA申请的一部分。因此，我们现在在原始PMA或专题讨论小组跟踪补充申请的完整PMA申请的检查表中加入了制造章节（新的制造场所或实质上不同的制造程序）。</w:t>
      </w:r>
    </w:p>
    <w:p>
      <w:pPr>
        <w:snapToGrid w:val="0"/>
        <w:spacing w:after="240" w:afterLines="100"/>
        <w:ind w:firstLine="480" w:firstLineChars="200"/>
        <w:jc w:val="both"/>
        <w:rPr>
          <w:rFonts w:eastAsia="宋体"/>
          <w:color w:val="000000"/>
          <w:sz w:val="24"/>
          <w:szCs w:val="24"/>
        </w:rPr>
      </w:pPr>
      <w:r>
        <w:rPr>
          <w:rFonts w:eastAsia="宋体"/>
          <w:color w:val="000000"/>
          <w:sz w:val="24"/>
          <w:szCs w:val="24"/>
        </w:rPr>
        <w:t>FDA要求所有申请人提供PMA申请的电子副本（eCopy）。eCopy必须随附您签名的附函的纸质副本。FDA已经发布了实施《FD&amp;C法案》第745A（b）</w:t>
      </w:r>
      <w:r>
        <w:rPr>
          <w:rFonts w:hint="eastAsia" w:eastAsia="宋体"/>
          <w:color w:val="000000"/>
          <w:sz w:val="24"/>
          <w:szCs w:val="24"/>
        </w:rPr>
        <w:t>节</w:t>
      </w:r>
      <w:r>
        <w:rPr>
          <w:rFonts w:eastAsia="宋体"/>
          <w:color w:val="000000"/>
          <w:sz w:val="24"/>
          <w:szCs w:val="24"/>
        </w:rPr>
        <w:t>的指南</w:t>
      </w:r>
      <w:r>
        <w:rPr>
          <w:rStyle w:val="13"/>
          <w:rFonts w:eastAsia="宋体"/>
          <w:color w:val="000000"/>
          <w:sz w:val="24"/>
          <w:szCs w:val="24"/>
        </w:rPr>
        <w:footnoteReference w:id="2"/>
      </w:r>
      <w:r>
        <w:rPr>
          <w:rFonts w:eastAsia="宋体"/>
          <w:color w:val="000000"/>
          <w:sz w:val="24"/>
          <w:szCs w:val="24"/>
        </w:rPr>
        <w:t>，并通过FDASIA第1136</w:t>
      </w:r>
      <w:r>
        <w:rPr>
          <w:rFonts w:hint="eastAsia" w:eastAsia="宋体"/>
          <w:color w:val="000000"/>
          <w:sz w:val="24"/>
          <w:szCs w:val="24"/>
        </w:rPr>
        <w:t>节</w:t>
      </w:r>
      <w:r>
        <w:rPr>
          <w:rFonts w:eastAsia="宋体"/>
          <w:color w:val="000000"/>
          <w:sz w:val="24"/>
          <w:szCs w:val="24"/>
        </w:rPr>
        <w:t>进行了补充，该指南规定了法定权限，要求大多数</w:t>
      </w:r>
      <w:r>
        <w:rPr>
          <w:rFonts w:hint="eastAsia" w:eastAsia="宋体"/>
          <w:color w:val="000000"/>
          <w:sz w:val="24"/>
          <w:szCs w:val="24"/>
        </w:rPr>
        <w:t>申请</w:t>
      </w:r>
      <w:r>
        <w:rPr>
          <w:rFonts w:eastAsia="宋体"/>
          <w:color w:val="000000"/>
          <w:sz w:val="24"/>
          <w:szCs w:val="24"/>
        </w:rPr>
        <w:t>（包括原始PMA和PMA补充材料）都需要提供eCopy。实施本条款后，需要提供有效的电子副本，以便对PMA或PMA补充申请进行处理并开始</w:t>
      </w:r>
      <w:r>
        <w:rPr>
          <w:rFonts w:hint="eastAsia" w:eastAsia="宋体"/>
          <w:color w:val="000000"/>
          <w:sz w:val="24"/>
          <w:szCs w:val="24"/>
        </w:rPr>
        <w:t>验收审评</w:t>
      </w:r>
      <w:r>
        <w:rPr>
          <w:rFonts w:eastAsia="宋体"/>
          <w:color w:val="000000"/>
          <w:sz w:val="24"/>
          <w:szCs w:val="24"/>
        </w:rPr>
        <w:t>。</w:t>
      </w:r>
    </w:p>
    <w:p>
      <w:pPr>
        <w:snapToGrid w:val="0"/>
        <w:spacing w:after="240" w:afterLines="100"/>
        <w:ind w:firstLine="480" w:firstLineChars="200"/>
        <w:jc w:val="both"/>
        <w:rPr>
          <w:rFonts w:eastAsia="宋体"/>
          <w:sz w:val="24"/>
          <w:szCs w:val="24"/>
        </w:rPr>
      </w:pPr>
      <w:r>
        <w:rPr>
          <w:rFonts w:hint="eastAsia" w:eastAsia="宋体"/>
          <w:color w:val="000000"/>
          <w:sz w:val="24"/>
          <w:szCs w:val="24"/>
        </w:rPr>
        <w:t>FDA指南文件，包括本指南，并未规定具有法律强制力的责任。相反，指南描述了FDA对该主题的当前看法，除非引用了具体监管或法定要求，否则应仅视为建议。FDA指南中使用的“</w:t>
      </w:r>
      <w:r>
        <w:rPr>
          <w:rFonts w:hint="eastAsia" w:eastAsia="宋体"/>
          <w:i/>
          <w:iCs/>
          <w:color w:val="000000"/>
          <w:sz w:val="24"/>
          <w:szCs w:val="24"/>
        </w:rPr>
        <w:t>应该（</w:t>
      </w:r>
      <w:r>
        <w:rPr>
          <w:rFonts w:eastAsia="宋体"/>
          <w:i/>
          <w:iCs/>
          <w:color w:val="000000"/>
          <w:sz w:val="24"/>
          <w:szCs w:val="24"/>
        </w:rPr>
        <w:t>should</w:t>
      </w:r>
      <w:r>
        <w:rPr>
          <w:rFonts w:hint="eastAsia" w:eastAsia="宋体"/>
          <w:i/>
          <w:iCs/>
          <w:color w:val="000000"/>
          <w:sz w:val="24"/>
          <w:szCs w:val="24"/>
        </w:rPr>
        <w:t>）</w:t>
      </w:r>
      <w:r>
        <w:rPr>
          <w:rFonts w:hint="eastAsia" w:eastAsia="宋体"/>
          <w:color w:val="000000"/>
          <w:sz w:val="24"/>
          <w:szCs w:val="24"/>
        </w:rPr>
        <w:t>”一词指建议或推荐进行某一事项，并非强制要求。</w:t>
      </w:r>
    </w:p>
    <w:p>
      <w:pPr>
        <w:tabs>
          <w:tab w:val="left" w:pos="115"/>
        </w:tabs>
        <w:snapToGrid w:val="0"/>
        <w:spacing w:after="240" w:afterLines="100"/>
        <w:jc w:val="both"/>
        <w:rPr>
          <w:rFonts w:eastAsia="宋体"/>
          <w:sz w:val="21"/>
          <w:szCs w:val="21"/>
        </w:rPr>
      </w:pPr>
    </w:p>
    <w:p>
      <w:pPr>
        <w:tabs>
          <w:tab w:val="left" w:pos="115"/>
        </w:tabs>
        <w:snapToGrid w:val="0"/>
        <w:spacing w:after="240" w:afterLines="100"/>
        <w:jc w:val="both"/>
        <w:rPr>
          <w:rFonts w:eastAsia="宋体"/>
          <w:sz w:val="21"/>
          <w:szCs w:val="21"/>
        </w:rPr>
        <w:sectPr>
          <w:pgSz w:w="11906" w:h="16838"/>
          <w:pgMar w:top="1134" w:right="1134" w:bottom="1134" w:left="1418" w:header="567" w:footer="567" w:gutter="0"/>
          <w:cols w:space="60" w:num="1"/>
          <w:docGrid w:linePitch="272" w:charSpace="0"/>
        </w:sectPr>
      </w:pPr>
    </w:p>
    <w:p>
      <w:pPr>
        <w:pStyle w:val="2"/>
        <w:tabs>
          <w:tab w:val="left" w:pos="-1418"/>
          <w:tab w:val="clear" w:pos="1274"/>
        </w:tabs>
        <w:spacing w:beforeLines="0" w:after="240"/>
        <w:ind w:left="643" w:hanging="643" w:hangingChars="200"/>
        <w:rPr>
          <w:rFonts w:eastAsia="宋体"/>
          <w:sz w:val="32"/>
          <w:szCs w:val="32"/>
        </w:rPr>
      </w:pPr>
      <w:r>
        <w:rPr>
          <w:rFonts w:eastAsia="宋体"/>
          <w:sz w:val="32"/>
          <w:szCs w:val="32"/>
        </w:rPr>
        <w:t>II.</w:t>
      </w:r>
      <w:r>
        <w:rPr>
          <w:rFonts w:eastAsia="宋体"/>
          <w:sz w:val="32"/>
          <w:szCs w:val="32"/>
        </w:rPr>
        <w:tab/>
      </w:r>
      <w:r>
        <w:rPr>
          <w:rFonts w:eastAsia="宋体"/>
          <w:sz w:val="32"/>
          <w:szCs w:val="32"/>
        </w:rPr>
        <w:t>目的</w:t>
      </w:r>
    </w:p>
    <w:p>
      <w:pPr>
        <w:snapToGrid w:val="0"/>
        <w:spacing w:after="240" w:afterLines="100"/>
        <w:ind w:firstLine="480" w:firstLineChars="200"/>
        <w:jc w:val="both"/>
        <w:rPr>
          <w:rFonts w:eastAsia="宋体"/>
          <w:color w:val="000000"/>
          <w:sz w:val="24"/>
          <w:szCs w:val="24"/>
        </w:rPr>
      </w:pPr>
      <w:r>
        <w:rPr>
          <w:rFonts w:hint="eastAsia" w:eastAsia="宋体"/>
          <w:color w:val="000000"/>
          <w:sz w:val="24"/>
          <w:szCs w:val="24"/>
        </w:rPr>
        <w:t>PMA验收和备案审评的目的是确定申请是否在行政上完整，以便FDA进行实质性审评。</w:t>
      </w:r>
      <w:r>
        <w:rPr>
          <w:rFonts w:eastAsia="宋体"/>
          <w:color w:val="000000"/>
          <w:sz w:val="24"/>
          <w:szCs w:val="24"/>
        </w:rPr>
        <w:t>PMA法规（21 CFR 814.42（e））规定，如果适用以下</w:t>
      </w:r>
      <w:r>
        <w:rPr>
          <w:rFonts w:eastAsia="宋体"/>
          <w:b/>
          <w:bCs/>
          <w:color w:val="000000"/>
          <w:sz w:val="24"/>
          <w:szCs w:val="24"/>
        </w:rPr>
        <w:t>任何一项</w:t>
      </w:r>
      <w:r>
        <w:rPr>
          <w:rFonts w:eastAsia="宋体"/>
          <w:color w:val="000000"/>
          <w:sz w:val="24"/>
          <w:szCs w:val="24"/>
        </w:rPr>
        <w:t>，FDA可以拒绝</w:t>
      </w:r>
      <w:r>
        <w:rPr>
          <w:rFonts w:hint="eastAsia" w:eastAsia="宋体"/>
          <w:color w:val="000000"/>
          <w:sz w:val="24"/>
          <w:szCs w:val="24"/>
        </w:rPr>
        <w:t>备案</w:t>
      </w:r>
      <w:r>
        <w:rPr>
          <w:rFonts w:eastAsia="宋体"/>
          <w:color w:val="000000"/>
          <w:sz w:val="24"/>
          <w:szCs w:val="24"/>
        </w:rPr>
        <w:t>PMA：</w:t>
      </w:r>
    </w:p>
    <w:p>
      <w:pPr>
        <w:tabs>
          <w:tab w:val="left" w:pos="588"/>
        </w:tabs>
        <w:snapToGrid w:val="0"/>
        <w:spacing w:after="240" w:afterLines="100"/>
        <w:jc w:val="both"/>
        <w:rPr>
          <w:rFonts w:eastAsia="宋体"/>
          <w:i/>
          <w:iCs/>
          <w:color w:val="000000"/>
          <w:sz w:val="24"/>
          <w:szCs w:val="24"/>
        </w:rPr>
      </w:pPr>
      <w:r>
        <w:rPr>
          <w:rFonts w:eastAsia="宋体"/>
          <w:i/>
          <w:iCs/>
          <w:color w:val="000000"/>
          <w:sz w:val="24"/>
          <w:szCs w:val="24"/>
        </w:rPr>
        <w:t>（1）PMA不完整，因为其未包含《FD&amp;</w:t>
      </w:r>
      <w:r>
        <w:rPr>
          <w:rFonts w:hint="eastAsia" w:eastAsia="宋体"/>
          <w:i/>
          <w:iCs/>
          <w:color w:val="000000"/>
          <w:sz w:val="24"/>
          <w:szCs w:val="24"/>
        </w:rPr>
        <w:t>C</w:t>
      </w:r>
      <w:r>
        <w:rPr>
          <w:rFonts w:eastAsia="宋体"/>
          <w:i/>
          <w:iCs/>
          <w:color w:val="000000"/>
          <w:sz w:val="24"/>
          <w:szCs w:val="24"/>
        </w:rPr>
        <w:t>法案》第515（c）（1）（A）-（G）</w:t>
      </w:r>
      <w:r>
        <w:rPr>
          <w:rFonts w:hint="eastAsia" w:eastAsia="宋体"/>
          <w:i/>
          <w:iCs/>
          <w:color w:val="000000"/>
          <w:sz w:val="24"/>
          <w:szCs w:val="24"/>
          <w:highlight w:val="none"/>
        </w:rPr>
        <w:t>节</w:t>
      </w:r>
      <w:r>
        <w:rPr>
          <w:rFonts w:eastAsia="宋体"/>
          <w:i/>
          <w:iCs/>
          <w:color w:val="000000"/>
          <w:sz w:val="24"/>
          <w:szCs w:val="24"/>
        </w:rPr>
        <w:t>要求的所有信息。</w:t>
      </w:r>
    </w:p>
    <w:p>
      <w:pPr>
        <w:tabs>
          <w:tab w:val="left" w:pos="588"/>
        </w:tabs>
        <w:snapToGrid w:val="0"/>
        <w:spacing w:after="240" w:afterLines="100"/>
        <w:jc w:val="both"/>
        <w:rPr>
          <w:rFonts w:eastAsia="宋体"/>
          <w:i/>
          <w:iCs/>
          <w:color w:val="000000"/>
          <w:sz w:val="24"/>
          <w:szCs w:val="24"/>
        </w:rPr>
      </w:pPr>
      <w:r>
        <w:rPr>
          <w:rFonts w:eastAsia="宋体"/>
          <w:i/>
          <w:iCs/>
          <w:color w:val="000000"/>
          <w:sz w:val="24"/>
          <w:szCs w:val="24"/>
        </w:rPr>
        <w:t>（2）PMA不包含第814.20</w:t>
      </w:r>
      <w:r>
        <w:rPr>
          <w:rFonts w:hint="eastAsia" w:eastAsia="宋体"/>
          <w:i/>
          <w:iCs/>
          <w:color w:val="000000"/>
          <w:sz w:val="24"/>
          <w:szCs w:val="24"/>
        </w:rPr>
        <w:t>节</w:t>
      </w:r>
      <w:r>
        <w:rPr>
          <w:rFonts w:eastAsia="宋体"/>
          <w:i/>
          <w:iCs/>
          <w:color w:val="000000"/>
          <w:sz w:val="24"/>
          <w:szCs w:val="24"/>
        </w:rPr>
        <w:t>规定的各项内容，且</w:t>
      </w:r>
      <w:r>
        <w:rPr>
          <w:rFonts w:hint="eastAsia" w:eastAsia="宋体"/>
          <w:i/>
          <w:iCs/>
          <w:color w:val="000000"/>
          <w:sz w:val="24"/>
          <w:szCs w:val="24"/>
        </w:rPr>
        <w:t>省略</w:t>
      </w:r>
      <w:r>
        <w:rPr>
          <w:rFonts w:eastAsia="宋体"/>
          <w:i/>
          <w:iCs/>
          <w:color w:val="000000"/>
          <w:sz w:val="24"/>
          <w:szCs w:val="24"/>
        </w:rPr>
        <w:t>任何项目的理由不充分。</w:t>
      </w:r>
    </w:p>
    <w:p>
      <w:pPr>
        <w:tabs>
          <w:tab w:val="left" w:pos="588"/>
        </w:tabs>
        <w:snapToGrid w:val="0"/>
        <w:spacing w:after="240" w:afterLines="100"/>
        <w:jc w:val="both"/>
        <w:rPr>
          <w:rFonts w:eastAsia="宋体"/>
          <w:i/>
          <w:iCs/>
          <w:color w:val="000000"/>
          <w:sz w:val="24"/>
          <w:szCs w:val="24"/>
        </w:rPr>
      </w:pPr>
      <w:r>
        <w:rPr>
          <w:rFonts w:eastAsia="宋体"/>
          <w:i/>
          <w:iCs/>
          <w:color w:val="000000"/>
          <w:sz w:val="24"/>
          <w:szCs w:val="24"/>
        </w:rPr>
        <w:t>（3）申请人根据《FD&amp;C法案》第510（k）</w:t>
      </w:r>
      <w:r>
        <w:rPr>
          <w:rFonts w:hint="eastAsia" w:eastAsia="宋体"/>
          <w:i/>
          <w:iCs/>
          <w:color w:val="000000"/>
          <w:sz w:val="24"/>
          <w:szCs w:val="24"/>
          <w:highlight w:val="none"/>
        </w:rPr>
        <w:t>节</w:t>
      </w:r>
      <w:r>
        <w:rPr>
          <w:rFonts w:eastAsia="宋体"/>
          <w:i/>
          <w:iCs/>
          <w:color w:val="000000"/>
          <w:sz w:val="24"/>
          <w:szCs w:val="24"/>
        </w:rPr>
        <w:t>有关于</w:t>
      </w:r>
      <w:r>
        <w:rPr>
          <w:rFonts w:hint="eastAsia" w:eastAsia="宋体"/>
          <w:i/>
          <w:iCs/>
          <w:color w:val="000000"/>
          <w:sz w:val="24"/>
          <w:szCs w:val="24"/>
        </w:rPr>
        <w:t>同一</w:t>
      </w:r>
      <w:r>
        <w:rPr>
          <w:rFonts w:eastAsia="宋体"/>
          <w:i/>
          <w:iCs/>
          <w:color w:val="000000"/>
          <w:sz w:val="24"/>
          <w:szCs w:val="24"/>
        </w:rPr>
        <w:t>器械的</w:t>
      </w:r>
      <w:r>
        <w:rPr>
          <w:rFonts w:hint="eastAsia" w:eastAsia="宋体"/>
          <w:i/>
          <w:iCs/>
          <w:color w:val="000000"/>
          <w:sz w:val="24"/>
          <w:szCs w:val="24"/>
        </w:rPr>
        <w:t>其他</w:t>
      </w:r>
      <w:r>
        <w:rPr>
          <w:rFonts w:eastAsia="宋体"/>
          <w:i/>
          <w:iCs/>
          <w:color w:val="000000"/>
          <w:sz w:val="24"/>
          <w:szCs w:val="24"/>
        </w:rPr>
        <w:t>上市前通知申请尚未处理，且FDA尚未确定该器械是否属于第814.1（</w:t>
      </w:r>
      <w:r>
        <w:rPr>
          <w:rFonts w:hint="eastAsia" w:eastAsia="宋体"/>
          <w:i/>
          <w:iCs/>
          <w:color w:val="000000"/>
          <w:sz w:val="24"/>
          <w:szCs w:val="24"/>
        </w:rPr>
        <w:t>c</w:t>
      </w:r>
      <w:r>
        <w:rPr>
          <w:rFonts w:eastAsia="宋体"/>
          <w:i/>
          <w:iCs/>
          <w:color w:val="000000"/>
          <w:sz w:val="24"/>
          <w:szCs w:val="24"/>
        </w:rPr>
        <w:t>）</w:t>
      </w:r>
      <w:r>
        <w:rPr>
          <w:rFonts w:hint="eastAsia" w:eastAsia="宋体"/>
          <w:i/>
          <w:iCs/>
          <w:color w:val="000000"/>
          <w:sz w:val="24"/>
          <w:szCs w:val="24"/>
          <w:highlight w:val="none"/>
        </w:rPr>
        <w:t>节</w:t>
      </w:r>
      <w:r>
        <w:rPr>
          <w:rFonts w:eastAsia="宋体"/>
          <w:i/>
          <w:iCs/>
          <w:color w:val="000000"/>
          <w:sz w:val="24"/>
          <w:szCs w:val="24"/>
        </w:rPr>
        <w:t>的范围。</w:t>
      </w:r>
    </w:p>
    <w:p>
      <w:pPr>
        <w:tabs>
          <w:tab w:val="left" w:pos="588"/>
        </w:tabs>
        <w:snapToGrid w:val="0"/>
        <w:spacing w:after="240" w:afterLines="100"/>
        <w:jc w:val="both"/>
        <w:rPr>
          <w:rFonts w:eastAsia="宋体"/>
          <w:i/>
          <w:iCs/>
          <w:color w:val="000000"/>
          <w:sz w:val="24"/>
          <w:szCs w:val="24"/>
        </w:rPr>
      </w:pPr>
      <w:r>
        <w:rPr>
          <w:rFonts w:eastAsia="宋体"/>
          <w:i/>
          <w:iCs/>
          <w:color w:val="000000"/>
          <w:sz w:val="24"/>
          <w:szCs w:val="24"/>
        </w:rPr>
        <w:t>（4）PMA包含重要事实的虚假陈述。</w:t>
      </w:r>
    </w:p>
    <w:p>
      <w:pPr>
        <w:tabs>
          <w:tab w:val="left" w:pos="588"/>
        </w:tabs>
        <w:snapToGrid w:val="0"/>
        <w:spacing w:after="240" w:afterLines="100"/>
        <w:jc w:val="both"/>
        <w:rPr>
          <w:rFonts w:eastAsia="宋体"/>
          <w:i/>
          <w:iCs/>
          <w:color w:val="000000"/>
          <w:sz w:val="24"/>
          <w:szCs w:val="24"/>
        </w:rPr>
      </w:pPr>
      <w:r>
        <w:rPr>
          <w:rFonts w:eastAsia="宋体"/>
          <w:i/>
          <w:iCs/>
          <w:color w:val="000000"/>
          <w:sz w:val="24"/>
          <w:szCs w:val="24"/>
        </w:rPr>
        <w:t>（5）PMA未随附21 CFR第54部分要求的</w:t>
      </w:r>
      <w:r>
        <w:rPr>
          <w:rFonts w:hint="eastAsia" w:eastAsia="宋体"/>
          <w:i/>
          <w:iCs/>
          <w:color w:val="000000"/>
          <w:sz w:val="24"/>
          <w:szCs w:val="24"/>
        </w:rPr>
        <w:t>认证</w:t>
      </w:r>
      <w:r>
        <w:rPr>
          <w:rFonts w:eastAsia="宋体"/>
          <w:i/>
          <w:iCs/>
          <w:color w:val="000000"/>
          <w:sz w:val="24"/>
          <w:szCs w:val="24"/>
        </w:rPr>
        <w:t>或披露声明。</w:t>
      </w:r>
    </w:p>
    <w:p>
      <w:pPr>
        <w:snapToGrid w:val="0"/>
        <w:spacing w:after="240" w:afterLines="100"/>
        <w:ind w:firstLine="480" w:firstLineChars="200"/>
        <w:jc w:val="both"/>
        <w:rPr>
          <w:rFonts w:eastAsia="宋体"/>
          <w:color w:val="000000"/>
          <w:sz w:val="24"/>
          <w:szCs w:val="24"/>
        </w:rPr>
      </w:pPr>
      <w:r>
        <w:rPr>
          <w:rFonts w:eastAsia="宋体"/>
          <w:color w:val="000000"/>
          <w:sz w:val="24"/>
          <w:szCs w:val="24"/>
        </w:rPr>
        <w:t>该法规第814.20</w:t>
      </w:r>
      <w:r>
        <w:rPr>
          <w:rFonts w:hint="eastAsia" w:eastAsia="宋体"/>
          <w:color w:val="000000"/>
          <w:sz w:val="24"/>
          <w:szCs w:val="24"/>
        </w:rPr>
        <w:t>节</w:t>
      </w:r>
      <w:r>
        <w:rPr>
          <w:rFonts w:eastAsia="宋体"/>
          <w:color w:val="000000"/>
          <w:sz w:val="24"/>
          <w:szCs w:val="24"/>
        </w:rPr>
        <w:t>进一步规定，除其他外，PMA必须包括</w:t>
      </w:r>
      <w:r>
        <w:rPr>
          <w:rFonts w:ascii="宋体" w:hAnsi="宋体" w:eastAsia="宋体"/>
          <w:color w:val="000000"/>
          <w:sz w:val="24"/>
          <w:szCs w:val="24"/>
        </w:rPr>
        <w:t>“</w:t>
      </w:r>
      <w:r>
        <w:rPr>
          <w:rFonts w:eastAsia="宋体"/>
          <w:i/>
          <w:iCs/>
          <w:color w:val="000000"/>
          <w:sz w:val="24"/>
          <w:szCs w:val="24"/>
        </w:rPr>
        <w:t>技术部分，其中应包含足够详细的数据和信息，以允许FDA确定是否批准或拒绝批准申请</w:t>
      </w:r>
      <w:r>
        <w:rPr>
          <w:rFonts w:ascii="宋体" w:hAnsi="宋体" w:eastAsia="宋体"/>
          <w:color w:val="000000"/>
          <w:sz w:val="24"/>
          <w:szCs w:val="24"/>
        </w:rPr>
        <w:t>”</w:t>
      </w:r>
      <w:r>
        <w:rPr>
          <w:rFonts w:eastAsia="宋体"/>
          <w:color w:val="000000"/>
          <w:sz w:val="24"/>
          <w:szCs w:val="24"/>
        </w:rPr>
        <w:t>（21 CFR 814.20（b）（6））。FDA工作人员经常表示，在将该监管标准应用于PMA申请备案决</w:t>
      </w:r>
      <w:r>
        <w:rPr>
          <w:rFonts w:hint="eastAsia" w:eastAsia="宋体"/>
          <w:color w:val="000000"/>
          <w:sz w:val="24"/>
          <w:szCs w:val="24"/>
        </w:rPr>
        <w:t>定</w:t>
      </w:r>
      <w:r>
        <w:rPr>
          <w:rFonts w:eastAsia="宋体"/>
          <w:color w:val="000000"/>
          <w:sz w:val="24"/>
          <w:szCs w:val="24"/>
        </w:rPr>
        <w:t>过程时，还需要更具体的指南。</w:t>
      </w:r>
    </w:p>
    <w:p>
      <w:pPr>
        <w:snapToGrid w:val="0"/>
        <w:spacing w:after="240" w:afterLines="100"/>
        <w:ind w:firstLine="480" w:firstLineChars="200"/>
        <w:jc w:val="both"/>
        <w:rPr>
          <w:rFonts w:eastAsia="宋体"/>
          <w:sz w:val="24"/>
          <w:szCs w:val="24"/>
        </w:rPr>
      </w:pPr>
      <w:r>
        <w:rPr>
          <w:rFonts w:eastAsia="宋体"/>
          <w:color w:val="000000"/>
          <w:sz w:val="24"/>
          <w:szCs w:val="24"/>
        </w:rPr>
        <w:t>本文件的目的是阐明</w:t>
      </w:r>
      <w:r>
        <w:rPr>
          <w:rFonts w:hint="eastAsia" w:eastAsia="宋体"/>
          <w:color w:val="000000"/>
          <w:sz w:val="24"/>
          <w:szCs w:val="24"/>
        </w:rPr>
        <w:t>验收</w:t>
      </w:r>
      <w:r>
        <w:rPr>
          <w:rFonts w:eastAsia="宋体"/>
          <w:color w:val="000000"/>
          <w:sz w:val="24"/>
          <w:szCs w:val="24"/>
        </w:rPr>
        <w:t>和</w:t>
      </w:r>
      <w:r>
        <w:rPr>
          <w:rFonts w:hint="eastAsia" w:eastAsia="宋体"/>
          <w:color w:val="000000"/>
          <w:sz w:val="24"/>
          <w:szCs w:val="24"/>
        </w:rPr>
        <w:t>备案</w:t>
      </w:r>
      <w:r>
        <w:rPr>
          <w:rFonts w:eastAsia="宋体"/>
          <w:color w:val="000000"/>
          <w:sz w:val="24"/>
          <w:szCs w:val="24"/>
        </w:rPr>
        <w:t>PMA的标准，从而增强我们</w:t>
      </w:r>
      <w:r>
        <w:rPr>
          <w:rFonts w:hint="eastAsia" w:eastAsia="宋体"/>
          <w:color w:val="000000"/>
          <w:sz w:val="24"/>
          <w:szCs w:val="24"/>
        </w:rPr>
        <w:t>验收</w:t>
      </w:r>
      <w:r>
        <w:rPr>
          <w:rFonts w:eastAsia="宋体"/>
          <w:color w:val="000000"/>
          <w:sz w:val="24"/>
          <w:szCs w:val="24"/>
        </w:rPr>
        <w:t>和</w:t>
      </w:r>
      <w:r>
        <w:rPr>
          <w:rFonts w:hint="eastAsia" w:eastAsia="宋体"/>
          <w:color w:val="000000"/>
          <w:sz w:val="24"/>
          <w:szCs w:val="24"/>
        </w:rPr>
        <w:t>备案</w:t>
      </w:r>
      <w:r>
        <w:rPr>
          <w:rFonts w:eastAsia="宋体"/>
          <w:color w:val="000000"/>
          <w:sz w:val="24"/>
          <w:szCs w:val="24"/>
        </w:rPr>
        <w:t>决定的一致性。本文件中的决定过程见</w:t>
      </w:r>
      <w:r>
        <w:rPr>
          <w:rFonts w:ascii="宋体" w:hAnsi="宋体" w:eastAsia="宋体"/>
          <w:color w:val="000000"/>
          <w:sz w:val="24"/>
          <w:szCs w:val="24"/>
        </w:rPr>
        <w:t>“</w:t>
      </w:r>
      <w:r>
        <w:rPr>
          <w:rFonts w:eastAsia="宋体"/>
          <w:color w:val="000000"/>
          <w:sz w:val="24"/>
          <w:szCs w:val="24"/>
        </w:rPr>
        <w:t>PMA</w:t>
      </w:r>
      <w:r>
        <w:rPr>
          <w:rFonts w:hint="eastAsia" w:eastAsia="宋体"/>
          <w:color w:val="000000"/>
          <w:sz w:val="24"/>
          <w:szCs w:val="24"/>
        </w:rPr>
        <w:t>验收</w:t>
      </w:r>
      <w:r>
        <w:rPr>
          <w:rFonts w:eastAsia="宋体"/>
          <w:color w:val="000000"/>
          <w:sz w:val="24"/>
          <w:szCs w:val="24"/>
        </w:rPr>
        <w:t>和备案</w:t>
      </w:r>
      <w:r>
        <w:rPr>
          <w:rFonts w:hint="eastAsia" w:eastAsia="宋体"/>
          <w:color w:val="000000"/>
          <w:sz w:val="24"/>
          <w:szCs w:val="24"/>
        </w:rPr>
        <w:t>检查表</w:t>
      </w:r>
      <w:r>
        <w:rPr>
          <w:rFonts w:ascii="宋体" w:hAnsi="宋体" w:eastAsia="宋体"/>
          <w:color w:val="000000"/>
          <w:sz w:val="24"/>
          <w:szCs w:val="24"/>
        </w:rPr>
        <w:t>”</w:t>
      </w:r>
      <w:r>
        <w:rPr>
          <w:rFonts w:eastAsia="宋体"/>
          <w:color w:val="000000"/>
          <w:sz w:val="24"/>
          <w:szCs w:val="24"/>
        </w:rPr>
        <w:t>（见附录A）。FDA工作人员将在</w:t>
      </w:r>
      <w:r>
        <w:rPr>
          <w:rFonts w:hint="eastAsia" w:eastAsia="宋体"/>
          <w:color w:val="000000"/>
          <w:sz w:val="24"/>
          <w:szCs w:val="24"/>
        </w:rPr>
        <w:t>验收</w:t>
      </w:r>
      <w:r>
        <w:rPr>
          <w:rFonts w:eastAsia="宋体"/>
          <w:color w:val="000000"/>
          <w:sz w:val="24"/>
          <w:szCs w:val="24"/>
        </w:rPr>
        <w:t>和备案审评过程中使用此类</w:t>
      </w:r>
      <w:r>
        <w:rPr>
          <w:rFonts w:hint="eastAsia" w:eastAsia="宋体"/>
          <w:color w:val="000000"/>
          <w:sz w:val="24"/>
          <w:szCs w:val="24"/>
        </w:rPr>
        <w:t>检查表</w:t>
      </w:r>
      <w:r>
        <w:rPr>
          <w:rFonts w:eastAsia="宋体"/>
          <w:color w:val="000000"/>
          <w:sz w:val="24"/>
          <w:szCs w:val="24"/>
        </w:rPr>
        <w:t>。</w:t>
      </w:r>
    </w:p>
    <w:p>
      <w:pPr>
        <w:pStyle w:val="2"/>
        <w:tabs>
          <w:tab w:val="left" w:pos="-1418"/>
          <w:tab w:val="clear" w:pos="1274"/>
        </w:tabs>
        <w:spacing w:beforeLines="0" w:after="240"/>
        <w:ind w:left="643" w:hanging="643" w:hangingChars="200"/>
        <w:rPr>
          <w:rFonts w:eastAsia="宋体"/>
          <w:sz w:val="32"/>
          <w:szCs w:val="32"/>
        </w:rPr>
      </w:pPr>
      <w:r>
        <w:rPr>
          <w:rFonts w:eastAsia="宋体"/>
          <w:sz w:val="32"/>
          <w:szCs w:val="32"/>
        </w:rPr>
        <w:t>III.</w:t>
      </w:r>
      <w:r>
        <w:rPr>
          <w:rFonts w:eastAsia="宋体"/>
          <w:sz w:val="32"/>
          <w:szCs w:val="32"/>
        </w:rPr>
        <w:tab/>
      </w:r>
      <w:r>
        <w:rPr>
          <w:rFonts w:eastAsia="宋体"/>
          <w:sz w:val="32"/>
          <w:szCs w:val="32"/>
        </w:rPr>
        <w:t>范围</w:t>
      </w:r>
    </w:p>
    <w:p>
      <w:pPr>
        <w:snapToGrid w:val="0"/>
        <w:spacing w:after="240" w:afterLines="100"/>
        <w:ind w:firstLine="480" w:firstLineChars="200"/>
        <w:jc w:val="both"/>
        <w:rPr>
          <w:rFonts w:eastAsia="宋体"/>
          <w:sz w:val="24"/>
          <w:szCs w:val="24"/>
        </w:rPr>
      </w:pPr>
      <w:r>
        <w:rPr>
          <w:rFonts w:eastAsia="宋体"/>
          <w:color w:val="000000"/>
          <w:sz w:val="24"/>
          <w:szCs w:val="24"/>
        </w:rPr>
        <w:t>本文件中提供的信息旨在为FDA工作人员提供清晰、一致的方法，以便对原始PMA申请</w:t>
      </w:r>
      <w:r>
        <w:rPr>
          <w:rStyle w:val="13"/>
          <w:rFonts w:eastAsia="宋体"/>
          <w:color w:val="000000"/>
          <w:sz w:val="24"/>
          <w:szCs w:val="24"/>
        </w:rPr>
        <w:footnoteReference w:id="3"/>
      </w:r>
      <w:r>
        <w:rPr>
          <w:rFonts w:eastAsia="宋体"/>
          <w:color w:val="000000"/>
          <w:sz w:val="24"/>
          <w:szCs w:val="24"/>
        </w:rPr>
        <w:t>和专题讨论小组跟踪PMA补充申请作出</w:t>
      </w:r>
      <w:r>
        <w:rPr>
          <w:rFonts w:hint="eastAsia" w:eastAsia="宋体"/>
          <w:color w:val="000000"/>
          <w:sz w:val="24"/>
          <w:szCs w:val="24"/>
        </w:rPr>
        <w:t>验收</w:t>
      </w:r>
      <w:r>
        <w:rPr>
          <w:rFonts w:eastAsia="宋体"/>
          <w:color w:val="000000"/>
          <w:sz w:val="24"/>
          <w:szCs w:val="24"/>
        </w:rPr>
        <w:t>和</w:t>
      </w:r>
      <w:r>
        <w:rPr>
          <w:rFonts w:hint="eastAsia" w:eastAsia="宋体"/>
          <w:color w:val="000000"/>
          <w:sz w:val="24"/>
          <w:szCs w:val="24"/>
        </w:rPr>
        <w:t>备案</w:t>
      </w:r>
      <w:r>
        <w:rPr>
          <w:rFonts w:eastAsia="宋体"/>
          <w:color w:val="000000"/>
          <w:sz w:val="24"/>
          <w:szCs w:val="24"/>
        </w:rPr>
        <w:t>决定。FDA</w:t>
      </w:r>
      <w:r>
        <w:rPr>
          <w:rFonts w:hint="eastAsia" w:eastAsia="宋体"/>
          <w:color w:val="000000"/>
          <w:sz w:val="24"/>
          <w:szCs w:val="24"/>
        </w:rPr>
        <w:t>决定验收</w:t>
      </w:r>
      <w:r>
        <w:rPr>
          <w:rFonts w:eastAsia="宋体"/>
          <w:color w:val="000000"/>
          <w:sz w:val="24"/>
          <w:szCs w:val="24"/>
        </w:rPr>
        <w:t>和/或</w:t>
      </w:r>
      <w:r>
        <w:rPr>
          <w:rFonts w:hint="eastAsia" w:eastAsia="宋体"/>
          <w:color w:val="000000"/>
          <w:sz w:val="24"/>
          <w:szCs w:val="24"/>
        </w:rPr>
        <w:t>备案</w:t>
      </w:r>
      <w:r>
        <w:rPr>
          <w:rFonts w:eastAsia="宋体"/>
          <w:color w:val="000000"/>
          <w:sz w:val="24"/>
          <w:szCs w:val="24"/>
        </w:rPr>
        <w:t>PMA并不意味着PMA中提供的数据可以证明贵公司器械具有合理的安全性和有效性保证或确保PMA的批准。</w:t>
      </w:r>
    </w:p>
    <w:p>
      <w:pPr>
        <w:snapToGrid w:val="0"/>
        <w:spacing w:after="240" w:afterLines="100"/>
        <w:ind w:firstLine="480" w:firstLineChars="200"/>
        <w:jc w:val="both"/>
        <w:rPr>
          <w:rFonts w:eastAsia="宋体"/>
          <w:sz w:val="24"/>
          <w:szCs w:val="24"/>
        </w:rPr>
      </w:pPr>
    </w:p>
    <w:p>
      <w:pPr>
        <w:snapToGrid w:val="0"/>
        <w:spacing w:after="240" w:afterLines="100"/>
        <w:jc w:val="both"/>
        <w:rPr>
          <w:rFonts w:eastAsia="宋体"/>
          <w:sz w:val="21"/>
          <w:szCs w:val="21"/>
        </w:rPr>
        <w:sectPr>
          <w:pgSz w:w="11906" w:h="16838"/>
          <w:pgMar w:top="1134" w:right="1134" w:bottom="1134" w:left="1418" w:header="567" w:footer="567" w:gutter="0"/>
          <w:cols w:space="60" w:num="1"/>
          <w:docGrid w:linePitch="272" w:charSpace="0"/>
        </w:sectPr>
      </w:pPr>
    </w:p>
    <w:p>
      <w:pPr>
        <w:snapToGrid w:val="0"/>
        <w:spacing w:after="240" w:afterLines="100"/>
        <w:ind w:firstLine="480" w:firstLineChars="200"/>
        <w:jc w:val="both"/>
        <w:rPr>
          <w:rFonts w:eastAsia="宋体"/>
          <w:color w:val="000000"/>
          <w:sz w:val="24"/>
          <w:szCs w:val="24"/>
        </w:rPr>
      </w:pPr>
      <w:r>
        <w:rPr>
          <w:rFonts w:eastAsia="宋体"/>
          <w:color w:val="000000"/>
          <w:sz w:val="24"/>
          <w:szCs w:val="24"/>
        </w:rPr>
        <w:t>此外，应注意的是，本文件侧重于作出PMA</w:t>
      </w:r>
      <w:r>
        <w:rPr>
          <w:rFonts w:ascii="宋体" w:hAnsi="宋体" w:eastAsia="宋体"/>
          <w:color w:val="000000"/>
          <w:sz w:val="24"/>
          <w:szCs w:val="24"/>
        </w:rPr>
        <w:t>“</w:t>
      </w:r>
      <w:r>
        <w:rPr>
          <w:rFonts w:hint="eastAsia" w:eastAsia="宋体"/>
          <w:color w:val="000000"/>
          <w:sz w:val="24"/>
          <w:szCs w:val="24"/>
        </w:rPr>
        <w:t>验收</w:t>
      </w:r>
      <w:r>
        <w:rPr>
          <w:rFonts w:ascii="宋体" w:hAnsi="宋体" w:eastAsia="宋体"/>
          <w:color w:val="000000"/>
          <w:sz w:val="24"/>
          <w:szCs w:val="24"/>
        </w:rPr>
        <w:t>”</w:t>
      </w:r>
      <w:r>
        <w:rPr>
          <w:rFonts w:eastAsia="宋体"/>
          <w:color w:val="000000"/>
          <w:sz w:val="24"/>
          <w:szCs w:val="24"/>
        </w:rPr>
        <w:t>或</w:t>
      </w:r>
      <w:r>
        <w:rPr>
          <w:rFonts w:ascii="宋体" w:hAnsi="宋体" w:eastAsia="宋体"/>
          <w:color w:val="000000"/>
          <w:sz w:val="24"/>
          <w:szCs w:val="24"/>
        </w:rPr>
        <w:t>“</w:t>
      </w:r>
      <w:r>
        <w:rPr>
          <w:rFonts w:eastAsia="宋体"/>
          <w:color w:val="000000"/>
          <w:sz w:val="24"/>
          <w:szCs w:val="24"/>
        </w:rPr>
        <w:t>拒绝</w:t>
      </w:r>
      <w:r>
        <w:rPr>
          <w:rFonts w:hint="eastAsia" w:eastAsia="宋体"/>
          <w:color w:val="000000"/>
          <w:sz w:val="24"/>
          <w:szCs w:val="24"/>
        </w:rPr>
        <w:t>验收</w:t>
      </w:r>
      <w:r>
        <w:rPr>
          <w:rFonts w:ascii="宋体" w:hAnsi="宋体" w:eastAsia="宋体"/>
          <w:color w:val="000000"/>
          <w:sz w:val="24"/>
          <w:szCs w:val="24"/>
        </w:rPr>
        <w:t>”</w:t>
      </w:r>
      <w:r>
        <w:rPr>
          <w:rFonts w:eastAsia="宋体"/>
          <w:color w:val="000000"/>
          <w:sz w:val="24"/>
          <w:szCs w:val="24"/>
        </w:rPr>
        <w:t>（RTA）决定以及</w:t>
      </w:r>
      <w:r>
        <w:rPr>
          <w:rFonts w:ascii="宋体" w:hAnsi="宋体" w:eastAsia="宋体"/>
          <w:color w:val="000000"/>
          <w:sz w:val="24"/>
          <w:szCs w:val="24"/>
        </w:rPr>
        <w:t>“</w:t>
      </w:r>
      <w:r>
        <w:rPr>
          <w:rFonts w:eastAsia="宋体"/>
          <w:color w:val="000000"/>
          <w:sz w:val="24"/>
          <w:szCs w:val="24"/>
        </w:rPr>
        <w:t>归档</w:t>
      </w:r>
      <w:r>
        <w:rPr>
          <w:rFonts w:ascii="宋体" w:hAnsi="宋体" w:eastAsia="宋体"/>
          <w:color w:val="000000"/>
          <w:sz w:val="24"/>
          <w:szCs w:val="24"/>
        </w:rPr>
        <w:t>”</w:t>
      </w:r>
      <w:r>
        <w:rPr>
          <w:rFonts w:eastAsia="宋体"/>
          <w:color w:val="000000"/>
          <w:sz w:val="24"/>
          <w:szCs w:val="24"/>
        </w:rPr>
        <w:t>或</w:t>
      </w:r>
      <w:r>
        <w:rPr>
          <w:rFonts w:ascii="宋体" w:hAnsi="宋体" w:eastAsia="宋体"/>
          <w:color w:val="000000"/>
          <w:sz w:val="24"/>
          <w:szCs w:val="24"/>
        </w:rPr>
        <w:t>“</w:t>
      </w:r>
      <w:r>
        <w:rPr>
          <w:rFonts w:eastAsia="宋体"/>
          <w:color w:val="000000"/>
          <w:sz w:val="24"/>
          <w:szCs w:val="24"/>
        </w:rPr>
        <w:t>非归档</w:t>
      </w:r>
      <w:r>
        <w:rPr>
          <w:rFonts w:ascii="宋体" w:hAnsi="宋体" w:eastAsia="宋体"/>
          <w:color w:val="000000"/>
          <w:sz w:val="24"/>
          <w:szCs w:val="24"/>
        </w:rPr>
        <w:t>”</w:t>
      </w:r>
      <w:r>
        <w:rPr>
          <w:rFonts w:eastAsia="宋体"/>
          <w:color w:val="000000"/>
          <w:sz w:val="24"/>
          <w:szCs w:val="24"/>
        </w:rPr>
        <w:t>决定的法规和科学标准。尤其不会改变PMA备案流程的以下</w:t>
      </w:r>
      <w:r>
        <w:rPr>
          <w:rFonts w:hint="eastAsia" w:eastAsia="宋体"/>
          <w:color w:val="000000"/>
          <w:sz w:val="24"/>
          <w:szCs w:val="24"/>
        </w:rPr>
        <w:t>行政</w:t>
      </w:r>
      <w:r>
        <w:rPr>
          <w:rFonts w:eastAsia="宋体"/>
          <w:color w:val="000000"/>
          <w:sz w:val="24"/>
          <w:szCs w:val="24"/>
        </w:rPr>
        <w:t>方面：备案审评阶段的时间范围（即45天，包括进行</w:t>
      </w:r>
      <w:r>
        <w:rPr>
          <w:rFonts w:hint="eastAsia" w:eastAsia="宋体"/>
          <w:color w:val="000000"/>
          <w:sz w:val="24"/>
          <w:szCs w:val="24"/>
        </w:rPr>
        <w:t>验收</w:t>
      </w:r>
      <w:r>
        <w:rPr>
          <w:rFonts w:eastAsia="宋体"/>
          <w:color w:val="000000"/>
          <w:sz w:val="24"/>
          <w:szCs w:val="24"/>
        </w:rPr>
        <w:t>审评所花费的时间）；文件跟踪、分发和处理过程；以及组建审评小组和召开备案会议的程序。</w:t>
      </w:r>
    </w:p>
    <w:p>
      <w:pPr>
        <w:snapToGrid w:val="0"/>
        <w:spacing w:after="240" w:afterLines="100"/>
        <w:ind w:firstLine="480" w:firstLineChars="200"/>
        <w:jc w:val="both"/>
        <w:rPr>
          <w:rFonts w:eastAsia="宋体"/>
          <w:color w:val="000000"/>
          <w:sz w:val="24"/>
          <w:szCs w:val="24"/>
        </w:rPr>
      </w:pPr>
      <w:r>
        <w:rPr>
          <w:rFonts w:eastAsia="宋体"/>
          <w:color w:val="000000"/>
          <w:sz w:val="24"/>
          <w:szCs w:val="24"/>
        </w:rPr>
        <w:t>本文件不讨论</w:t>
      </w:r>
      <w:r>
        <w:rPr>
          <w:rFonts w:hint="eastAsia" w:eastAsia="宋体"/>
          <w:color w:val="000000"/>
          <w:sz w:val="24"/>
          <w:szCs w:val="24"/>
        </w:rPr>
        <w:t>突破性器械认定</w:t>
      </w:r>
      <w:r>
        <w:rPr>
          <w:rFonts w:eastAsia="宋体"/>
          <w:color w:val="000000"/>
          <w:sz w:val="24"/>
          <w:szCs w:val="24"/>
        </w:rPr>
        <w:t>的法定标准。</w:t>
      </w:r>
      <w:r>
        <w:rPr>
          <w:rStyle w:val="13"/>
          <w:rFonts w:eastAsia="宋体"/>
          <w:color w:val="000000"/>
          <w:sz w:val="24"/>
          <w:szCs w:val="24"/>
        </w:rPr>
        <w:footnoteReference w:id="4"/>
      </w:r>
      <w:r>
        <w:rPr>
          <w:rFonts w:eastAsia="宋体"/>
          <w:color w:val="000000"/>
          <w:sz w:val="24"/>
          <w:szCs w:val="24"/>
          <w:vertAlign w:val="superscript"/>
        </w:rPr>
        <w:t xml:space="preserve"> </w:t>
      </w:r>
      <w:r>
        <w:rPr>
          <w:rFonts w:eastAsia="宋体"/>
          <w:color w:val="000000"/>
          <w:sz w:val="24"/>
          <w:szCs w:val="24"/>
        </w:rPr>
        <w:t>与该认定相关的信息可参见2018年12月18日发布的指南</w:t>
      </w:r>
      <w:r>
        <w:rPr>
          <w:rFonts w:ascii="宋体" w:hAnsi="宋体" w:eastAsia="宋体"/>
          <w:color w:val="000000"/>
          <w:sz w:val="24"/>
          <w:szCs w:val="24"/>
        </w:rPr>
        <w:t>“</w:t>
      </w:r>
      <w:r>
        <w:rPr>
          <w:rFonts w:eastAsia="宋体"/>
          <w:color w:val="0000FF"/>
          <w:sz w:val="24"/>
          <w:szCs w:val="24"/>
          <w:u w:val="single"/>
        </w:rPr>
        <w:t>突破性器械项目</w:t>
      </w:r>
      <w:r>
        <w:rPr>
          <w:rFonts w:ascii="宋体" w:hAnsi="宋体" w:eastAsia="宋体"/>
          <w:color w:val="000000"/>
          <w:sz w:val="24"/>
          <w:szCs w:val="24"/>
        </w:rPr>
        <w:t>”</w:t>
      </w:r>
      <w:r>
        <w:rPr>
          <w:rFonts w:eastAsia="宋体"/>
          <w:color w:val="000000"/>
          <w:sz w:val="24"/>
          <w:szCs w:val="24"/>
        </w:rPr>
        <w:t>。</w:t>
      </w:r>
      <w:r>
        <w:rPr>
          <w:rStyle w:val="13"/>
          <w:rFonts w:eastAsia="宋体"/>
          <w:color w:val="000000"/>
          <w:sz w:val="24"/>
          <w:szCs w:val="24"/>
        </w:rPr>
        <w:footnoteReference w:id="5"/>
      </w:r>
    </w:p>
    <w:p>
      <w:pPr>
        <w:snapToGrid w:val="0"/>
        <w:spacing w:after="240" w:afterLines="100"/>
        <w:ind w:firstLine="480" w:firstLineChars="200"/>
        <w:jc w:val="both"/>
        <w:rPr>
          <w:rFonts w:eastAsia="宋体"/>
          <w:sz w:val="24"/>
          <w:szCs w:val="24"/>
        </w:rPr>
      </w:pPr>
      <w:r>
        <w:rPr>
          <w:rFonts w:eastAsia="宋体"/>
          <w:color w:val="000000"/>
          <w:sz w:val="24"/>
          <w:szCs w:val="24"/>
        </w:rPr>
        <w:t>本文件不涉及与PMA相关的货币方面或MDUFA目标。关于PMA申请的费用和付款程序的信息，请参见</w:t>
      </w:r>
      <w:r>
        <w:rPr>
          <w:rFonts w:eastAsia="宋体"/>
          <w:color w:val="0000FF"/>
          <w:sz w:val="24"/>
          <w:szCs w:val="24"/>
          <w:u w:val="single"/>
        </w:rPr>
        <w:t>医疗器械注册费用网页</w:t>
      </w:r>
      <w:r>
        <w:rPr>
          <w:rFonts w:eastAsia="宋体"/>
          <w:color w:val="000000" w:themeColor="text1"/>
          <w:sz w:val="24"/>
          <w:szCs w:val="24"/>
        </w:rPr>
        <w:t>。</w:t>
      </w:r>
      <w:r>
        <w:rPr>
          <w:rStyle w:val="13"/>
          <w:rFonts w:eastAsia="宋体"/>
          <w:color w:val="000000"/>
          <w:sz w:val="24"/>
          <w:szCs w:val="24"/>
        </w:rPr>
        <w:footnoteReference w:id="6"/>
      </w:r>
    </w:p>
    <w:p>
      <w:pPr>
        <w:pStyle w:val="2"/>
        <w:tabs>
          <w:tab w:val="left" w:pos="-1418"/>
          <w:tab w:val="clear" w:pos="1274"/>
        </w:tabs>
        <w:spacing w:beforeLines="0" w:after="240"/>
        <w:ind w:left="643" w:hanging="643" w:hangingChars="200"/>
        <w:rPr>
          <w:rFonts w:eastAsia="宋体"/>
          <w:sz w:val="32"/>
          <w:szCs w:val="32"/>
        </w:rPr>
      </w:pPr>
      <w:r>
        <w:rPr>
          <w:rFonts w:eastAsia="宋体"/>
          <w:sz w:val="32"/>
          <w:szCs w:val="32"/>
        </w:rPr>
        <w:t>IV.</w:t>
      </w:r>
      <w:r>
        <w:rPr>
          <w:rFonts w:eastAsia="宋体"/>
          <w:sz w:val="32"/>
          <w:szCs w:val="32"/>
        </w:rPr>
        <w:tab/>
      </w:r>
      <w:r>
        <w:rPr>
          <w:rFonts w:eastAsia="宋体"/>
          <w:sz w:val="32"/>
          <w:szCs w:val="32"/>
        </w:rPr>
        <w:t>Q-</w:t>
      </w:r>
      <w:r>
        <w:rPr>
          <w:rFonts w:hint="eastAsia" w:eastAsia="宋体"/>
          <w:sz w:val="32"/>
          <w:szCs w:val="32"/>
        </w:rPr>
        <w:t>申请</w:t>
      </w:r>
      <w:r>
        <w:rPr>
          <w:rFonts w:eastAsia="宋体"/>
          <w:sz w:val="32"/>
          <w:szCs w:val="32"/>
        </w:rPr>
        <w:t>互动</w:t>
      </w:r>
    </w:p>
    <w:p>
      <w:pPr>
        <w:snapToGrid w:val="0"/>
        <w:spacing w:after="240" w:afterLines="100"/>
        <w:ind w:firstLine="480" w:firstLineChars="200"/>
        <w:jc w:val="both"/>
        <w:rPr>
          <w:rFonts w:eastAsia="宋体"/>
          <w:color w:val="000000"/>
          <w:sz w:val="24"/>
          <w:szCs w:val="24"/>
        </w:rPr>
      </w:pPr>
      <w:r>
        <w:rPr>
          <w:rFonts w:eastAsia="宋体"/>
          <w:color w:val="000000"/>
          <w:sz w:val="24"/>
          <w:szCs w:val="24"/>
        </w:rPr>
        <w:t>在与审评人员进行互动之前，申请人应咨询CDRH的</w:t>
      </w:r>
      <w:r>
        <w:rPr>
          <w:rFonts w:hint="eastAsia" w:eastAsia="宋体"/>
          <w:color w:val="000000"/>
          <w:sz w:val="24"/>
          <w:szCs w:val="24"/>
        </w:rPr>
        <w:t>行业与消费者教育</w:t>
      </w:r>
      <w:r>
        <w:rPr>
          <w:rFonts w:hint="eastAsia" w:eastAsia="宋体"/>
          <w:color w:val="000000"/>
          <w:sz w:val="24"/>
          <w:szCs w:val="24"/>
          <w:highlight w:val="none"/>
        </w:rPr>
        <w:t>处</w:t>
      </w:r>
      <w:r>
        <w:rPr>
          <w:rFonts w:hint="eastAsia" w:eastAsia="宋体"/>
          <w:color w:val="000000"/>
          <w:sz w:val="24"/>
          <w:szCs w:val="24"/>
        </w:rPr>
        <w:t>（</w:t>
      </w:r>
      <w:r>
        <w:rPr>
          <w:rFonts w:eastAsia="宋体"/>
          <w:color w:val="000000"/>
          <w:sz w:val="24"/>
          <w:szCs w:val="24"/>
        </w:rPr>
        <w:t>DICE</w:t>
      </w:r>
      <w:r>
        <w:rPr>
          <w:rFonts w:hint="eastAsia" w:eastAsia="宋体"/>
          <w:color w:val="000000"/>
          <w:sz w:val="24"/>
          <w:szCs w:val="24"/>
        </w:rPr>
        <w:t>）</w:t>
      </w:r>
      <w:r>
        <w:rPr>
          <w:rFonts w:eastAsia="宋体"/>
          <w:color w:val="000000"/>
          <w:sz w:val="24"/>
          <w:szCs w:val="24"/>
        </w:rPr>
        <w:t>或CBER的制造商援助和技术培训处，了解关于PMA法规的一般信息。在提交PMA之前，我们鼓励申请人与FDA审评人员进行互动。此类Q-申请互动是提高PMA质量和完整性的重要途径。在准备PMA之前，与FDA工作人员召开面对面会议可能有助于申请人讨论与其特定器械和PMA相关的问题。关于Q-申请项目的更多信息，请参见指南</w:t>
      </w:r>
      <w:r>
        <w:rPr>
          <w:rFonts w:hint="eastAsia" w:eastAsia="宋体"/>
          <w:color w:val="000000"/>
          <w:sz w:val="24"/>
          <w:szCs w:val="24"/>
        </w:rPr>
        <w:t>“</w:t>
      </w:r>
      <w:r>
        <w:rPr>
          <w:rFonts w:eastAsia="宋体"/>
          <w:color w:val="0000FF"/>
          <w:sz w:val="24"/>
          <w:szCs w:val="24"/>
          <w:u w:val="single"/>
        </w:rPr>
        <w:t>医疗器械申请的反馈请求：Q-</w:t>
      </w:r>
      <w:r>
        <w:rPr>
          <w:rFonts w:hint="eastAsia" w:eastAsia="宋体"/>
          <w:color w:val="0000FF"/>
          <w:sz w:val="24"/>
          <w:szCs w:val="24"/>
          <w:u w:val="single"/>
        </w:rPr>
        <w:t>申请</w:t>
      </w:r>
      <w:r>
        <w:rPr>
          <w:rFonts w:eastAsia="宋体"/>
          <w:color w:val="0000FF"/>
          <w:sz w:val="24"/>
          <w:szCs w:val="24"/>
          <w:u w:val="single"/>
        </w:rPr>
        <w:t>程序。</w:t>
      </w:r>
      <w:r>
        <w:rPr>
          <w:rFonts w:ascii="宋体" w:hAnsi="宋体" w:eastAsia="宋体"/>
          <w:color w:val="000000"/>
          <w:sz w:val="24"/>
          <w:szCs w:val="24"/>
        </w:rPr>
        <w:t>”</w:t>
      </w:r>
      <w:r>
        <w:rPr>
          <w:rStyle w:val="13"/>
          <w:rFonts w:eastAsia="宋体"/>
          <w:color w:val="000000"/>
          <w:sz w:val="24"/>
          <w:szCs w:val="24"/>
        </w:rPr>
        <w:footnoteReference w:id="7"/>
      </w:r>
    </w:p>
    <w:p>
      <w:pPr>
        <w:snapToGrid w:val="0"/>
        <w:spacing w:after="240" w:afterLines="100"/>
        <w:ind w:firstLine="480" w:firstLineChars="200"/>
        <w:jc w:val="both"/>
        <w:rPr>
          <w:rFonts w:eastAsia="宋体"/>
          <w:sz w:val="24"/>
          <w:szCs w:val="24"/>
        </w:rPr>
      </w:pPr>
      <w:r>
        <w:rPr>
          <w:rFonts w:eastAsia="宋体"/>
          <w:color w:val="000000"/>
          <w:sz w:val="24"/>
          <w:szCs w:val="24"/>
        </w:rPr>
        <w:t>此外，CDRH的</w:t>
      </w:r>
      <w:r>
        <w:rPr>
          <w:rFonts w:eastAsia="宋体"/>
          <w:color w:val="0000FF"/>
          <w:sz w:val="24"/>
          <w:szCs w:val="24"/>
          <w:u w:val="single"/>
        </w:rPr>
        <w:t>器械建议</w:t>
      </w:r>
      <w:r>
        <w:rPr>
          <w:rFonts w:hint="eastAsia" w:eastAsia="宋体"/>
          <w:color w:val="000000" w:themeColor="text1"/>
          <w:sz w:val="24"/>
          <w:szCs w:val="24"/>
        </w:rPr>
        <w:t>，</w:t>
      </w:r>
      <w:r>
        <w:rPr>
          <w:rStyle w:val="13"/>
          <w:rFonts w:eastAsia="宋体"/>
          <w:color w:val="000000"/>
          <w:sz w:val="24"/>
          <w:szCs w:val="24"/>
        </w:rPr>
        <w:footnoteReference w:id="8"/>
      </w:r>
      <w:r>
        <w:rPr>
          <w:rFonts w:hint="eastAsia" w:eastAsia="宋体"/>
          <w:color w:val="000000"/>
          <w:sz w:val="24"/>
          <w:szCs w:val="24"/>
        </w:rPr>
        <w:t xml:space="preserve"> </w:t>
      </w:r>
      <w:r>
        <w:rPr>
          <w:rFonts w:eastAsia="宋体"/>
          <w:color w:val="000000"/>
          <w:sz w:val="24"/>
          <w:szCs w:val="24"/>
        </w:rPr>
        <w:t>以及其他适用的</w:t>
      </w:r>
      <w:r>
        <w:rPr>
          <w:rFonts w:eastAsia="宋体"/>
          <w:color w:val="0000FF"/>
          <w:sz w:val="24"/>
          <w:szCs w:val="24"/>
          <w:u w:val="single"/>
        </w:rPr>
        <w:t>CDRH器械特定和交叉指南文件</w:t>
      </w:r>
      <w:r>
        <w:rPr>
          <w:rStyle w:val="13"/>
          <w:rFonts w:eastAsia="宋体"/>
          <w:color w:val="000000"/>
          <w:sz w:val="24"/>
          <w:szCs w:val="24"/>
        </w:rPr>
        <w:t xml:space="preserve"> </w:t>
      </w:r>
      <w:r>
        <w:rPr>
          <w:rStyle w:val="13"/>
          <w:rFonts w:eastAsia="宋体"/>
          <w:color w:val="000000"/>
          <w:sz w:val="24"/>
          <w:szCs w:val="24"/>
        </w:rPr>
        <w:footnoteReference w:id="9"/>
      </w:r>
      <w:r>
        <w:rPr>
          <w:rFonts w:eastAsia="宋体"/>
          <w:color w:val="000000"/>
          <w:sz w:val="24"/>
          <w:szCs w:val="24"/>
        </w:rPr>
        <w:t>为准备PMA提供了有价值的信息。</w:t>
      </w:r>
    </w:p>
    <w:p>
      <w:pPr>
        <w:tabs>
          <w:tab w:val="left" w:pos="216"/>
        </w:tabs>
        <w:snapToGrid w:val="0"/>
        <w:spacing w:after="240" w:afterLines="100"/>
        <w:ind w:firstLine="480" w:firstLineChars="200"/>
        <w:jc w:val="both"/>
        <w:rPr>
          <w:rFonts w:eastAsia="宋体"/>
          <w:color w:val="000000"/>
          <w:sz w:val="24"/>
          <w:szCs w:val="24"/>
          <w:vertAlign w:val="superscript"/>
        </w:rPr>
      </w:pPr>
    </w:p>
    <w:p>
      <w:pPr>
        <w:tabs>
          <w:tab w:val="left" w:pos="216"/>
        </w:tabs>
        <w:snapToGrid w:val="0"/>
        <w:spacing w:after="240" w:afterLines="100"/>
        <w:ind w:firstLine="480" w:firstLineChars="200"/>
        <w:jc w:val="both"/>
        <w:rPr>
          <w:rFonts w:eastAsia="宋体"/>
          <w:sz w:val="24"/>
          <w:szCs w:val="24"/>
        </w:rPr>
      </w:pPr>
    </w:p>
    <w:p>
      <w:pPr>
        <w:tabs>
          <w:tab w:val="left" w:pos="216"/>
        </w:tabs>
        <w:snapToGrid w:val="0"/>
        <w:spacing w:after="240" w:afterLines="100"/>
        <w:jc w:val="both"/>
        <w:rPr>
          <w:rFonts w:eastAsia="宋体"/>
          <w:sz w:val="24"/>
          <w:szCs w:val="24"/>
        </w:rPr>
        <w:sectPr>
          <w:pgSz w:w="11906" w:h="16838"/>
          <w:pgMar w:top="1134" w:right="1134" w:bottom="1134" w:left="1418" w:header="567" w:footer="567" w:gutter="0"/>
          <w:cols w:space="60" w:num="1"/>
          <w:docGrid w:linePitch="272" w:charSpace="0"/>
        </w:sectPr>
      </w:pPr>
    </w:p>
    <w:p>
      <w:pPr>
        <w:pStyle w:val="2"/>
        <w:tabs>
          <w:tab w:val="left" w:pos="-1418"/>
          <w:tab w:val="clear" w:pos="1274"/>
        </w:tabs>
        <w:spacing w:beforeLines="0" w:after="240"/>
        <w:ind w:left="643" w:hanging="643" w:hangingChars="200"/>
        <w:rPr>
          <w:rFonts w:eastAsia="宋体"/>
          <w:sz w:val="32"/>
          <w:szCs w:val="32"/>
        </w:rPr>
      </w:pPr>
      <w:r>
        <w:rPr>
          <w:rFonts w:eastAsia="宋体"/>
          <w:sz w:val="32"/>
          <w:szCs w:val="32"/>
        </w:rPr>
        <w:t>V.</w:t>
      </w:r>
      <w:r>
        <w:rPr>
          <w:rFonts w:eastAsia="宋体"/>
          <w:sz w:val="32"/>
          <w:szCs w:val="32"/>
        </w:rPr>
        <w:tab/>
      </w:r>
      <w:r>
        <w:rPr>
          <w:rFonts w:eastAsia="宋体"/>
          <w:sz w:val="32"/>
          <w:szCs w:val="32"/>
        </w:rPr>
        <w:t>基本审评政策和程序</w:t>
      </w:r>
    </w:p>
    <w:p>
      <w:pPr>
        <w:snapToGrid w:val="0"/>
        <w:spacing w:after="240" w:afterLines="100"/>
        <w:ind w:firstLine="480" w:firstLineChars="200"/>
        <w:jc w:val="both"/>
        <w:rPr>
          <w:rFonts w:eastAsia="宋体"/>
          <w:i/>
          <w:iCs/>
          <w:color w:val="000000"/>
          <w:sz w:val="24"/>
          <w:szCs w:val="24"/>
        </w:rPr>
      </w:pPr>
      <w:r>
        <w:rPr>
          <w:rFonts w:hint="eastAsia" w:eastAsia="宋体"/>
          <w:i/>
          <w:color w:val="000000"/>
          <w:sz w:val="24"/>
          <w:szCs w:val="24"/>
        </w:rPr>
        <w:t>验收审评</w:t>
      </w:r>
      <w:r>
        <w:rPr>
          <w:rFonts w:eastAsia="宋体"/>
          <w:i/>
          <w:color w:val="000000"/>
          <w:sz w:val="24"/>
          <w:szCs w:val="24"/>
        </w:rPr>
        <w:t>政策</w:t>
      </w:r>
    </w:p>
    <w:p>
      <w:pPr>
        <w:snapToGrid w:val="0"/>
        <w:spacing w:after="240" w:afterLines="100"/>
        <w:ind w:firstLine="480" w:firstLineChars="200"/>
        <w:jc w:val="both"/>
        <w:rPr>
          <w:rFonts w:eastAsia="宋体"/>
          <w:color w:val="000000"/>
          <w:sz w:val="24"/>
          <w:szCs w:val="24"/>
        </w:rPr>
      </w:pPr>
      <w:r>
        <w:rPr>
          <w:rFonts w:eastAsia="宋体"/>
          <w:color w:val="000000"/>
          <w:sz w:val="24"/>
          <w:szCs w:val="24"/>
        </w:rPr>
        <w:t>为了促进更有效的审评过程，FDA工作人员将根据客观标准，使用</w:t>
      </w:r>
      <w:r>
        <w:rPr>
          <w:rFonts w:hint="eastAsia" w:eastAsia="宋体"/>
          <w:color w:val="000000"/>
          <w:sz w:val="24"/>
          <w:szCs w:val="24"/>
        </w:rPr>
        <w:t>验收审评检查表</w:t>
      </w:r>
      <w:r>
        <w:rPr>
          <w:rFonts w:eastAsia="宋体"/>
          <w:color w:val="000000"/>
          <w:sz w:val="24"/>
          <w:szCs w:val="24"/>
        </w:rPr>
        <w:t>（见附录A）对所有</w:t>
      </w:r>
      <w:r>
        <w:rPr>
          <w:rFonts w:hint="eastAsia" w:eastAsia="宋体"/>
          <w:color w:val="000000"/>
          <w:sz w:val="24"/>
          <w:szCs w:val="24"/>
        </w:rPr>
        <w:t>原</w:t>
      </w:r>
      <w:r>
        <w:rPr>
          <w:rFonts w:eastAsia="宋体"/>
          <w:color w:val="000000"/>
          <w:sz w:val="24"/>
          <w:szCs w:val="24"/>
        </w:rPr>
        <w:t>始PMA和PMA补充</w:t>
      </w:r>
      <w:r>
        <w:rPr>
          <w:rStyle w:val="13"/>
          <w:rFonts w:eastAsia="宋体"/>
          <w:color w:val="000000"/>
          <w:sz w:val="24"/>
          <w:szCs w:val="24"/>
        </w:rPr>
        <w:footnoteReference w:id="10"/>
      </w:r>
      <w:r>
        <w:rPr>
          <w:rFonts w:eastAsia="宋体"/>
          <w:color w:val="000000"/>
          <w:sz w:val="24"/>
          <w:szCs w:val="24"/>
        </w:rPr>
        <w:t>申请进行</w:t>
      </w:r>
      <w:r>
        <w:rPr>
          <w:rFonts w:hint="eastAsia" w:eastAsia="宋体"/>
          <w:color w:val="000000"/>
          <w:sz w:val="24"/>
          <w:szCs w:val="24"/>
        </w:rPr>
        <w:t>验收审评</w:t>
      </w:r>
      <w:r>
        <w:rPr>
          <w:rFonts w:eastAsia="宋体"/>
          <w:color w:val="000000"/>
          <w:sz w:val="24"/>
          <w:szCs w:val="24"/>
        </w:rPr>
        <w:t>，以确保PMA的行政完整性。为使申请被接受，应提供所有组织和</w:t>
      </w:r>
      <w:r>
        <w:rPr>
          <w:rFonts w:hint="eastAsia" w:eastAsia="宋体"/>
          <w:color w:val="000000"/>
          <w:sz w:val="24"/>
          <w:szCs w:val="24"/>
        </w:rPr>
        <w:t>行政</w:t>
      </w:r>
      <w:r>
        <w:rPr>
          <w:rFonts w:eastAsia="宋体"/>
          <w:color w:val="000000"/>
          <w:sz w:val="24"/>
          <w:szCs w:val="24"/>
        </w:rPr>
        <w:t>要素，或</w:t>
      </w:r>
      <w:r>
        <w:rPr>
          <w:rFonts w:hint="eastAsia" w:eastAsia="宋体"/>
          <w:color w:val="000000"/>
          <w:sz w:val="24"/>
          <w:szCs w:val="24"/>
        </w:rPr>
        <w:t>提供</w:t>
      </w:r>
      <w:r>
        <w:rPr>
          <w:rFonts w:eastAsia="宋体"/>
          <w:color w:val="000000"/>
          <w:sz w:val="24"/>
          <w:szCs w:val="24"/>
        </w:rPr>
        <w:t>申请人</w:t>
      </w:r>
      <w:r>
        <w:rPr>
          <w:rFonts w:hint="eastAsia" w:eastAsia="宋体"/>
          <w:color w:val="000000"/>
          <w:sz w:val="24"/>
          <w:szCs w:val="24"/>
        </w:rPr>
        <w:t>认</w:t>
      </w:r>
      <w:r>
        <w:rPr>
          <w:rFonts w:eastAsia="宋体"/>
          <w:color w:val="000000"/>
          <w:sz w:val="24"/>
          <w:szCs w:val="24"/>
        </w:rPr>
        <w:t>为某些要素不适用的理由。</w:t>
      </w:r>
      <w:r>
        <w:rPr>
          <w:rFonts w:hint="eastAsia" w:eastAsia="宋体"/>
          <w:color w:val="000000"/>
          <w:sz w:val="24"/>
          <w:szCs w:val="24"/>
        </w:rPr>
        <w:t>验收审评</w:t>
      </w:r>
      <w:r>
        <w:rPr>
          <w:rFonts w:eastAsia="宋体"/>
          <w:color w:val="000000"/>
          <w:sz w:val="24"/>
          <w:szCs w:val="24"/>
        </w:rPr>
        <w:t>应在</w:t>
      </w:r>
      <w:r>
        <w:rPr>
          <w:rFonts w:hint="eastAsia" w:eastAsia="宋体"/>
          <w:color w:val="000000"/>
          <w:sz w:val="24"/>
          <w:szCs w:val="24"/>
        </w:rPr>
        <w:t>FDA</w:t>
      </w:r>
      <w:r>
        <w:rPr>
          <w:rFonts w:eastAsia="宋体"/>
          <w:color w:val="000000"/>
          <w:sz w:val="24"/>
          <w:szCs w:val="24"/>
        </w:rPr>
        <w:t>收到PMA后的15个日历日内进行并完成。只有已支付适当注册费用且已收到经确认的eCopy后才会开始PMA的</w:t>
      </w:r>
      <w:r>
        <w:rPr>
          <w:rFonts w:hint="eastAsia" w:eastAsia="宋体"/>
          <w:color w:val="000000"/>
          <w:sz w:val="24"/>
          <w:szCs w:val="24"/>
        </w:rPr>
        <w:t>验收</w:t>
      </w:r>
      <w:r>
        <w:rPr>
          <w:rFonts w:eastAsia="宋体"/>
          <w:color w:val="000000"/>
          <w:sz w:val="24"/>
          <w:szCs w:val="24"/>
        </w:rPr>
        <w:t>审评。</w:t>
      </w:r>
      <w:r>
        <w:rPr>
          <w:rStyle w:val="13"/>
          <w:rFonts w:eastAsia="宋体"/>
          <w:color w:val="000000"/>
          <w:sz w:val="24"/>
          <w:szCs w:val="24"/>
        </w:rPr>
        <w:footnoteReference w:id="11"/>
      </w:r>
    </w:p>
    <w:p>
      <w:pPr>
        <w:snapToGrid w:val="0"/>
        <w:spacing w:after="240" w:afterLines="100"/>
        <w:ind w:firstLine="480" w:firstLineChars="200"/>
        <w:jc w:val="both"/>
        <w:rPr>
          <w:rFonts w:eastAsia="宋体"/>
          <w:color w:val="000000"/>
          <w:sz w:val="24"/>
          <w:szCs w:val="24"/>
        </w:rPr>
      </w:pPr>
      <w:r>
        <w:rPr>
          <w:rFonts w:eastAsia="宋体"/>
          <w:color w:val="000000"/>
          <w:sz w:val="24"/>
          <w:szCs w:val="24"/>
        </w:rPr>
        <w:t>如果申请中包含了</w:t>
      </w:r>
      <w:r>
        <w:rPr>
          <w:rFonts w:hint="eastAsia" w:eastAsia="宋体"/>
          <w:color w:val="000000"/>
          <w:sz w:val="24"/>
          <w:szCs w:val="24"/>
        </w:rPr>
        <w:t>检查表</w:t>
      </w:r>
      <w:r>
        <w:rPr>
          <w:rFonts w:eastAsia="宋体"/>
          <w:color w:val="000000"/>
          <w:sz w:val="24"/>
          <w:szCs w:val="24"/>
        </w:rPr>
        <w:t>中列出的所有信息，FDA工作人员应以</w:t>
      </w:r>
      <w:r>
        <w:rPr>
          <w:rFonts w:hint="eastAsia" w:eastAsia="宋体"/>
          <w:color w:val="000000"/>
          <w:sz w:val="24"/>
          <w:szCs w:val="24"/>
        </w:rPr>
        <w:t>电子方式</w:t>
      </w:r>
      <w:r>
        <w:rPr>
          <w:rFonts w:eastAsia="宋体"/>
          <w:color w:val="000000"/>
          <w:sz w:val="24"/>
          <w:szCs w:val="24"/>
        </w:rPr>
        <w:t>通知申请人其已被</w:t>
      </w:r>
      <w:r>
        <w:rPr>
          <w:rFonts w:ascii="宋体" w:hAnsi="宋体" w:eastAsia="宋体"/>
          <w:color w:val="000000"/>
          <w:sz w:val="24"/>
          <w:szCs w:val="24"/>
        </w:rPr>
        <w:t>“</w:t>
      </w:r>
      <w:r>
        <w:rPr>
          <w:rFonts w:hint="eastAsia" w:eastAsia="宋体"/>
          <w:color w:val="000000"/>
          <w:sz w:val="24"/>
          <w:szCs w:val="24"/>
        </w:rPr>
        <w:t>验收</w:t>
      </w:r>
      <w:r>
        <w:rPr>
          <w:rFonts w:ascii="宋体" w:hAnsi="宋体" w:eastAsia="宋体"/>
          <w:color w:val="000000"/>
          <w:sz w:val="24"/>
          <w:szCs w:val="24"/>
        </w:rPr>
        <w:t>”</w:t>
      </w:r>
      <w:r>
        <w:rPr>
          <w:rFonts w:eastAsia="宋体"/>
          <w:color w:val="000000"/>
          <w:sz w:val="24"/>
          <w:szCs w:val="24"/>
        </w:rPr>
        <w:t>，并继续进行备案审评。如果FDA未能在15个日历日内完成</w:t>
      </w:r>
      <w:r>
        <w:rPr>
          <w:rFonts w:hint="eastAsia" w:eastAsia="宋体"/>
          <w:color w:val="000000"/>
          <w:sz w:val="24"/>
          <w:szCs w:val="24"/>
        </w:rPr>
        <w:t>验收审评</w:t>
      </w:r>
      <w:r>
        <w:rPr>
          <w:rFonts w:eastAsia="宋体"/>
          <w:color w:val="000000"/>
          <w:sz w:val="24"/>
          <w:szCs w:val="24"/>
        </w:rPr>
        <w:t>，则应将申请视为</w:t>
      </w:r>
      <w:r>
        <w:rPr>
          <w:rFonts w:hint="eastAsia" w:eastAsia="宋体"/>
          <w:color w:val="000000"/>
          <w:sz w:val="24"/>
          <w:szCs w:val="24"/>
        </w:rPr>
        <w:t>验收</w:t>
      </w:r>
      <w:r>
        <w:rPr>
          <w:rFonts w:eastAsia="宋体"/>
          <w:color w:val="000000"/>
          <w:sz w:val="24"/>
          <w:szCs w:val="24"/>
        </w:rPr>
        <w:t>，应以</w:t>
      </w:r>
      <w:r>
        <w:rPr>
          <w:rFonts w:hint="eastAsia" w:eastAsia="宋体"/>
          <w:color w:val="000000"/>
          <w:sz w:val="24"/>
          <w:szCs w:val="24"/>
        </w:rPr>
        <w:t>电子方式</w:t>
      </w:r>
      <w:r>
        <w:rPr>
          <w:rFonts w:eastAsia="宋体"/>
          <w:color w:val="000000"/>
          <w:sz w:val="24"/>
          <w:szCs w:val="24"/>
        </w:rPr>
        <w:t>通知申请人，FDA应开始备案审评。如果政府在15天审评期内关闭，审评期可延长至与FDA大楼关闭时间相当的工作日。如果申请人收到自动通知，表示由于</w:t>
      </w:r>
      <w:r>
        <w:rPr>
          <w:rFonts w:hint="eastAsia" w:eastAsia="宋体"/>
          <w:color w:val="000000"/>
          <w:sz w:val="24"/>
          <w:szCs w:val="24"/>
        </w:rPr>
        <w:t>验收审评</w:t>
      </w:r>
      <w:r>
        <w:rPr>
          <w:rFonts w:eastAsia="宋体"/>
          <w:color w:val="000000"/>
          <w:sz w:val="24"/>
          <w:szCs w:val="24"/>
        </w:rPr>
        <w:t>期超过15天而未完成</w:t>
      </w:r>
      <w:r>
        <w:rPr>
          <w:rFonts w:hint="eastAsia" w:eastAsia="宋体"/>
          <w:color w:val="000000"/>
          <w:sz w:val="24"/>
          <w:szCs w:val="24"/>
        </w:rPr>
        <w:t>验收审评</w:t>
      </w:r>
      <w:r>
        <w:rPr>
          <w:rFonts w:eastAsia="宋体"/>
          <w:color w:val="000000"/>
          <w:sz w:val="24"/>
          <w:szCs w:val="24"/>
        </w:rPr>
        <w:t>，则FDA可以向申请人发送纠正通知。在这种情况下，如果申请被</w:t>
      </w:r>
      <w:r>
        <w:rPr>
          <w:rFonts w:hint="eastAsia" w:eastAsia="宋体"/>
          <w:color w:val="000000"/>
          <w:sz w:val="24"/>
          <w:szCs w:val="24"/>
        </w:rPr>
        <w:t>验收</w:t>
      </w:r>
      <w:r>
        <w:rPr>
          <w:rFonts w:eastAsia="宋体"/>
          <w:color w:val="000000"/>
          <w:sz w:val="24"/>
          <w:szCs w:val="24"/>
        </w:rPr>
        <w:t>并</w:t>
      </w:r>
      <w:r>
        <w:rPr>
          <w:rFonts w:hint="eastAsia" w:eastAsia="宋体"/>
          <w:color w:val="000000"/>
          <w:sz w:val="24"/>
          <w:szCs w:val="24"/>
        </w:rPr>
        <w:t>备案</w:t>
      </w:r>
      <w:r>
        <w:rPr>
          <w:rFonts w:eastAsia="宋体"/>
          <w:color w:val="000000"/>
          <w:sz w:val="24"/>
          <w:szCs w:val="24"/>
        </w:rPr>
        <w:t>，则延长的</w:t>
      </w:r>
      <w:r>
        <w:rPr>
          <w:rFonts w:hint="eastAsia" w:eastAsia="宋体"/>
          <w:color w:val="000000"/>
          <w:sz w:val="24"/>
          <w:szCs w:val="24"/>
        </w:rPr>
        <w:t>验收</w:t>
      </w:r>
      <w:r>
        <w:rPr>
          <w:rFonts w:eastAsia="宋体"/>
          <w:color w:val="000000"/>
          <w:sz w:val="24"/>
          <w:szCs w:val="24"/>
        </w:rPr>
        <w:t>审评期不会影响MDUFA对申请作出决定的绩效目标。</w:t>
      </w:r>
    </w:p>
    <w:p>
      <w:pPr>
        <w:snapToGrid w:val="0"/>
        <w:spacing w:after="240" w:afterLines="100"/>
        <w:ind w:firstLine="480" w:firstLineChars="200"/>
        <w:jc w:val="both"/>
        <w:rPr>
          <w:rFonts w:eastAsia="宋体"/>
          <w:color w:val="000000"/>
          <w:sz w:val="24"/>
          <w:szCs w:val="24"/>
        </w:rPr>
      </w:pPr>
      <w:r>
        <w:rPr>
          <w:rFonts w:eastAsia="宋体"/>
          <w:color w:val="000000"/>
          <w:sz w:val="24"/>
          <w:szCs w:val="24"/>
        </w:rPr>
        <w:t>如果</w:t>
      </w:r>
      <w:r>
        <w:rPr>
          <w:rFonts w:hint="eastAsia" w:eastAsia="宋体"/>
          <w:color w:val="000000"/>
          <w:sz w:val="24"/>
          <w:szCs w:val="24"/>
        </w:rPr>
        <w:t>验收审评</w:t>
      </w:r>
      <w:r>
        <w:rPr>
          <w:rFonts w:eastAsia="宋体"/>
          <w:color w:val="000000"/>
          <w:sz w:val="24"/>
          <w:szCs w:val="24"/>
        </w:rPr>
        <w:t>检查表中的组织和</w:t>
      </w:r>
      <w:r>
        <w:rPr>
          <w:rFonts w:hint="eastAsia" w:eastAsia="宋体"/>
          <w:color w:val="000000"/>
          <w:sz w:val="24"/>
          <w:szCs w:val="24"/>
        </w:rPr>
        <w:t>行政</w:t>
      </w:r>
      <w:r>
        <w:rPr>
          <w:rFonts w:eastAsia="宋体"/>
          <w:color w:val="000000"/>
          <w:sz w:val="24"/>
          <w:szCs w:val="24"/>
        </w:rPr>
        <w:t>要素清单上的一个或多个项目缺失，则实施</w:t>
      </w:r>
      <w:r>
        <w:rPr>
          <w:rFonts w:hint="eastAsia" w:eastAsia="宋体"/>
          <w:color w:val="000000"/>
          <w:sz w:val="24"/>
          <w:szCs w:val="24"/>
        </w:rPr>
        <w:t>验收</w:t>
      </w:r>
      <w:r>
        <w:rPr>
          <w:rFonts w:eastAsia="宋体"/>
          <w:color w:val="000000"/>
          <w:sz w:val="24"/>
          <w:szCs w:val="24"/>
        </w:rPr>
        <w:t>审评的首席审评员应请求相关部门同意将该申请指定为</w:t>
      </w:r>
      <w:r>
        <w:rPr>
          <w:rFonts w:ascii="宋体" w:hAnsi="宋体" w:eastAsia="宋体"/>
          <w:color w:val="000000"/>
          <w:sz w:val="24"/>
          <w:szCs w:val="24"/>
        </w:rPr>
        <w:t>“</w:t>
      </w:r>
      <w:r>
        <w:rPr>
          <w:rFonts w:eastAsia="宋体"/>
          <w:color w:val="000000"/>
          <w:sz w:val="24"/>
          <w:szCs w:val="24"/>
        </w:rPr>
        <w:t>RTA</w:t>
      </w:r>
      <w:r>
        <w:rPr>
          <w:rFonts w:ascii="宋体" w:hAnsi="宋体" w:eastAsia="宋体"/>
          <w:color w:val="000000"/>
          <w:sz w:val="24"/>
          <w:szCs w:val="24"/>
        </w:rPr>
        <w:t>”</w:t>
      </w:r>
      <w:r>
        <w:rPr>
          <w:rFonts w:eastAsia="宋体"/>
          <w:color w:val="000000"/>
          <w:sz w:val="24"/>
          <w:szCs w:val="24"/>
        </w:rPr>
        <w:t>，并以</w:t>
      </w:r>
      <w:r>
        <w:rPr>
          <w:rFonts w:hint="eastAsia" w:eastAsia="宋体"/>
          <w:color w:val="000000"/>
          <w:sz w:val="24"/>
          <w:szCs w:val="24"/>
        </w:rPr>
        <w:t>电子方式</w:t>
      </w:r>
      <w:r>
        <w:rPr>
          <w:rFonts w:eastAsia="宋体"/>
          <w:color w:val="000000"/>
          <w:sz w:val="24"/>
          <w:szCs w:val="24"/>
        </w:rPr>
        <w:t>通知指定的PMA联系人该申请未获</w:t>
      </w:r>
      <w:r>
        <w:rPr>
          <w:rFonts w:hint="eastAsia" w:eastAsia="宋体"/>
          <w:color w:val="000000"/>
          <w:sz w:val="24"/>
          <w:szCs w:val="24"/>
        </w:rPr>
        <w:t>验收</w:t>
      </w:r>
      <w:r>
        <w:rPr>
          <w:rFonts w:eastAsia="宋体"/>
          <w:color w:val="000000"/>
          <w:sz w:val="24"/>
          <w:szCs w:val="24"/>
        </w:rPr>
        <w:t>。FDA工作人员还应向申请人提供一份完整的</w:t>
      </w:r>
      <w:r>
        <w:rPr>
          <w:rFonts w:hint="eastAsia" w:eastAsia="宋体"/>
          <w:color w:val="000000"/>
          <w:sz w:val="24"/>
          <w:szCs w:val="24"/>
        </w:rPr>
        <w:t>验收</w:t>
      </w:r>
      <w:r>
        <w:rPr>
          <w:rFonts w:eastAsia="宋体"/>
          <w:color w:val="000000"/>
          <w:sz w:val="24"/>
          <w:szCs w:val="24"/>
        </w:rPr>
        <w:t>检查表副本，说明</w:t>
      </w:r>
      <w:r>
        <w:rPr>
          <w:rFonts w:hint="eastAsia" w:eastAsia="宋体"/>
          <w:color w:val="000000"/>
          <w:sz w:val="24"/>
          <w:szCs w:val="24"/>
        </w:rPr>
        <w:t>将其申请指定为</w:t>
      </w:r>
      <w:r>
        <w:rPr>
          <w:rFonts w:eastAsia="宋体"/>
          <w:color w:val="000000"/>
          <w:sz w:val="24"/>
          <w:szCs w:val="24"/>
        </w:rPr>
        <w:t>RTA</w:t>
      </w:r>
      <w:r>
        <w:rPr>
          <w:rFonts w:hint="eastAsia" w:eastAsia="宋体"/>
          <w:color w:val="000000"/>
          <w:sz w:val="24"/>
          <w:szCs w:val="24"/>
        </w:rPr>
        <w:t>所</w:t>
      </w:r>
      <w:r>
        <w:rPr>
          <w:rFonts w:eastAsia="宋体"/>
          <w:color w:val="000000"/>
          <w:sz w:val="24"/>
          <w:szCs w:val="24"/>
        </w:rPr>
        <w:t>依据的项目。</w:t>
      </w:r>
    </w:p>
    <w:p>
      <w:pPr>
        <w:snapToGrid w:val="0"/>
        <w:spacing w:after="240" w:afterLines="100"/>
        <w:ind w:firstLine="480" w:firstLineChars="200"/>
        <w:jc w:val="both"/>
        <w:rPr>
          <w:rFonts w:eastAsia="宋体"/>
          <w:sz w:val="24"/>
          <w:szCs w:val="24"/>
        </w:rPr>
      </w:pPr>
      <w:r>
        <w:rPr>
          <w:rFonts w:eastAsia="宋体"/>
          <w:color w:val="000000"/>
          <w:sz w:val="24"/>
          <w:szCs w:val="24"/>
        </w:rPr>
        <w:t>PMA申请人可通过提供检查表中确定的缺失信息来回复RTA通知。申请人应提交该信息，以包含在文件中（即作为修正案），并在原始指定PMA编号下提交。不需要新的申请和新的</w:t>
      </w:r>
      <w:r>
        <w:rPr>
          <w:rFonts w:hint="eastAsia" w:eastAsia="宋体"/>
          <w:color w:val="000000"/>
          <w:sz w:val="24"/>
          <w:szCs w:val="24"/>
        </w:rPr>
        <w:t>用户</w:t>
      </w:r>
      <w:r>
        <w:rPr>
          <w:rFonts w:eastAsia="宋体"/>
          <w:color w:val="000000"/>
          <w:sz w:val="24"/>
          <w:szCs w:val="24"/>
        </w:rPr>
        <w:t>费用。除非FDA另有决定（例如，由于大部分申请不是英文的，或者申请页无编号），申请人</w:t>
      </w:r>
      <w:r>
        <w:rPr>
          <w:rFonts w:hint="eastAsia" w:eastAsia="宋体"/>
          <w:color w:val="000000"/>
          <w:sz w:val="24"/>
          <w:szCs w:val="24"/>
        </w:rPr>
        <w:t>不得</w:t>
      </w:r>
      <w:r>
        <w:rPr>
          <w:rFonts w:eastAsia="宋体"/>
          <w:color w:val="000000"/>
          <w:sz w:val="24"/>
          <w:szCs w:val="24"/>
        </w:rPr>
        <w:t>重新发送整个PMA申请。仅需提交和处理验收</w:t>
      </w:r>
      <w:r>
        <w:rPr>
          <w:rFonts w:hint="eastAsia" w:eastAsia="宋体"/>
          <w:color w:val="000000"/>
          <w:sz w:val="24"/>
          <w:szCs w:val="24"/>
        </w:rPr>
        <w:t>检查表</w:t>
      </w:r>
      <w:r>
        <w:rPr>
          <w:rFonts w:eastAsia="宋体"/>
          <w:color w:val="000000"/>
          <w:sz w:val="24"/>
          <w:szCs w:val="24"/>
        </w:rPr>
        <w:t>要求的信息。</w:t>
      </w:r>
    </w:p>
    <w:p>
      <w:pPr>
        <w:tabs>
          <w:tab w:val="left" w:pos="178"/>
        </w:tabs>
        <w:snapToGrid w:val="0"/>
        <w:spacing w:after="240" w:afterLines="100"/>
        <w:ind w:firstLine="480" w:firstLineChars="200"/>
        <w:jc w:val="both"/>
        <w:rPr>
          <w:rFonts w:eastAsia="宋体"/>
          <w:sz w:val="24"/>
          <w:szCs w:val="24"/>
        </w:rPr>
      </w:pPr>
    </w:p>
    <w:p>
      <w:pPr>
        <w:tabs>
          <w:tab w:val="left" w:pos="178"/>
        </w:tabs>
        <w:snapToGrid w:val="0"/>
        <w:spacing w:after="240" w:afterLines="100"/>
        <w:ind w:firstLine="480" w:firstLineChars="200"/>
        <w:jc w:val="both"/>
        <w:rPr>
          <w:rFonts w:eastAsia="宋体"/>
          <w:sz w:val="24"/>
          <w:szCs w:val="24"/>
        </w:rPr>
        <w:sectPr>
          <w:pgSz w:w="11906" w:h="16838"/>
          <w:pgMar w:top="1134" w:right="1134" w:bottom="1134" w:left="1418" w:header="567" w:footer="567" w:gutter="0"/>
          <w:cols w:space="60" w:num="1"/>
          <w:docGrid w:linePitch="272" w:charSpace="0"/>
        </w:sectPr>
      </w:pPr>
    </w:p>
    <w:p>
      <w:pPr>
        <w:snapToGrid w:val="0"/>
        <w:spacing w:after="240" w:afterLines="100"/>
        <w:ind w:firstLine="480" w:firstLineChars="200"/>
        <w:jc w:val="both"/>
        <w:rPr>
          <w:rFonts w:eastAsia="宋体"/>
          <w:color w:val="000000"/>
          <w:sz w:val="24"/>
          <w:szCs w:val="24"/>
        </w:rPr>
      </w:pPr>
      <w:r>
        <w:rPr>
          <w:rFonts w:eastAsia="宋体"/>
          <w:color w:val="000000"/>
          <w:sz w:val="24"/>
          <w:szCs w:val="24"/>
        </w:rPr>
        <w:t>在收到新提交的信息后，FDA工作人员应在收到后的15个日历日内按照相同的程序再次进行</w:t>
      </w:r>
      <w:r>
        <w:rPr>
          <w:rFonts w:hint="eastAsia" w:eastAsia="宋体"/>
          <w:color w:val="000000"/>
          <w:sz w:val="24"/>
          <w:szCs w:val="24"/>
        </w:rPr>
        <w:t>验收</w:t>
      </w:r>
      <w:r>
        <w:rPr>
          <w:rFonts w:eastAsia="宋体"/>
          <w:color w:val="000000"/>
          <w:sz w:val="24"/>
          <w:szCs w:val="24"/>
        </w:rPr>
        <w:t>筛选。如果发现申请仍不完整，FDA工作人员应通知联系人，并提供新的检查表，指明缺失项目。该周期将持续至PMA行政完成。</w:t>
      </w:r>
    </w:p>
    <w:p>
      <w:pPr>
        <w:snapToGrid w:val="0"/>
        <w:spacing w:after="240" w:afterLines="100"/>
        <w:jc w:val="both"/>
        <w:rPr>
          <w:rFonts w:eastAsia="宋体"/>
          <w:i/>
          <w:iCs/>
          <w:color w:val="000000"/>
          <w:sz w:val="24"/>
          <w:szCs w:val="24"/>
        </w:rPr>
      </w:pPr>
      <w:r>
        <w:rPr>
          <w:rFonts w:eastAsia="宋体"/>
          <w:i/>
          <w:color w:val="000000"/>
          <w:sz w:val="24"/>
          <w:szCs w:val="24"/>
        </w:rPr>
        <w:t>备案审评政策</w:t>
      </w:r>
    </w:p>
    <w:p>
      <w:pPr>
        <w:snapToGrid w:val="0"/>
        <w:spacing w:after="240" w:afterLines="100"/>
        <w:ind w:firstLine="480" w:firstLineChars="200"/>
        <w:jc w:val="both"/>
        <w:rPr>
          <w:rFonts w:eastAsia="宋体"/>
          <w:color w:val="000000"/>
          <w:sz w:val="24"/>
          <w:szCs w:val="24"/>
        </w:rPr>
      </w:pPr>
      <w:r>
        <w:rPr>
          <w:rFonts w:eastAsia="宋体"/>
          <w:color w:val="000000"/>
          <w:sz w:val="24"/>
          <w:szCs w:val="24"/>
        </w:rPr>
        <w:t>一旦</w:t>
      </w:r>
      <w:r>
        <w:rPr>
          <w:rFonts w:hint="eastAsia" w:eastAsia="宋体"/>
          <w:color w:val="000000"/>
          <w:sz w:val="24"/>
          <w:szCs w:val="24"/>
        </w:rPr>
        <w:t>确定</w:t>
      </w:r>
      <w:r>
        <w:rPr>
          <w:rFonts w:eastAsia="宋体"/>
          <w:color w:val="000000"/>
          <w:sz w:val="24"/>
          <w:szCs w:val="24"/>
        </w:rPr>
        <w:t>申请行政上是完整的，FDA工作人员应通知申请人PMA已经</w:t>
      </w:r>
      <w:r>
        <w:rPr>
          <w:rFonts w:hint="eastAsia" w:eastAsia="宋体"/>
          <w:color w:val="000000"/>
          <w:sz w:val="24"/>
          <w:szCs w:val="24"/>
        </w:rPr>
        <w:t>验收</w:t>
      </w:r>
      <w:r>
        <w:rPr>
          <w:rFonts w:eastAsia="宋体"/>
          <w:color w:val="000000"/>
          <w:sz w:val="24"/>
          <w:szCs w:val="24"/>
        </w:rPr>
        <w:t>，并根据备案审评</w:t>
      </w:r>
      <w:r>
        <w:rPr>
          <w:rFonts w:hint="eastAsia" w:eastAsia="宋体"/>
          <w:color w:val="000000"/>
          <w:sz w:val="24"/>
          <w:szCs w:val="24"/>
        </w:rPr>
        <w:t>检查表</w:t>
      </w:r>
      <w:r>
        <w:rPr>
          <w:rFonts w:eastAsia="宋体"/>
          <w:color w:val="000000"/>
          <w:sz w:val="24"/>
          <w:szCs w:val="24"/>
        </w:rPr>
        <w:t>开始备案审评。备案审评的目的是确定PMA技术要素的基本充分性。为了申请能够备案，申请应足够完整，以便进行实质性审评。备案审评完成后，工作人员将在收到PMA后的45个日历日内以</w:t>
      </w:r>
      <w:r>
        <w:rPr>
          <w:rFonts w:hint="eastAsia" w:eastAsia="宋体"/>
          <w:color w:val="000000"/>
          <w:sz w:val="24"/>
          <w:szCs w:val="24"/>
        </w:rPr>
        <w:t>电子方式</w:t>
      </w:r>
      <w:r>
        <w:rPr>
          <w:rFonts w:eastAsia="宋体"/>
          <w:color w:val="000000"/>
          <w:sz w:val="24"/>
          <w:szCs w:val="24"/>
        </w:rPr>
        <w:t>通知申请人是</w:t>
      </w:r>
      <w:r>
        <w:rPr>
          <w:rFonts w:ascii="宋体" w:hAnsi="宋体" w:eastAsia="宋体"/>
          <w:color w:val="000000"/>
          <w:sz w:val="24"/>
          <w:szCs w:val="24"/>
        </w:rPr>
        <w:t>“</w:t>
      </w:r>
      <w:r>
        <w:rPr>
          <w:rFonts w:hint="eastAsia" w:eastAsia="宋体"/>
          <w:color w:val="000000"/>
          <w:sz w:val="24"/>
          <w:szCs w:val="24"/>
        </w:rPr>
        <w:t>归档</w:t>
      </w:r>
      <w:r>
        <w:rPr>
          <w:rFonts w:ascii="宋体" w:hAnsi="宋体" w:eastAsia="宋体"/>
          <w:color w:val="000000"/>
          <w:sz w:val="24"/>
          <w:szCs w:val="24"/>
        </w:rPr>
        <w:t>”</w:t>
      </w:r>
      <w:r>
        <w:rPr>
          <w:rFonts w:eastAsia="宋体"/>
          <w:color w:val="000000"/>
          <w:sz w:val="24"/>
          <w:szCs w:val="24"/>
        </w:rPr>
        <w:t>还是</w:t>
      </w:r>
      <w:r>
        <w:rPr>
          <w:rFonts w:ascii="宋体" w:hAnsi="宋体" w:eastAsia="宋体"/>
          <w:color w:val="000000"/>
          <w:sz w:val="24"/>
          <w:szCs w:val="24"/>
        </w:rPr>
        <w:t>“</w:t>
      </w:r>
      <w:r>
        <w:rPr>
          <w:rFonts w:eastAsia="宋体"/>
          <w:color w:val="000000"/>
          <w:sz w:val="24"/>
          <w:szCs w:val="24"/>
        </w:rPr>
        <w:t>未</w:t>
      </w:r>
      <w:r>
        <w:rPr>
          <w:rFonts w:hint="eastAsia" w:eastAsia="宋体"/>
          <w:color w:val="000000"/>
          <w:sz w:val="24"/>
          <w:szCs w:val="24"/>
        </w:rPr>
        <w:t>归档</w:t>
      </w:r>
      <w:r>
        <w:rPr>
          <w:rFonts w:ascii="宋体" w:hAnsi="宋体" w:eastAsia="宋体"/>
          <w:color w:val="000000"/>
          <w:sz w:val="24"/>
          <w:szCs w:val="24"/>
        </w:rPr>
        <w:t>”</w:t>
      </w:r>
      <w:r>
        <w:rPr>
          <w:rFonts w:eastAsia="宋体"/>
          <w:color w:val="000000"/>
          <w:sz w:val="24"/>
          <w:szCs w:val="24"/>
        </w:rPr>
        <w:t>。参见21 CFR 814.42（a）。如果PMA已</w:t>
      </w:r>
      <w:r>
        <w:rPr>
          <w:rFonts w:ascii="宋体" w:hAnsi="宋体" w:eastAsia="宋体"/>
          <w:color w:val="000000"/>
          <w:sz w:val="24"/>
          <w:szCs w:val="24"/>
        </w:rPr>
        <w:t>“</w:t>
      </w:r>
      <w:r>
        <w:rPr>
          <w:rFonts w:hint="eastAsia" w:eastAsia="宋体"/>
          <w:color w:val="000000"/>
          <w:sz w:val="24"/>
          <w:szCs w:val="24"/>
        </w:rPr>
        <w:t>归</w:t>
      </w:r>
      <w:r>
        <w:rPr>
          <w:rFonts w:eastAsia="宋体"/>
          <w:color w:val="000000"/>
          <w:sz w:val="24"/>
          <w:szCs w:val="24"/>
        </w:rPr>
        <w:t>档</w:t>
      </w:r>
      <w:r>
        <w:rPr>
          <w:rFonts w:ascii="宋体" w:hAnsi="宋体" w:eastAsia="宋体"/>
          <w:color w:val="000000"/>
          <w:sz w:val="24"/>
          <w:szCs w:val="24"/>
        </w:rPr>
        <w:t>”</w:t>
      </w:r>
      <w:r>
        <w:rPr>
          <w:rFonts w:eastAsia="宋体"/>
          <w:color w:val="000000"/>
          <w:sz w:val="24"/>
          <w:szCs w:val="24"/>
        </w:rPr>
        <w:t>，</w:t>
      </w:r>
      <w:r>
        <w:rPr>
          <w:rFonts w:hint="eastAsia" w:eastAsia="宋体"/>
          <w:color w:val="000000"/>
          <w:sz w:val="24"/>
          <w:szCs w:val="24"/>
        </w:rPr>
        <w:t>F</w:t>
      </w:r>
      <w:r>
        <w:rPr>
          <w:rFonts w:eastAsia="宋体"/>
          <w:color w:val="000000"/>
          <w:sz w:val="24"/>
          <w:szCs w:val="24"/>
        </w:rPr>
        <w:t>DA将确定PMA的接收日期或PMA的修</w:t>
      </w:r>
      <w:r>
        <w:rPr>
          <w:rFonts w:hint="eastAsia" w:eastAsia="宋体"/>
          <w:color w:val="000000"/>
          <w:sz w:val="24"/>
          <w:szCs w:val="24"/>
        </w:rPr>
        <w:t>正</w:t>
      </w:r>
      <w:r>
        <w:rPr>
          <w:rFonts w:eastAsia="宋体"/>
          <w:color w:val="000000"/>
          <w:sz w:val="24"/>
          <w:szCs w:val="24"/>
        </w:rPr>
        <w:t>日期，使FDA能够对PMA进行</w:t>
      </w:r>
      <w:r>
        <w:rPr>
          <w:rFonts w:hint="eastAsia" w:eastAsia="宋体"/>
          <w:color w:val="000000"/>
          <w:sz w:val="24"/>
          <w:szCs w:val="24"/>
        </w:rPr>
        <w:t>备案</w:t>
      </w:r>
      <w:r>
        <w:rPr>
          <w:rFonts w:eastAsia="宋体"/>
          <w:color w:val="000000"/>
          <w:sz w:val="24"/>
          <w:szCs w:val="24"/>
        </w:rPr>
        <w:t>。</w:t>
      </w:r>
    </w:p>
    <w:p>
      <w:pPr>
        <w:snapToGrid w:val="0"/>
        <w:spacing w:after="240" w:afterLines="100"/>
        <w:ind w:firstLine="480" w:firstLineChars="200"/>
        <w:jc w:val="both"/>
        <w:rPr>
          <w:rFonts w:eastAsia="宋体"/>
          <w:color w:val="000000"/>
          <w:sz w:val="24"/>
          <w:szCs w:val="24"/>
        </w:rPr>
      </w:pPr>
      <w:r>
        <w:rPr>
          <w:rFonts w:eastAsia="宋体"/>
          <w:color w:val="000000"/>
          <w:sz w:val="24"/>
          <w:szCs w:val="24"/>
        </w:rPr>
        <w:t>PMA申请人可通过提供信函中确定的缺失信息对</w:t>
      </w:r>
      <w:r>
        <w:rPr>
          <w:rFonts w:ascii="宋体" w:hAnsi="宋体" w:eastAsia="宋体"/>
          <w:color w:val="000000"/>
          <w:sz w:val="24"/>
          <w:szCs w:val="24"/>
        </w:rPr>
        <w:t>“</w:t>
      </w:r>
      <w:r>
        <w:rPr>
          <w:rFonts w:eastAsia="宋体"/>
          <w:color w:val="000000"/>
          <w:sz w:val="24"/>
          <w:szCs w:val="24"/>
        </w:rPr>
        <w:t>未归档</w:t>
      </w:r>
      <w:r>
        <w:rPr>
          <w:rFonts w:ascii="宋体" w:hAnsi="宋体" w:eastAsia="宋体"/>
          <w:color w:val="000000"/>
          <w:sz w:val="24"/>
          <w:szCs w:val="24"/>
        </w:rPr>
        <w:t>”</w:t>
      </w:r>
      <w:r>
        <w:rPr>
          <w:rFonts w:eastAsia="宋体"/>
          <w:color w:val="000000"/>
          <w:sz w:val="24"/>
          <w:szCs w:val="24"/>
        </w:rPr>
        <w:t>通知做出回复。申请人应提交该信息，以包含在文件中（即作为修正案），并在原始指定PMA编号下提交。收到新提交的信息后，FDA工作人员应在收到后的45个日历日内按照相同的程序再次进行备案审评。</w:t>
      </w:r>
    </w:p>
    <w:p>
      <w:pPr>
        <w:snapToGrid w:val="0"/>
        <w:spacing w:after="240" w:afterLines="100"/>
        <w:ind w:firstLine="480" w:firstLineChars="200"/>
        <w:jc w:val="both"/>
        <w:rPr>
          <w:rFonts w:eastAsia="宋体"/>
          <w:color w:val="000000"/>
          <w:sz w:val="24"/>
          <w:szCs w:val="24"/>
        </w:rPr>
      </w:pPr>
      <w:r>
        <w:rPr>
          <w:rFonts w:eastAsia="宋体"/>
          <w:color w:val="000000"/>
          <w:sz w:val="24"/>
          <w:szCs w:val="24"/>
        </w:rPr>
        <w:t>在备案审评过程中，审评人员可能会询问在</w:t>
      </w:r>
      <w:r>
        <w:rPr>
          <w:rFonts w:hint="eastAsia" w:eastAsia="宋体"/>
          <w:color w:val="000000"/>
          <w:sz w:val="24"/>
          <w:szCs w:val="24"/>
        </w:rPr>
        <w:t>验收</w:t>
      </w:r>
      <w:r>
        <w:rPr>
          <w:rFonts w:eastAsia="宋体"/>
          <w:color w:val="000000"/>
          <w:sz w:val="24"/>
          <w:szCs w:val="24"/>
        </w:rPr>
        <w:t>审评过程中</w:t>
      </w:r>
      <w:r>
        <w:rPr>
          <w:rFonts w:hint="eastAsia" w:eastAsia="宋体"/>
          <w:color w:val="000000"/>
          <w:sz w:val="24"/>
          <w:szCs w:val="24"/>
        </w:rPr>
        <w:t>导致</w:t>
      </w:r>
      <w:r>
        <w:rPr>
          <w:rFonts w:eastAsia="宋体"/>
          <w:color w:val="000000"/>
          <w:sz w:val="24"/>
          <w:szCs w:val="24"/>
        </w:rPr>
        <w:t>RTA认定的任何信息。同样，一旦申请备案，FDA可能会在实质性审评过程中要求提供在</w:t>
      </w:r>
      <w:r>
        <w:rPr>
          <w:rFonts w:hint="eastAsia" w:eastAsia="宋体"/>
          <w:color w:val="000000"/>
          <w:sz w:val="24"/>
          <w:szCs w:val="24"/>
        </w:rPr>
        <w:t>验收</w:t>
      </w:r>
      <w:r>
        <w:rPr>
          <w:rFonts w:eastAsia="宋体"/>
          <w:color w:val="000000"/>
          <w:sz w:val="24"/>
          <w:szCs w:val="24"/>
        </w:rPr>
        <w:t>或备案审评过程中可能被无意忽略的任何信息。</w:t>
      </w:r>
    </w:p>
    <w:p>
      <w:pPr>
        <w:snapToGrid w:val="0"/>
        <w:spacing w:after="240" w:afterLines="100"/>
        <w:jc w:val="both"/>
        <w:rPr>
          <w:rFonts w:eastAsia="宋体"/>
          <w:i/>
          <w:iCs/>
          <w:color w:val="000000"/>
          <w:sz w:val="24"/>
          <w:szCs w:val="24"/>
        </w:rPr>
      </w:pPr>
      <w:r>
        <w:rPr>
          <w:rFonts w:eastAsia="宋体"/>
          <w:i/>
          <w:color w:val="000000"/>
          <w:sz w:val="24"/>
          <w:szCs w:val="24"/>
        </w:rPr>
        <w:t>FDA审评计时</w:t>
      </w:r>
    </w:p>
    <w:p>
      <w:pPr>
        <w:snapToGrid w:val="0"/>
        <w:spacing w:after="240" w:afterLines="100"/>
        <w:ind w:firstLine="480" w:firstLineChars="200"/>
        <w:jc w:val="both"/>
        <w:rPr>
          <w:rFonts w:eastAsia="宋体"/>
          <w:sz w:val="24"/>
          <w:szCs w:val="24"/>
        </w:rPr>
      </w:pPr>
      <w:r>
        <w:rPr>
          <w:rFonts w:eastAsia="宋体"/>
          <w:color w:val="000000"/>
          <w:sz w:val="24"/>
          <w:szCs w:val="24"/>
        </w:rPr>
        <w:t>正如FDASIA公法112-114标题II提及的MDUFA IV承诺函第VIII.D.条所述，</w:t>
      </w:r>
      <w:r>
        <w:rPr>
          <w:rFonts w:ascii="宋体" w:hAnsi="宋体" w:eastAsia="宋体"/>
          <w:color w:val="000000"/>
          <w:sz w:val="24"/>
          <w:szCs w:val="24"/>
        </w:rPr>
        <w:t>“</w:t>
      </w:r>
      <w:r>
        <w:rPr>
          <w:rFonts w:eastAsia="宋体"/>
          <w:color w:val="000000"/>
          <w:sz w:val="24"/>
          <w:szCs w:val="24"/>
        </w:rPr>
        <w:t>FDA的期限从收到申请之日或申请修正之日开始，以便</w:t>
      </w:r>
      <w:r>
        <w:rPr>
          <w:rFonts w:hint="eastAsia" w:eastAsia="宋体"/>
          <w:color w:val="000000"/>
          <w:sz w:val="24"/>
          <w:szCs w:val="24"/>
        </w:rPr>
        <w:t>验收</w:t>
      </w:r>
      <w:r>
        <w:rPr>
          <w:rFonts w:eastAsia="宋体"/>
          <w:color w:val="000000"/>
          <w:sz w:val="24"/>
          <w:szCs w:val="24"/>
        </w:rPr>
        <w:t>申请（510（k））或备案申请（PMA）。</w:t>
      </w:r>
      <w:r>
        <w:rPr>
          <w:rFonts w:ascii="宋体" w:hAnsi="宋体" w:eastAsia="宋体"/>
          <w:color w:val="000000"/>
          <w:sz w:val="24"/>
          <w:szCs w:val="24"/>
        </w:rPr>
        <w:t>”</w:t>
      </w:r>
      <w:r>
        <w:rPr>
          <w:rStyle w:val="13"/>
          <w:rFonts w:eastAsia="宋体"/>
          <w:color w:val="000000"/>
          <w:sz w:val="24"/>
          <w:szCs w:val="24"/>
        </w:rPr>
        <w:footnoteReference w:id="12"/>
      </w:r>
      <w:r>
        <w:rPr>
          <w:rFonts w:eastAsia="宋体"/>
          <w:color w:val="000000"/>
          <w:sz w:val="24"/>
          <w:szCs w:val="24"/>
        </w:rPr>
        <w:t xml:space="preserve"> 由于PMA验收标准是21 CFR 814.42规定的PMA备案标准的子集，因此</w:t>
      </w:r>
      <w:r>
        <w:rPr>
          <w:rFonts w:ascii="宋体" w:hAnsi="宋体" w:eastAsia="宋体"/>
          <w:color w:val="000000"/>
          <w:sz w:val="24"/>
          <w:szCs w:val="24"/>
        </w:rPr>
        <w:t>“</w:t>
      </w:r>
      <w:r>
        <w:rPr>
          <w:rFonts w:hint="eastAsia" w:eastAsia="宋体"/>
          <w:color w:val="000000"/>
          <w:sz w:val="24"/>
          <w:szCs w:val="24"/>
        </w:rPr>
        <w:t>未验收</w:t>
      </w:r>
      <w:r>
        <w:rPr>
          <w:rFonts w:ascii="宋体" w:hAnsi="宋体" w:eastAsia="宋体"/>
          <w:color w:val="000000"/>
          <w:sz w:val="24"/>
          <w:szCs w:val="24"/>
        </w:rPr>
        <w:t>”</w:t>
      </w:r>
      <w:r>
        <w:rPr>
          <w:rFonts w:eastAsia="宋体"/>
          <w:color w:val="000000"/>
          <w:sz w:val="24"/>
          <w:szCs w:val="24"/>
        </w:rPr>
        <w:t>申请不能够</w:t>
      </w:r>
      <w:r>
        <w:rPr>
          <w:rFonts w:hint="eastAsia" w:eastAsia="宋体"/>
          <w:color w:val="000000"/>
          <w:sz w:val="24"/>
          <w:szCs w:val="24"/>
        </w:rPr>
        <w:t>被</w:t>
      </w:r>
      <w:r>
        <w:rPr>
          <w:rFonts w:eastAsia="宋体"/>
          <w:color w:val="000000"/>
          <w:sz w:val="24"/>
          <w:szCs w:val="24"/>
        </w:rPr>
        <w:t>备案。因此，当申请</w:t>
      </w:r>
      <w:r>
        <w:rPr>
          <w:rFonts w:hint="eastAsia" w:eastAsia="宋体"/>
          <w:color w:val="000000"/>
          <w:sz w:val="24"/>
          <w:szCs w:val="24"/>
        </w:rPr>
        <w:t>被置于</w:t>
      </w:r>
      <w:r>
        <w:rPr>
          <w:rFonts w:eastAsia="宋体"/>
          <w:color w:val="000000"/>
          <w:sz w:val="24"/>
          <w:szCs w:val="24"/>
        </w:rPr>
        <w:t>eCopy或用户付费搁置状态或被指定为</w:t>
      </w:r>
      <w:r>
        <w:rPr>
          <w:rFonts w:ascii="宋体" w:hAnsi="宋体" w:eastAsia="宋体"/>
          <w:color w:val="000000"/>
          <w:sz w:val="24"/>
          <w:szCs w:val="24"/>
        </w:rPr>
        <w:t>“</w:t>
      </w:r>
      <w:r>
        <w:rPr>
          <w:rFonts w:hint="eastAsia" w:eastAsia="宋体"/>
          <w:color w:val="000000"/>
          <w:sz w:val="24"/>
          <w:szCs w:val="24"/>
        </w:rPr>
        <w:t>未验收</w:t>
      </w:r>
      <w:r>
        <w:rPr>
          <w:rFonts w:ascii="宋体" w:hAnsi="宋体" w:eastAsia="宋体"/>
          <w:color w:val="000000"/>
          <w:sz w:val="24"/>
          <w:szCs w:val="24"/>
        </w:rPr>
        <w:t>”</w:t>
      </w:r>
      <w:r>
        <w:rPr>
          <w:rFonts w:eastAsia="宋体"/>
          <w:color w:val="000000"/>
          <w:sz w:val="24"/>
          <w:szCs w:val="24"/>
        </w:rPr>
        <w:t>或</w:t>
      </w:r>
      <w:r>
        <w:rPr>
          <w:rFonts w:ascii="宋体" w:hAnsi="宋体" w:eastAsia="宋体"/>
          <w:color w:val="000000"/>
          <w:sz w:val="24"/>
          <w:szCs w:val="24"/>
        </w:rPr>
        <w:t>“</w:t>
      </w:r>
      <w:r>
        <w:rPr>
          <w:rFonts w:eastAsia="宋体"/>
          <w:color w:val="000000"/>
          <w:sz w:val="24"/>
          <w:szCs w:val="24"/>
        </w:rPr>
        <w:t>未</w:t>
      </w:r>
      <w:r>
        <w:rPr>
          <w:rFonts w:hint="eastAsia" w:eastAsia="宋体"/>
          <w:color w:val="000000"/>
          <w:sz w:val="24"/>
          <w:szCs w:val="24"/>
        </w:rPr>
        <w:t>备案</w:t>
      </w:r>
      <w:r>
        <w:rPr>
          <w:rFonts w:ascii="宋体" w:hAnsi="宋体" w:eastAsia="宋体"/>
          <w:color w:val="000000"/>
          <w:sz w:val="24"/>
          <w:szCs w:val="24"/>
        </w:rPr>
        <w:t>”</w:t>
      </w:r>
      <w:r>
        <w:rPr>
          <w:rFonts w:eastAsia="宋体"/>
          <w:color w:val="000000"/>
          <w:sz w:val="24"/>
          <w:szCs w:val="24"/>
        </w:rPr>
        <w:t>时，FDA审评计时不会启动。一旦FDA同时</w:t>
      </w:r>
      <w:r>
        <w:rPr>
          <w:rFonts w:ascii="宋体" w:hAnsi="宋体" w:eastAsia="宋体"/>
          <w:color w:val="000000"/>
          <w:sz w:val="24"/>
          <w:szCs w:val="24"/>
        </w:rPr>
        <w:t>“</w:t>
      </w:r>
      <w:r>
        <w:rPr>
          <w:rFonts w:eastAsia="宋体"/>
          <w:color w:val="000000"/>
          <w:sz w:val="24"/>
          <w:szCs w:val="24"/>
        </w:rPr>
        <w:t>已</w:t>
      </w:r>
      <w:r>
        <w:rPr>
          <w:rFonts w:hint="eastAsia" w:eastAsia="宋体"/>
          <w:color w:val="000000"/>
          <w:sz w:val="24"/>
          <w:szCs w:val="24"/>
        </w:rPr>
        <w:t>验收</w:t>
      </w:r>
      <w:r>
        <w:rPr>
          <w:rFonts w:ascii="宋体" w:hAnsi="宋体" w:eastAsia="宋体"/>
          <w:color w:val="000000"/>
          <w:sz w:val="24"/>
          <w:szCs w:val="24"/>
        </w:rPr>
        <w:t>”</w:t>
      </w:r>
      <w:r>
        <w:rPr>
          <w:rFonts w:eastAsia="宋体"/>
          <w:color w:val="000000"/>
          <w:sz w:val="24"/>
          <w:szCs w:val="24"/>
        </w:rPr>
        <w:t>和</w:t>
      </w:r>
      <w:r>
        <w:rPr>
          <w:rFonts w:ascii="宋体" w:hAnsi="宋体" w:eastAsia="宋体"/>
          <w:color w:val="000000"/>
          <w:sz w:val="24"/>
          <w:szCs w:val="24"/>
        </w:rPr>
        <w:t>“</w:t>
      </w:r>
      <w:r>
        <w:rPr>
          <w:rFonts w:eastAsia="宋体"/>
          <w:color w:val="000000"/>
          <w:sz w:val="24"/>
          <w:szCs w:val="24"/>
        </w:rPr>
        <w:t>已备案</w:t>
      </w:r>
      <w:r>
        <w:rPr>
          <w:rFonts w:ascii="宋体" w:hAnsi="宋体" w:eastAsia="宋体"/>
          <w:color w:val="000000"/>
          <w:sz w:val="24"/>
          <w:szCs w:val="24"/>
        </w:rPr>
        <w:t>”</w:t>
      </w:r>
      <w:r>
        <w:rPr>
          <w:rFonts w:eastAsia="宋体"/>
          <w:color w:val="000000"/>
          <w:sz w:val="24"/>
          <w:szCs w:val="24"/>
        </w:rPr>
        <w:t>申请，FDA审评计时将</w:t>
      </w:r>
      <w:r>
        <w:rPr>
          <w:rFonts w:hint="eastAsia" w:eastAsia="宋体"/>
          <w:color w:val="000000"/>
          <w:sz w:val="24"/>
          <w:szCs w:val="24"/>
        </w:rPr>
        <w:t>开始于</w:t>
      </w:r>
      <w:r>
        <w:rPr>
          <w:rFonts w:eastAsia="宋体"/>
          <w:color w:val="000000"/>
          <w:sz w:val="24"/>
          <w:szCs w:val="24"/>
        </w:rPr>
        <w:t>收到使</w:t>
      </w:r>
      <w:r>
        <w:rPr>
          <w:rFonts w:hint="eastAsia" w:eastAsia="宋体"/>
          <w:color w:val="000000"/>
          <w:sz w:val="24"/>
          <w:szCs w:val="24"/>
        </w:rPr>
        <w:t>PMA完整且FDA作出其</w:t>
      </w:r>
      <w:r>
        <w:rPr>
          <w:rFonts w:hint="eastAsia" w:ascii="宋体" w:hAnsi="宋体" w:eastAsia="宋体"/>
          <w:color w:val="000000"/>
          <w:sz w:val="24"/>
          <w:szCs w:val="24"/>
        </w:rPr>
        <w:t>“</w:t>
      </w:r>
      <w:r>
        <w:rPr>
          <w:rFonts w:hint="eastAsia" w:eastAsia="宋体"/>
          <w:color w:val="000000"/>
          <w:sz w:val="24"/>
          <w:szCs w:val="24"/>
        </w:rPr>
        <w:t>已验收</w:t>
      </w:r>
      <w:r>
        <w:rPr>
          <w:rFonts w:hint="eastAsia" w:ascii="宋体" w:hAnsi="宋体" w:eastAsia="宋体"/>
          <w:color w:val="000000"/>
          <w:sz w:val="24"/>
          <w:szCs w:val="24"/>
        </w:rPr>
        <w:t>”</w:t>
      </w:r>
      <w:r>
        <w:rPr>
          <w:rFonts w:hint="eastAsia" w:eastAsia="宋体"/>
          <w:color w:val="000000"/>
          <w:sz w:val="24"/>
          <w:szCs w:val="24"/>
        </w:rPr>
        <w:t>和</w:t>
      </w:r>
      <w:r>
        <w:rPr>
          <w:rFonts w:hint="eastAsia" w:ascii="宋体" w:hAnsi="宋体" w:eastAsia="宋体"/>
          <w:color w:val="000000"/>
          <w:sz w:val="24"/>
          <w:szCs w:val="24"/>
        </w:rPr>
        <w:t>“</w:t>
      </w:r>
      <w:r>
        <w:rPr>
          <w:rFonts w:hint="eastAsia" w:eastAsia="宋体"/>
          <w:color w:val="000000"/>
          <w:sz w:val="24"/>
          <w:szCs w:val="24"/>
        </w:rPr>
        <w:t>已备案</w:t>
      </w:r>
      <w:r>
        <w:rPr>
          <w:rFonts w:hint="eastAsia" w:ascii="宋体" w:hAnsi="宋体" w:eastAsia="宋体"/>
          <w:color w:val="000000"/>
          <w:sz w:val="24"/>
          <w:szCs w:val="24"/>
        </w:rPr>
        <w:t>”</w:t>
      </w:r>
      <w:r>
        <w:rPr>
          <w:rFonts w:hint="eastAsia" w:eastAsia="宋体"/>
          <w:color w:val="000000"/>
          <w:sz w:val="24"/>
          <w:szCs w:val="24"/>
        </w:rPr>
        <w:t>决定所依据的最新申请或修正的日期</w:t>
      </w:r>
      <w:r>
        <w:rPr>
          <w:rFonts w:eastAsia="宋体"/>
          <w:color w:val="000000"/>
          <w:sz w:val="24"/>
          <w:szCs w:val="24"/>
        </w:rPr>
        <w:t>。即使FDA之后在</w:t>
      </w:r>
      <w:r>
        <w:rPr>
          <w:rFonts w:hint="eastAsia" w:eastAsia="宋体"/>
          <w:color w:val="000000"/>
          <w:sz w:val="24"/>
          <w:szCs w:val="24"/>
        </w:rPr>
        <w:t>验收</w:t>
      </w:r>
      <w:r>
        <w:rPr>
          <w:rFonts w:eastAsia="宋体"/>
          <w:color w:val="000000"/>
          <w:sz w:val="24"/>
          <w:szCs w:val="24"/>
        </w:rPr>
        <w:t>或备案审评期间要求提供信息，该日期也不会改变。</w:t>
      </w:r>
    </w:p>
    <w:p>
      <w:pPr>
        <w:snapToGrid w:val="0"/>
        <w:spacing w:after="240" w:afterLines="100"/>
        <w:ind w:firstLine="480" w:firstLineChars="200"/>
        <w:jc w:val="both"/>
        <w:rPr>
          <w:rFonts w:eastAsia="宋体"/>
          <w:sz w:val="24"/>
          <w:szCs w:val="24"/>
        </w:rPr>
      </w:pPr>
    </w:p>
    <w:p>
      <w:pPr>
        <w:snapToGrid w:val="0"/>
        <w:spacing w:after="240" w:afterLines="100"/>
        <w:jc w:val="both"/>
        <w:rPr>
          <w:rFonts w:eastAsia="宋体"/>
          <w:sz w:val="21"/>
          <w:szCs w:val="21"/>
        </w:rPr>
        <w:sectPr>
          <w:pgSz w:w="11906" w:h="16838"/>
          <w:pgMar w:top="1134" w:right="1134" w:bottom="1134" w:left="1418" w:header="567" w:footer="567" w:gutter="0"/>
          <w:cols w:space="60" w:num="1"/>
          <w:docGrid w:linePitch="272" w:charSpace="0"/>
        </w:sectPr>
      </w:pPr>
    </w:p>
    <w:p>
      <w:pPr>
        <w:pStyle w:val="2"/>
        <w:tabs>
          <w:tab w:val="left" w:pos="-1418"/>
          <w:tab w:val="clear" w:pos="1274"/>
        </w:tabs>
        <w:spacing w:beforeLines="0" w:after="240"/>
        <w:ind w:left="643" w:hanging="643" w:hangingChars="200"/>
        <w:rPr>
          <w:rFonts w:eastAsia="宋体"/>
          <w:sz w:val="32"/>
          <w:szCs w:val="32"/>
        </w:rPr>
      </w:pPr>
      <w:r>
        <w:rPr>
          <w:rFonts w:eastAsia="宋体"/>
          <w:sz w:val="32"/>
          <w:szCs w:val="32"/>
        </w:rPr>
        <w:t>VI.</w:t>
      </w:r>
      <w:r>
        <w:rPr>
          <w:rFonts w:eastAsia="宋体"/>
          <w:sz w:val="32"/>
          <w:szCs w:val="32"/>
        </w:rPr>
        <w:tab/>
      </w:r>
      <w:r>
        <w:rPr>
          <w:rFonts w:eastAsia="宋体"/>
          <w:sz w:val="32"/>
          <w:szCs w:val="32"/>
        </w:rPr>
        <w:t>组合产品管理事项</w:t>
      </w:r>
    </w:p>
    <w:p>
      <w:pPr>
        <w:snapToGrid w:val="0"/>
        <w:spacing w:after="240" w:afterLines="100"/>
        <w:ind w:firstLine="480" w:firstLineChars="200"/>
        <w:jc w:val="both"/>
        <w:rPr>
          <w:rFonts w:eastAsia="宋体"/>
          <w:color w:val="000000"/>
          <w:sz w:val="24"/>
          <w:szCs w:val="24"/>
        </w:rPr>
      </w:pPr>
      <w:r>
        <w:rPr>
          <w:rFonts w:eastAsia="宋体"/>
          <w:color w:val="000000"/>
          <w:sz w:val="24"/>
          <w:szCs w:val="24"/>
        </w:rPr>
        <w:t>《21世纪治愈法案》对《FD&amp;C法案》第503（g）</w:t>
      </w:r>
      <w:r>
        <w:rPr>
          <w:rFonts w:hint="eastAsia" w:eastAsia="宋体"/>
          <w:color w:val="000000"/>
          <w:sz w:val="24"/>
          <w:szCs w:val="24"/>
        </w:rPr>
        <w:t>节</w:t>
      </w:r>
      <w:r>
        <w:rPr>
          <w:rFonts w:eastAsia="宋体"/>
          <w:color w:val="000000"/>
          <w:sz w:val="24"/>
          <w:szCs w:val="24"/>
        </w:rPr>
        <w:t>进行了修订，要求申请人寻求对组合产品采取行动，以确定产品的性质[§</w:t>
      </w:r>
      <w:r>
        <w:rPr>
          <w:rFonts w:hint="eastAsia" w:eastAsia="宋体"/>
          <w:color w:val="000000"/>
          <w:sz w:val="24"/>
          <w:szCs w:val="24"/>
        </w:rPr>
        <w:t xml:space="preserve"> </w:t>
      </w:r>
      <w:r>
        <w:rPr>
          <w:rFonts w:eastAsia="宋体"/>
          <w:color w:val="000000"/>
          <w:sz w:val="24"/>
          <w:szCs w:val="24"/>
        </w:rPr>
        <w:t>503（g）（8）（C）（v）]。此外，根据修订后的第503（g）（5）</w:t>
      </w:r>
      <w:r>
        <w:rPr>
          <w:rFonts w:hint="eastAsia" w:eastAsia="宋体"/>
          <w:color w:val="000000"/>
          <w:sz w:val="24"/>
          <w:szCs w:val="24"/>
        </w:rPr>
        <w:t>节</w:t>
      </w:r>
      <w:r>
        <w:rPr>
          <w:rFonts w:eastAsia="宋体"/>
          <w:color w:val="000000"/>
          <w:sz w:val="24"/>
          <w:szCs w:val="24"/>
        </w:rPr>
        <w:t>，器械主导的器械-药物组合产品的申请必须包括第505（b）（2）</w:t>
      </w:r>
      <w:r>
        <w:rPr>
          <w:rFonts w:hint="eastAsia" w:eastAsia="宋体"/>
          <w:color w:val="000000"/>
          <w:sz w:val="24"/>
          <w:szCs w:val="24"/>
        </w:rPr>
        <w:t>节</w:t>
      </w:r>
      <w:r>
        <w:rPr>
          <w:rFonts w:eastAsia="宋体"/>
          <w:color w:val="000000"/>
          <w:sz w:val="24"/>
          <w:szCs w:val="24"/>
        </w:rPr>
        <w:t>所述的专利认证或声明，并且如果组合产品含有获批药物的组成部分，则应提供第505（b）（3）</w:t>
      </w:r>
      <w:r>
        <w:rPr>
          <w:rFonts w:hint="eastAsia" w:eastAsia="宋体"/>
          <w:color w:val="000000"/>
          <w:sz w:val="24"/>
          <w:szCs w:val="24"/>
        </w:rPr>
        <w:t>节</w:t>
      </w:r>
      <w:r>
        <w:rPr>
          <w:rFonts w:eastAsia="宋体"/>
          <w:color w:val="000000"/>
          <w:sz w:val="24"/>
          <w:szCs w:val="24"/>
        </w:rPr>
        <w:t>所述的通知。见第503（g）（5）（A）</w:t>
      </w:r>
      <w:r>
        <w:rPr>
          <w:rFonts w:hint="eastAsia" w:eastAsia="宋体"/>
          <w:color w:val="000000"/>
          <w:sz w:val="24"/>
          <w:szCs w:val="24"/>
        </w:rPr>
        <w:t>节</w:t>
      </w:r>
      <w:r>
        <w:rPr>
          <w:rFonts w:eastAsia="宋体"/>
          <w:color w:val="000000"/>
          <w:sz w:val="24"/>
          <w:szCs w:val="24"/>
        </w:rPr>
        <w:t>。根据21 CFR 3.2（e）的规定，非组合产品的申请人应对验收</w:t>
      </w:r>
      <w:r>
        <w:rPr>
          <w:rFonts w:hint="eastAsia" w:eastAsia="宋体"/>
          <w:color w:val="000000"/>
          <w:sz w:val="24"/>
          <w:szCs w:val="24"/>
        </w:rPr>
        <w:t>检查表</w:t>
      </w:r>
      <w:r>
        <w:rPr>
          <w:rFonts w:eastAsia="宋体"/>
          <w:color w:val="000000"/>
          <w:sz w:val="24"/>
          <w:szCs w:val="24"/>
        </w:rPr>
        <w:t>的问题14标注N/A，并省略该组合产品相关章节。</w:t>
      </w:r>
    </w:p>
    <w:p>
      <w:pPr>
        <w:snapToGrid w:val="0"/>
        <w:spacing w:after="240" w:afterLines="100"/>
        <w:jc w:val="both"/>
        <w:rPr>
          <w:rFonts w:eastAsia="宋体"/>
          <w:i/>
          <w:sz w:val="24"/>
          <w:szCs w:val="24"/>
        </w:rPr>
      </w:pPr>
      <w:r>
        <w:rPr>
          <w:rFonts w:eastAsia="宋体"/>
          <w:i/>
          <w:color w:val="000000"/>
          <w:sz w:val="24"/>
          <w:szCs w:val="24"/>
        </w:rPr>
        <w:t>不属于获批药物组分的复方制剂申请人</w:t>
      </w:r>
    </w:p>
    <w:p>
      <w:pPr>
        <w:snapToGrid w:val="0"/>
        <w:spacing w:after="240" w:afterLines="100"/>
        <w:ind w:firstLine="480" w:firstLineChars="200"/>
        <w:jc w:val="both"/>
        <w:rPr>
          <w:rFonts w:eastAsia="宋体"/>
          <w:color w:val="000000"/>
          <w:sz w:val="24"/>
          <w:szCs w:val="24"/>
        </w:rPr>
      </w:pPr>
      <w:r>
        <w:rPr>
          <w:rFonts w:eastAsia="宋体"/>
          <w:color w:val="000000"/>
          <w:sz w:val="24"/>
          <w:szCs w:val="24"/>
        </w:rPr>
        <w:t>如果组合产品不包括第503（g）（5）（B）</w:t>
      </w:r>
      <w:r>
        <w:rPr>
          <w:rFonts w:hint="eastAsia" w:eastAsia="宋体"/>
          <w:color w:val="000000"/>
          <w:sz w:val="24"/>
          <w:szCs w:val="24"/>
        </w:rPr>
        <w:t>节</w:t>
      </w:r>
      <w:r>
        <w:rPr>
          <w:rFonts w:eastAsia="宋体"/>
          <w:color w:val="000000"/>
          <w:sz w:val="24"/>
          <w:szCs w:val="24"/>
        </w:rPr>
        <w:t>中定义的已获批药品作为组成部分，则器械主导的器械-药物组合产品的申请人应在问题14b中标记</w:t>
      </w:r>
      <w:r>
        <w:rPr>
          <w:rFonts w:ascii="宋体" w:hAnsi="宋体" w:eastAsia="宋体"/>
          <w:color w:val="000000"/>
          <w:sz w:val="24"/>
          <w:szCs w:val="24"/>
        </w:rPr>
        <w:t>“</w:t>
      </w:r>
      <w:r>
        <w:rPr>
          <w:rFonts w:eastAsia="宋体"/>
          <w:color w:val="000000"/>
          <w:sz w:val="24"/>
          <w:szCs w:val="24"/>
        </w:rPr>
        <w:t>N/A</w:t>
      </w:r>
      <w:r>
        <w:rPr>
          <w:rFonts w:ascii="宋体" w:hAnsi="宋体" w:eastAsia="宋体"/>
          <w:color w:val="000000"/>
          <w:sz w:val="24"/>
          <w:szCs w:val="24"/>
        </w:rPr>
        <w:t>”</w:t>
      </w:r>
      <w:r>
        <w:rPr>
          <w:rFonts w:eastAsia="宋体"/>
          <w:color w:val="000000"/>
          <w:sz w:val="24"/>
          <w:szCs w:val="24"/>
        </w:rPr>
        <w:t>。</w:t>
      </w:r>
    </w:p>
    <w:p>
      <w:pPr>
        <w:snapToGrid w:val="0"/>
        <w:spacing w:after="240" w:afterLines="100"/>
        <w:jc w:val="both"/>
        <w:rPr>
          <w:rFonts w:eastAsia="宋体"/>
          <w:i/>
          <w:iCs/>
          <w:color w:val="000000"/>
          <w:sz w:val="24"/>
          <w:szCs w:val="24"/>
        </w:rPr>
      </w:pPr>
      <w:r>
        <w:rPr>
          <w:rFonts w:eastAsia="宋体"/>
          <w:i/>
          <w:iCs/>
          <w:color w:val="000000"/>
          <w:sz w:val="24"/>
          <w:szCs w:val="24"/>
        </w:rPr>
        <w:t>作为已获批药品组分的复方制剂申请人</w:t>
      </w:r>
    </w:p>
    <w:p>
      <w:pPr>
        <w:snapToGrid w:val="0"/>
        <w:spacing w:after="240" w:afterLines="100"/>
        <w:ind w:firstLine="480" w:firstLineChars="200"/>
        <w:jc w:val="both"/>
        <w:rPr>
          <w:rFonts w:eastAsia="宋体"/>
          <w:sz w:val="24"/>
          <w:szCs w:val="24"/>
        </w:rPr>
      </w:pPr>
      <w:r>
        <w:rPr>
          <w:rFonts w:eastAsia="宋体"/>
          <w:iCs/>
          <w:color w:val="000000"/>
          <w:sz w:val="24"/>
          <w:szCs w:val="24"/>
        </w:rPr>
        <w:t>对于作为已获批药品组分的复方制剂申请人，应通过纳入专利信息来解决问题14。</w:t>
      </w:r>
      <w:r>
        <w:rPr>
          <w:rFonts w:eastAsia="宋体"/>
          <w:color w:val="000000"/>
          <w:sz w:val="24"/>
          <w:szCs w:val="24"/>
        </w:rPr>
        <w:t>对于每项相关专利，申请人应包括以下认证之一的认证：</w:t>
      </w:r>
    </w:p>
    <w:p>
      <w:pPr>
        <w:pStyle w:val="23"/>
        <w:numPr>
          <w:ilvl w:val="0"/>
          <w:numId w:val="1"/>
        </w:numPr>
        <w:tabs>
          <w:tab w:val="left" w:pos="896"/>
        </w:tabs>
        <w:snapToGrid w:val="0"/>
        <w:spacing w:after="120" w:afterLines="50"/>
        <w:ind w:left="880" w:leftChars="200" w:hanging="480" w:hangingChars="200"/>
        <w:jc w:val="both"/>
        <w:rPr>
          <w:rFonts w:eastAsia="宋体"/>
          <w:color w:val="000000"/>
          <w:sz w:val="24"/>
          <w:szCs w:val="24"/>
        </w:rPr>
      </w:pPr>
      <w:r>
        <w:rPr>
          <w:rFonts w:eastAsia="宋体"/>
          <w:color w:val="000000"/>
          <w:sz w:val="24"/>
          <w:szCs w:val="24"/>
        </w:rPr>
        <w:t>此类专利信息尚未提交（505（b）（2）（A）（i））。</w:t>
      </w:r>
    </w:p>
    <w:p>
      <w:pPr>
        <w:pStyle w:val="23"/>
        <w:numPr>
          <w:ilvl w:val="0"/>
          <w:numId w:val="1"/>
        </w:numPr>
        <w:tabs>
          <w:tab w:val="left" w:pos="896"/>
        </w:tabs>
        <w:snapToGrid w:val="0"/>
        <w:spacing w:after="120" w:afterLines="50"/>
        <w:ind w:left="880" w:leftChars="200" w:hanging="480" w:hangingChars="200"/>
        <w:jc w:val="both"/>
        <w:rPr>
          <w:rFonts w:eastAsia="宋体"/>
          <w:color w:val="000000"/>
          <w:sz w:val="24"/>
          <w:szCs w:val="24"/>
        </w:rPr>
      </w:pPr>
      <w:r>
        <w:rPr>
          <w:rFonts w:eastAsia="宋体"/>
          <w:color w:val="000000"/>
          <w:sz w:val="24"/>
          <w:szCs w:val="24"/>
        </w:rPr>
        <w:t>该专利已到期（505（b）（2）（A）（ii））。</w:t>
      </w:r>
    </w:p>
    <w:p>
      <w:pPr>
        <w:pStyle w:val="23"/>
        <w:numPr>
          <w:ilvl w:val="0"/>
          <w:numId w:val="1"/>
        </w:numPr>
        <w:tabs>
          <w:tab w:val="left" w:pos="896"/>
        </w:tabs>
        <w:snapToGrid w:val="0"/>
        <w:spacing w:after="120" w:afterLines="50"/>
        <w:ind w:left="880" w:leftChars="200" w:hanging="480" w:hangingChars="200"/>
        <w:jc w:val="both"/>
        <w:rPr>
          <w:rFonts w:eastAsia="宋体"/>
          <w:color w:val="000000"/>
          <w:sz w:val="24"/>
          <w:szCs w:val="24"/>
        </w:rPr>
      </w:pPr>
      <w:r>
        <w:rPr>
          <w:rFonts w:eastAsia="宋体"/>
          <w:color w:val="000000"/>
          <w:sz w:val="24"/>
          <w:szCs w:val="24"/>
        </w:rPr>
        <w:t>专利到期日期（505（b）（2）（A）（iii））。</w:t>
      </w:r>
    </w:p>
    <w:p>
      <w:pPr>
        <w:pStyle w:val="23"/>
        <w:numPr>
          <w:ilvl w:val="0"/>
          <w:numId w:val="1"/>
        </w:numPr>
        <w:tabs>
          <w:tab w:val="left" w:pos="896"/>
        </w:tabs>
        <w:snapToGrid w:val="0"/>
        <w:spacing w:after="240" w:afterLines="100"/>
        <w:ind w:left="880" w:leftChars="200" w:hanging="480" w:hangingChars="200"/>
        <w:jc w:val="both"/>
        <w:rPr>
          <w:rFonts w:eastAsia="宋体"/>
          <w:sz w:val="24"/>
          <w:szCs w:val="24"/>
        </w:rPr>
      </w:pPr>
      <w:r>
        <w:rPr>
          <w:rFonts w:eastAsia="宋体"/>
          <w:color w:val="000000"/>
          <w:sz w:val="24"/>
          <w:szCs w:val="24"/>
        </w:rPr>
        <w:t>该专利无效或不会因生产、使用或销售本申请所针对的药物成分而侵权（505（b）（2）（A）（iv））。</w:t>
      </w:r>
    </w:p>
    <w:p>
      <w:pPr>
        <w:snapToGrid w:val="0"/>
        <w:spacing w:after="240" w:afterLines="100"/>
        <w:ind w:firstLine="480" w:firstLineChars="200"/>
        <w:jc w:val="both"/>
        <w:rPr>
          <w:rFonts w:eastAsia="宋体"/>
          <w:color w:val="000000"/>
          <w:sz w:val="24"/>
          <w:szCs w:val="24"/>
        </w:rPr>
      </w:pPr>
      <w:r>
        <w:rPr>
          <w:rFonts w:eastAsia="宋体"/>
          <w:color w:val="000000"/>
          <w:sz w:val="24"/>
          <w:szCs w:val="24"/>
        </w:rPr>
        <w:t>但对于未要求申请人寻求批准的用途的使用方法专利，申请人应根据第505（b）（2）（b）</w:t>
      </w:r>
      <w:r>
        <w:rPr>
          <w:rFonts w:hint="eastAsia" w:eastAsia="宋体"/>
          <w:color w:val="000000"/>
          <w:sz w:val="24"/>
          <w:szCs w:val="24"/>
        </w:rPr>
        <w:t>节</w:t>
      </w:r>
      <w:r>
        <w:rPr>
          <w:rFonts w:eastAsia="宋体"/>
          <w:color w:val="000000"/>
          <w:sz w:val="24"/>
          <w:szCs w:val="24"/>
        </w:rPr>
        <w:t>纳入使用方法专利未要求此类用途的声明。</w:t>
      </w:r>
    </w:p>
    <w:p>
      <w:pPr>
        <w:snapToGrid w:val="0"/>
        <w:spacing w:after="240" w:afterLines="100"/>
        <w:ind w:firstLine="480" w:firstLineChars="200"/>
        <w:jc w:val="both"/>
        <w:rPr>
          <w:rFonts w:eastAsia="宋体"/>
          <w:sz w:val="24"/>
          <w:szCs w:val="24"/>
        </w:rPr>
      </w:pPr>
      <w:r>
        <w:rPr>
          <w:rFonts w:eastAsia="宋体"/>
          <w:color w:val="000000"/>
          <w:sz w:val="24"/>
          <w:szCs w:val="24"/>
        </w:rPr>
        <w:t>申请人（包括第iv（505（b）（2）（a）（iv）下的认证）还应证明，其将向专利所有人和列明被质疑专利的获批申请的持有人发出通知。《FD&amp;C法案》第505（b）（3）</w:t>
      </w:r>
      <w:r>
        <w:rPr>
          <w:rFonts w:hint="eastAsia" w:eastAsia="宋体"/>
          <w:color w:val="000000"/>
          <w:sz w:val="24"/>
          <w:szCs w:val="24"/>
        </w:rPr>
        <w:t>节</w:t>
      </w:r>
      <w:r>
        <w:rPr>
          <w:rFonts w:eastAsia="宋体"/>
          <w:color w:val="000000"/>
          <w:sz w:val="24"/>
          <w:szCs w:val="24"/>
        </w:rPr>
        <w:t>规定了发出通知的流程。申请人应向FDA提交获批申请的持有人和专利所有者收到通知的日期文件。</w:t>
      </w:r>
    </w:p>
    <w:p>
      <w:pPr>
        <w:pStyle w:val="2"/>
        <w:tabs>
          <w:tab w:val="left" w:pos="-1418"/>
          <w:tab w:val="clear" w:pos="1274"/>
        </w:tabs>
        <w:spacing w:beforeLines="0" w:after="240"/>
        <w:ind w:left="643" w:hanging="643" w:hangingChars="200"/>
        <w:rPr>
          <w:rFonts w:eastAsia="宋体"/>
          <w:sz w:val="32"/>
          <w:szCs w:val="32"/>
        </w:rPr>
      </w:pPr>
      <w:r>
        <w:rPr>
          <w:rFonts w:eastAsia="宋体"/>
          <w:sz w:val="32"/>
          <w:szCs w:val="32"/>
        </w:rPr>
        <w:t>VII.</w:t>
      </w:r>
      <w:r>
        <w:rPr>
          <w:rFonts w:eastAsia="宋体"/>
          <w:sz w:val="32"/>
          <w:szCs w:val="32"/>
        </w:rPr>
        <w:tab/>
      </w:r>
      <w:r>
        <w:rPr>
          <w:rFonts w:hint="eastAsia" w:eastAsia="宋体"/>
          <w:sz w:val="32"/>
          <w:szCs w:val="32"/>
        </w:rPr>
        <w:t>验收</w:t>
      </w:r>
      <w:r>
        <w:rPr>
          <w:rFonts w:eastAsia="宋体"/>
          <w:sz w:val="32"/>
          <w:szCs w:val="32"/>
        </w:rPr>
        <w:t>和备案审评原则</w:t>
      </w:r>
    </w:p>
    <w:p>
      <w:pPr>
        <w:snapToGrid w:val="0"/>
        <w:spacing w:after="240" w:afterLines="100"/>
        <w:ind w:firstLine="480" w:firstLineChars="200"/>
        <w:jc w:val="both"/>
        <w:rPr>
          <w:rFonts w:eastAsia="宋体"/>
          <w:sz w:val="24"/>
          <w:szCs w:val="24"/>
        </w:rPr>
      </w:pPr>
      <w:r>
        <w:rPr>
          <w:rFonts w:eastAsia="宋体"/>
          <w:color w:val="000000"/>
          <w:sz w:val="24"/>
          <w:szCs w:val="24"/>
        </w:rPr>
        <w:t>为适当使用本指南，FDA工作人员应审评以下粗体基本原则，然后描述FDA的审评政策和程序。这些原则以及</w:t>
      </w:r>
      <w:r>
        <w:rPr>
          <w:rFonts w:hint="eastAsia" w:eastAsia="宋体"/>
          <w:color w:val="000000"/>
          <w:sz w:val="24"/>
          <w:szCs w:val="24"/>
        </w:rPr>
        <w:t>验收</w:t>
      </w:r>
      <w:r>
        <w:rPr>
          <w:rFonts w:eastAsia="宋体"/>
          <w:color w:val="000000"/>
          <w:sz w:val="24"/>
          <w:szCs w:val="24"/>
        </w:rPr>
        <w:t>和备案</w:t>
      </w:r>
      <w:r>
        <w:rPr>
          <w:rFonts w:hint="eastAsia" w:eastAsia="宋体"/>
          <w:color w:val="000000"/>
          <w:sz w:val="24"/>
          <w:szCs w:val="24"/>
        </w:rPr>
        <w:t>检查表</w:t>
      </w:r>
      <w:r>
        <w:rPr>
          <w:rFonts w:eastAsia="宋体"/>
          <w:color w:val="000000"/>
          <w:sz w:val="24"/>
          <w:szCs w:val="24"/>
        </w:rPr>
        <w:t>中列出的客观标准为FDA的PMA</w:t>
      </w:r>
      <w:r>
        <w:rPr>
          <w:rFonts w:hint="eastAsia" w:eastAsia="宋体"/>
          <w:color w:val="000000"/>
          <w:sz w:val="24"/>
          <w:szCs w:val="24"/>
        </w:rPr>
        <w:t>验收</w:t>
      </w:r>
      <w:r>
        <w:rPr>
          <w:rFonts w:eastAsia="宋体"/>
          <w:color w:val="000000"/>
          <w:sz w:val="24"/>
          <w:szCs w:val="24"/>
        </w:rPr>
        <w:t>和备案决定提供了信息。</w:t>
      </w:r>
    </w:p>
    <w:p>
      <w:pPr>
        <w:snapToGrid w:val="0"/>
        <w:spacing w:after="240" w:afterLines="100"/>
        <w:ind w:firstLine="480" w:firstLineChars="200"/>
        <w:jc w:val="both"/>
        <w:rPr>
          <w:rFonts w:eastAsia="宋体"/>
          <w:sz w:val="24"/>
          <w:szCs w:val="24"/>
        </w:rPr>
      </w:pPr>
    </w:p>
    <w:p>
      <w:pPr>
        <w:snapToGrid w:val="0"/>
        <w:spacing w:after="240" w:afterLines="100"/>
        <w:jc w:val="both"/>
        <w:rPr>
          <w:rFonts w:eastAsia="宋体"/>
          <w:sz w:val="21"/>
          <w:szCs w:val="21"/>
        </w:rPr>
        <w:sectPr>
          <w:pgSz w:w="11906" w:h="16838"/>
          <w:pgMar w:top="1134" w:right="1134" w:bottom="1134" w:left="1418" w:header="567" w:footer="567" w:gutter="0"/>
          <w:cols w:space="60" w:num="1"/>
          <w:docGrid w:linePitch="272" w:charSpace="0"/>
        </w:sectPr>
      </w:pPr>
    </w:p>
    <w:p>
      <w:pPr>
        <w:snapToGrid w:val="0"/>
        <w:spacing w:after="240" w:afterLines="100"/>
        <w:jc w:val="both"/>
        <w:rPr>
          <w:rFonts w:eastAsia="宋体"/>
          <w:b/>
          <w:bCs/>
          <w:color w:val="000000"/>
          <w:sz w:val="24"/>
          <w:szCs w:val="24"/>
        </w:rPr>
      </w:pPr>
      <w:r>
        <w:rPr>
          <w:rFonts w:eastAsia="宋体"/>
          <w:b/>
          <w:bCs/>
          <w:color w:val="000000"/>
          <w:sz w:val="24"/>
          <w:szCs w:val="24"/>
        </w:rPr>
        <w:t>PMA的内容应允许进行实质性审评</w:t>
      </w:r>
    </w:p>
    <w:p>
      <w:pPr>
        <w:snapToGrid w:val="0"/>
        <w:spacing w:after="240" w:afterLines="100"/>
        <w:ind w:firstLine="480" w:firstLineChars="200"/>
        <w:jc w:val="both"/>
        <w:rPr>
          <w:rFonts w:eastAsia="宋体"/>
          <w:color w:val="000000"/>
          <w:sz w:val="24"/>
          <w:szCs w:val="24"/>
        </w:rPr>
      </w:pPr>
      <w:r>
        <w:rPr>
          <w:rFonts w:eastAsia="宋体"/>
          <w:color w:val="000000"/>
          <w:sz w:val="24"/>
          <w:szCs w:val="24"/>
        </w:rPr>
        <w:t>PMA必须包含21 CFR 814.20中列出的基本</w:t>
      </w:r>
      <w:r>
        <w:rPr>
          <w:rFonts w:hint="eastAsia" w:eastAsia="宋体"/>
          <w:color w:val="000000"/>
          <w:sz w:val="24"/>
          <w:szCs w:val="24"/>
        </w:rPr>
        <w:t>行政</w:t>
      </w:r>
      <w:r>
        <w:rPr>
          <w:rFonts w:eastAsia="宋体"/>
          <w:color w:val="000000"/>
          <w:sz w:val="24"/>
          <w:szCs w:val="24"/>
        </w:rPr>
        <w:t>和科学要素。</w:t>
      </w:r>
    </w:p>
    <w:p>
      <w:pPr>
        <w:snapToGrid w:val="0"/>
        <w:spacing w:after="240" w:afterLines="100"/>
        <w:ind w:firstLine="480" w:firstLineChars="200"/>
        <w:jc w:val="both"/>
        <w:rPr>
          <w:rFonts w:eastAsia="宋体"/>
          <w:color w:val="000000"/>
          <w:sz w:val="24"/>
          <w:szCs w:val="24"/>
        </w:rPr>
      </w:pPr>
      <w:r>
        <w:rPr>
          <w:rFonts w:hint="eastAsia" w:eastAsia="宋体"/>
          <w:color w:val="000000"/>
          <w:sz w:val="24"/>
          <w:szCs w:val="24"/>
        </w:rPr>
        <w:t>验收</w:t>
      </w:r>
      <w:r>
        <w:rPr>
          <w:rFonts w:eastAsia="宋体"/>
          <w:color w:val="000000"/>
          <w:sz w:val="24"/>
          <w:szCs w:val="24"/>
        </w:rPr>
        <w:t>和备案</w:t>
      </w:r>
      <w:r>
        <w:rPr>
          <w:rFonts w:hint="eastAsia" w:eastAsia="宋体"/>
          <w:color w:val="000000"/>
          <w:sz w:val="24"/>
          <w:szCs w:val="24"/>
        </w:rPr>
        <w:t>检查表</w:t>
      </w:r>
      <w:r>
        <w:rPr>
          <w:rFonts w:eastAsia="宋体"/>
          <w:color w:val="000000"/>
          <w:sz w:val="24"/>
          <w:szCs w:val="24"/>
        </w:rPr>
        <w:t>中的具体问题旨在帮助FDA确保PMA内容不会太杂乱或不完整，从而</w:t>
      </w:r>
      <w:r>
        <w:rPr>
          <w:rFonts w:hint="eastAsia" w:eastAsia="宋体"/>
          <w:color w:val="000000"/>
          <w:sz w:val="24"/>
          <w:szCs w:val="24"/>
        </w:rPr>
        <w:t>避免妨碍</w:t>
      </w:r>
      <w:r>
        <w:rPr>
          <w:rFonts w:eastAsia="宋体"/>
          <w:color w:val="000000"/>
          <w:sz w:val="24"/>
          <w:szCs w:val="24"/>
        </w:rPr>
        <w:t>审评小组继续对申请进行实质性审评。</w:t>
      </w:r>
    </w:p>
    <w:p>
      <w:pPr>
        <w:snapToGrid w:val="0"/>
        <w:spacing w:after="240" w:afterLines="100"/>
        <w:jc w:val="both"/>
        <w:rPr>
          <w:rFonts w:eastAsia="宋体"/>
          <w:b/>
          <w:bCs/>
          <w:color w:val="000000"/>
          <w:sz w:val="24"/>
          <w:szCs w:val="24"/>
        </w:rPr>
      </w:pPr>
      <w:r>
        <w:rPr>
          <w:rFonts w:eastAsia="宋体"/>
          <w:b/>
          <w:bCs/>
          <w:color w:val="000000"/>
          <w:sz w:val="24"/>
          <w:szCs w:val="24"/>
        </w:rPr>
        <w:t>验收决</w:t>
      </w:r>
      <w:r>
        <w:rPr>
          <w:rFonts w:hint="eastAsia" w:eastAsia="宋体"/>
          <w:b/>
          <w:bCs/>
          <w:color w:val="000000"/>
          <w:sz w:val="24"/>
          <w:szCs w:val="24"/>
        </w:rPr>
        <w:t>定</w:t>
      </w:r>
      <w:r>
        <w:rPr>
          <w:rFonts w:eastAsia="宋体"/>
          <w:b/>
          <w:bCs/>
          <w:color w:val="000000"/>
          <w:sz w:val="24"/>
          <w:szCs w:val="24"/>
        </w:rPr>
        <w:t>和</w:t>
      </w:r>
      <w:r>
        <w:rPr>
          <w:rFonts w:hint="eastAsia" w:eastAsia="宋体"/>
          <w:b/>
          <w:bCs/>
          <w:color w:val="000000"/>
          <w:sz w:val="24"/>
          <w:szCs w:val="24"/>
        </w:rPr>
        <w:t>备案</w:t>
      </w:r>
      <w:r>
        <w:rPr>
          <w:rFonts w:eastAsia="宋体"/>
          <w:b/>
          <w:bCs/>
          <w:color w:val="000000"/>
          <w:sz w:val="24"/>
          <w:szCs w:val="24"/>
        </w:rPr>
        <w:t>决</w:t>
      </w:r>
      <w:r>
        <w:rPr>
          <w:rFonts w:hint="eastAsia" w:eastAsia="宋体"/>
          <w:b/>
          <w:bCs/>
          <w:color w:val="000000"/>
          <w:sz w:val="24"/>
          <w:szCs w:val="24"/>
        </w:rPr>
        <w:t>定</w:t>
      </w:r>
      <w:r>
        <w:rPr>
          <w:rFonts w:eastAsia="宋体"/>
          <w:b/>
          <w:bCs/>
          <w:color w:val="000000"/>
          <w:sz w:val="24"/>
          <w:szCs w:val="24"/>
        </w:rPr>
        <w:t>不应基于PMA中数据和信息的实质性审评</w:t>
      </w:r>
    </w:p>
    <w:p>
      <w:pPr>
        <w:snapToGrid w:val="0"/>
        <w:spacing w:after="240" w:afterLines="100"/>
        <w:ind w:firstLine="480" w:firstLineChars="200"/>
        <w:jc w:val="both"/>
        <w:rPr>
          <w:rFonts w:eastAsia="宋体"/>
          <w:color w:val="000000"/>
          <w:sz w:val="24"/>
          <w:szCs w:val="24"/>
        </w:rPr>
      </w:pPr>
      <w:r>
        <w:rPr>
          <w:rFonts w:eastAsia="宋体"/>
          <w:color w:val="000000"/>
          <w:sz w:val="24"/>
          <w:szCs w:val="24"/>
        </w:rPr>
        <w:t>通过</w:t>
      </w:r>
      <w:r>
        <w:rPr>
          <w:rFonts w:hint="eastAsia" w:eastAsia="宋体"/>
          <w:color w:val="000000"/>
          <w:sz w:val="24"/>
          <w:szCs w:val="24"/>
        </w:rPr>
        <w:t>验收</w:t>
      </w:r>
      <w:r>
        <w:rPr>
          <w:rFonts w:eastAsia="宋体"/>
          <w:color w:val="000000"/>
          <w:sz w:val="24"/>
          <w:szCs w:val="24"/>
        </w:rPr>
        <w:t>审评和备案审评来确保PMA申请的行政完整性，并分别确定PMA技术要素的基本充分性。尤其是在确定PMA是否应被</w:t>
      </w:r>
      <w:r>
        <w:rPr>
          <w:rFonts w:hint="eastAsia" w:eastAsia="宋体"/>
          <w:color w:val="000000"/>
          <w:sz w:val="24"/>
          <w:szCs w:val="24"/>
        </w:rPr>
        <w:t>验收</w:t>
      </w:r>
      <w:r>
        <w:rPr>
          <w:rFonts w:eastAsia="宋体"/>
          <w:color w:val="000000"/>
          <w:sz w:val="24"/>
          <w:szCs w:val="24"/>
        </w:rPr>
        <w:t>和</w:t>
      </w:r>
      <w:r>
        <w:rPr>
          <w:rFonts w:hint="eastAsia" w:eastAsia="宋体"/>
          <w:color w:val="000000"/>
          <w:sz w:val="24"/>
          <w:szCs w:val="24"/>
        </w:rPr>
        <w:t>备案</w:t>
      </w:r>
      <w:r>
        <w:rPr>
          <w:rFonts w:eastAsia="宋体"/>
          <w:color w:val="000000"/>
          <w:sz w:val="24"/>
          <w:szCs w:val="24"/>
        </w:rPr>
        <w:t>时，不应对提交的信息进行评价，以确定是否有合理的安全性和有效性保证。该</w:t>
      </w:r>
      <w:r>
        <w:rPr>
          <w:rFonts w:hint="eastAsia" w:eastAsia="宋体"/>
          <w:color w:val="000000"/>
          <w:sz w:val="24"/>
          <w:szCs w:val="24"/>
        </w:rPr>
        <w:t>检查表</w:t>
      </w:r>
      <w:r>
        <w:rPr>
          <w:rFonts w:eastAsia="宋体"/>
          <w:color w:val="000000"/>
          <w:sz w:val="24"/>
          <w:szCs w:val="24"/>
        </w:rPr>
        <w:t>是一种工具，用于确保申请中包含必要信息，以便进行实质性审评（即，FDA不应将申请指定为</w:t>
      </w:r>
      <w:r>
        <w:rPr>
          <w:rFonts w:ascii="宋体" w:hAnsi="宋体" w:eastAsia="宋体"/>
          <w:color w:val="000000"/>
          <w:sz w:val="24"/>
          <w:szCs w:val="24"/>
        </w:rPr>
        <w:t>“</w:t>
      </w:r>
      <w:r>
        <w:rPr>
          <w:rFonts w:eastAsia="宋体"/>
          <w:color w:val="000000"/>
          <w:sz w:val="24"/>
          <w:szCs w:val="24"/>
        </w:rPr>
        <w:t>拒绝</w:t>
      </w:r>
      <w:r>
        <w:rPr>
          <w:rFonts w:hint="eastAsia" w:eastAsia="宋体"/>
          <w:color w:val="000000"/>
          <w:sz w:val="24"/>
          <w:szCs w:val="24"/>
        </w:rPr>
        <w:t>验收</w:t>
      </w:r>
      <w:r>
        <w:rPr>
          <w:rFonts w:ascii="宋体" w:hAnsi="宋体" w:eastAsia="宋体"/>
          <w:color w:val="000000"/>
          <w:sz w:val="24"/>
          <w:szCs w:val="24"/>
        </w:rPr>
        <w:t>”</w:t>
      </w:r>
      <w:r>
        <w:rPr>
          <w:rFonts w:eastAsia="宋体"/>
          <w:color w:val="000000"/>
          <w:sz w:val="24"/>
          <w:szCs w:val="24"/>
        </w:rPr>
        <w:t>或拒绝</w:t>
      </w:r>
      <w:r>
        <w:rPr>
          <w:rFonts w:hint="eastAsia" w:eastAsia="宋体"/>
          <w:color w:val="000000"/>
          <w:sz w:val="24"/>
          <w:szCs w:val="24"/>
        </w:rPr>
        <w:t>备案</w:t>
      </w:r>
      <w:r>
        <w:rPr>
          <w:rFonts w:eastAsia="宋体"/>
          <w:color w:val="000000"/>
          <w:sz w:val="24"/>
          <w:szCs w:val="24"/>
        </w:rPr>
        <w:t>PMA，因为我们已经对数据进行了审评，并认为该申请最终不可批准）。随后，PMA的实质性审评将评价内容的质量，并就PMA产品的安全性和有效性作出决定。</w:t>
      </w:r>
    </w:p>
    <w:p>
      <w:pPr>
        <w:snapToGrid w:val="0"/>
        <w:spacing w:after="240" w:afterLines="100"/>
        <w:ind w:firstLine="480" w:firstLineChars="200"/>
        <w:jc w:val="both"/>
        <w:rPr>
          <w:rFonts w:eastAsia="宋体"/>
          <w:color w:val="000000"/>
          <w:sz w:val="24"/>
          <w:szCs w:val="24"/>
        </w:rPr>
      </w:pPr>
      <w:r>
        <w:rPr>
          <w:rFonts w:hint="eastAsia" w:eastAsia="宋体"/>
          <w:color w:val="000000"/>
          <w:sz w:val="24"/>
          <w:szCs w:val="24"/>
        </w:rPr>
        <w:t>FDA</w:t>
      </w:r>
      <w:r>
        <w:rPr>
          <w:rFonts w:eastAsia="宋体"/>
          <w:color w:val="000000"/>
          <w:sz w:val="24"/>
          <w:szCs w:val="24"/>
        </w:rPr>
        <w:t>在</w:t>
      </w:r>
      <w:r>
        <w:rPr>
          <w:rFonts w:hint="eastAsia" w:eastAsia="宋体"/>
          <w:color w:val="000000"/>
          <w:sz w:val="24"/>
          <w:szCs w:val="24"/>
        </w:rPr>
        <w:t>验收</w:t>
      </w:r>
      <w:r>
        <w:rPr>
          <w:rFonts w:eastAsia="宋体"/>
          <w:color w:val="000000"/>
          <w:sz w:val="24"/>
          <w:szCs w:val="24"/>
        </w:rPr>
        <w:t>或备案审评期间发现的关于非临床和临床研究</w:t>
      </w:r>
      <w:r>
        <w:rPr>
          <w:rFonts w:eastAsia="宋体"/>
          <w:b/>
          <w:bCs/>
          <w:color w:val="000000"/>
          <w:sz w:val="24"/>
          <w:szCs w:val="24"/>
        </w:rPr>
        <w:t>结果和结局</w:t>
      </w:r>
      <w:r>
        <w:rPr>
          <w:rFonts w:eastAsia="宋体"/>
          <w:color w:val="000000"/>
          <w:sz w:val="24"/>
          <w:szCs w:val="24"/>
        </w:rPr>
        <w:t>的问题</w:t>
      </w:r>
      <w:r>
        <w:rPr>
          <w:rFonts w:eastAsia="宋体"/>
          <w:b/>
          <w:bCs/>
          <w:color w:val="000000"/>
          <w:sz w:val="24"/>
          <w:szCs w:val="24"/>
        </w:rPr>
        <w:t>不会妨碍</w:t>
      </w:r>
      <w:r>
        <w:rPr>
          <w:rFonts w:hint="eastAsia" w:eastAsia="宋体"/>
          <w:b/>
          <w:bCs/>
          <w:color w:val="000000"/>
          <w:sz w:val="24"/>
          <w:szCs w:val="24"/>
        </w:rPr>
        <w:t>验收</w:t>
      </w:r>
      <w:r>
        <w:rPr>
          <w:rFonts w:eastAsia="宋体"/>
          <w:b/>
          <w:bCs/>
          <w:color w:val="000000"/>
          <w:sz w:val="24"/>
          <w:szCs w:val="24"/>
        </w:rPr>
        <w:t>或备案</w:t>
      </w:r>
      <w:r>
        <w:rPr>
          <w:rFonts w:eastAsia="宋体"/>
          <w:color w:val="000000"/>
          <w:sz w:val="24"/>
          <w:szCs w:val="24"/>
        </w:rPr>
        <w:t>。通常属于此类的信息示例包括：</w:t>
      </w:r>
    </w:p>
    <w:p>
      <w:pPr>
        <w:snapToGrid w:val="0"/>
        <w:spacing w:after="240" w:afterLines="10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研究人群的人口统计学信息</w:t>
      </w:r>
    </w:p>
    <w:p>
      <w:pPr>
        <w:snapToGrid w:val="0"/>
        <w:spacing w:after="240" w:afterLines="10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关于统计分析的结论</w:t>
      </w:r>
    </w:p>
    <w:p>
      <w:pPr>
        <w:snapToGrid w:val="0"/>
        <w:spacing w:after="240" w:afterLines="10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报告或评估方案偏离</w:t>
      </w:r>
    </w:p>
    <w:p>
      <w:pPr>
        <w:snapToGrid w:val="0"/>
        <w:spacing w:after="240" w:afterLines="10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器械故障或失灵报告。</w:t>
      </w:r>
    </w:p>
    <w:p>
      <w:pPr>
        <w:snapToGrid w:val="0"/>
        <w:spacing w:after="240" w:afterLines="100"/>
        <w:jc w:val="both"/>
        <w:rPr>
          <w:rFonts w:eastAsia="宋体"/>
          <w:b/>
          <w:bCs/>
          <w:color w:val="000000"/>
          <w:sz w:val="24"/>
          <w:szCs w:val="24"/>
        </w:rPr>
      </w:pPr>
      <w:r>
        <w:rPr>
          <w:rFonts w:eastAsia="宋体"/>
          <w:b/>
          <w:bCs/>
          <w:color w:val="000000"/>
          <w:sz w:val="24"/>
          <w:szCs w:val="24"/>
        </w:rPr>
        <w:t>工作人员应确定申请人是否提供了任何替代方法的</w:t>
      </w:r>
      <w:r>
        <w:rPr>
          <w:rFonts w:hint="eastAsia" w:eastAsia="宋体"/>
          <w:b/>
          <w:bCs/>
          <w:color w:val="000000"/>
          <w:sz w:val="24"/>
          <w:szCs w:val="24"/>
        </w:rPr>
        <w:t>正当理由</w:t>
      </w:r>
    </w:p>
    <w:p>
      <w:pPr>
        <w:snapToGrid w:val="0"/>
        <w:spacing w:after="240" w:afterLines="100"/>
        <w:ind w:firstLine="480" w:firstLineChars="200"/>
        <w:jc w:val="both"/>
        <w:rPr>
          <w:rFonts w:eastAsia="宋体"/>
          <w:sz w:val="24"/>
          <w:szCs w:val="24"/>
        </w:rPr>
      </w:pPr>
      <w:r>
        <w:rPr>
          <w:rFonts w:eastAsia="宋体"/>
          <w:color w:val="000000"/>
          <w:sz w:val="24"/>
          <w:szCs w:val="24"/>
        </w:rPr>
        <w:t>如果申请人认为检查表中的任何标准不适用，则应解释其</w:t>
      </w:r>
      <w:r>
        <w:rPr>
          <w:rFonts w:hint="eastAsia" w:eastAsia="宋体"/>
          <w:color w:val="000000"/>
          <w:sz w:val="24"/>
          <w:szCs w:val="24"/>
        </w:rPr>
        <w:t>理由</w:t>
      </w:r>
      <w:r>
        <w:rPr>
          <w:rFonts w:eastAsia="宋体"/>
          <w:color w:val="000000"/>
          <w:sz w:val="24"/>
          <w:szCs w:val="24"/>
        </w:rPr>
        <w:t>。同样，申请人应提供任何器械特定或交叉指南文件或FDA认可标准的任何偏离</w:t>
      </w:r>
      <w:r>
        <w:rPr>
          <w:rFonts w:hint="eastAsia" w:eastAsia="宋体"/>
          <w:color w:val="000000"/>
          <w:sz w:val="24"/>
          <w:szCs w:val="24"/>
        </w:rPr>
        <w:t>理由</w:t>
      </w:r>
      <w:r>
        <w:rPr>
          <w:rFonts w:eastAsia="宋体"/>
          <w:color w:val="000000"/>
          <w:sz w:val="24"/>
          <w:szCs w:val="24"/>
        </w:rPr>
        <w:t>。FDA希望</w:t>
      </w:r>
      <w:r>
        <w:rPr>
          <w:rFonts w:hint="eastAsia" w:eastAsia="宋体"/>
          <w:color w:val="000000"/>
          <w:sz w:val="24"/>
          <w:szCs w:val="24"/>
        </w:rPr>
        <w:t>检查表</w:t>
      </w:r>
      <w:r>
        <w:rPr>
          <w:rFonts w:eastAsia="宋体"/>
          <w:color w:val="000000"/>
          <w:sz w:val="24"/>
          <w:szCs w:val="24"/>
        </w:rPr>
        <w:t>中缺失的任何项目都将通过解释不适用原因的原理得到解决，并对任何偏</w:t>
      </w:r>
      <w:r>
        <w:rPr>
          <w:rFonts w:hint="eastAsia" w:eastAsia="宋体"/>
          <w:color w:val="000000"/>
          <w:sz w:val="24"/>
          <w:szCs w:val="24"/>
        </w:rPr>
        <w:t>离</w:t>
      </w:r>
      <w:r>
        <w:rPr>
          <w:rFonts w:eastAsia="宋体"/>
          <w:color w:val="000000"/>
          <w:sz w:val="24"/>
          <w:szCs w:val="24"/>
        </w:rPr>
        <w:t>进行解释。如果提供了省略某些信息或采取替代方法的理由，则FDA将在对申请进行实质性审评时，考虑该理由或替代方法的充分性。如果申请中未包含要求的信息或</w:t>
      </w:r>
      <w:r>
        <w:rPr>
          <w:rFonts w:hint="eastAsia" w:eastAsia="宋体"/>
          <w:color w:val="000000"/>
          <w:sz w:val="24"/>
          <w:szCs w:val="24"/>
        </w:rPr>
        <w:t>省略</w:t>
      </w:r>
      <w:r>
        <w:rPr>
          <w:rFonts w:eastAsia="宋体"/>
          <w:color w:val="000000"/>
          <w:sz w:val="24"/>
          <w:szCs w:val="24"/>
        </w:rPr>
        <w:t>理由，则检查表中的给定标准将被视为</w:t>
      </w:r>
      <w:r>
        <w:rPr>
          <w:rFonts w:ascii="宋体" w:hAnsi="宋体" w:eastAsia="宋体"/>
          <w:color w:val="000000"/>
          <w:sz w:val="24"/>
          <w:szCs w:val="24"/>
        </w:rPr>
        <w:t>“</w:t>
      </w:r>
      <w:r>
        <w:rPr>
          <w:rFonts w:eastAsia="宋体"/>
          <w:color w:val="000000"/>
          <w:sz w:val="24"/>
          <w:szCs w:val="24"/>
        </w:rPr>
        <w:t>不存在</w:t>
      </w:r>
      <w:r>
        <w:rPr>
          <w:rFonts w:ascii="宋体" w:hAnsi="宋体" w:eastAsia="宋体"/>
          <w:color w:val="000000"/>
          <w:sz w:val="24"/>
          <w:szCs w:val="24"/>
        </w:rPr>
        <w:t>”</w:t>
      </w:r>
      <w:r>
        <w:rPr>
          <w:rFonts w:eastAsia="宋体"/>
          <w:color w:val="000000"/>
          <w:sz w:val="24"/>
          <w:szCs w:val="24"/>
        </w:rPr>
        <w:t>。更多说明，参见下面的验收审评部分。</w:t>
      </w:r>
    </w:p>
    <w:p>
      <w:pPr>
        <w:snapToGrid w:val="0"/>
        <w:spacing w:after="240" w:afterLines="100"/>
        <w:jc w:val="both"/>
        <w:rPr>
          <w:rFonts w:eastAsia="宋体"/>
          <w:sz w:val="21"/>
          <w:szCs w:val="21"/>
        </w:rPr>
      </w:pPr>
    </w:p>
    <w:p>
      <w:pPr>
        <w:snapToGrid w:val="0"/>
        <w:spacing w:after="240" w:afterLines="100"/>
        <w:jc w:val="both"/>
        <w:rPr>
          <w:rFonts w:eastAsia="宋体"/>
          <w:sz w:val="21"/>
          <w:szCs w:val="21"/>
        </w:rPr>
        <w:sectPr>
          <w:pgSz w:w="11906" w:h="16838"/>
          <w:pgMar w:top="1134" w:right="1134" w:bottom="1134" w:left="1418" w:header="567" w:footer="567" w:gutter="0"/>
          <w:cols w:space="60" w:num="1"/>
          <w:docGrid w:linePitch="272" w:charSpace="0"/>
        </w:sectPr>
      </w:pPr>
    </w:p>
    <w:p>
      <w:pPr>
        <w:snapToGrid w:val="0"/>
        <w:spacing w:after="240" w:afterLines="100"/>
        <w:jc w:val="both"/>
        <w:rPr>
          <w:rFonts w:eastAsia="宋体"/>
          <w:b/>
          <w:bCs/>
          <w:color w:val="000000"/>
          <w:sz w:val="24"/>
          <w:szCs w:val="24"/>
        </w:rPr>
      </w:pPr>
      <w:r>
        <w:rPr>
          <w:rFonts w:eastAsia="宋体"/>
          <w:b/>
          <w:bCs/>
          <w:color w:val="000000"/>
          <w:sz w:val="24"/>
          <w:szCs w:val="24"/>
        </w:rPr>
        <w:t>PMA</w:t>
      </w:r>
      <w:r>
        <w:rPr>
          <w:rFonts w:hint="eastAsia" w:eastAsia="宋体"/>
          <w:b/>
          <w:bCs/>
          <w:color w:val="000000"/>
          <w:sz w:val="24"/>
          <w:szCs w:val="24"/>
        </w:rPr>
        <w:t>验收</w:t>
      </w:r>
      <w:r>
        <w:rPr>
          <w:rFonts w:eastAsia="宋体"/>
          <w:b/>
          <w:bCs/>
          <w:color w:val="000000"/>
          <w:sz w:val="24"/>
          <w:szCs w:val="24"/>
        </w:rPr>
        <w:t>和</w:t>
      </w:r>
      <w:r>
        <w:rPr>
          <w:rFonts w:hint="eastAsia" w:eastAsia="宋体"/>
          <w:b/>
          <w:bCs/>
          <w:color w:val="000000"/>
          <w:sz w:val="24"/>
          <w:szCs w:val="24"/>
        </w:rPr>
        <w:t>备案</w:t>
      </w:r>
      <w:r>
        <w:rPr>
          <w:rFonts w:eastAsia="宋体"/>
          <w:b/>
          <w:bCs/>
          <w:color w:val="000000"/>
          <w:sz w:val="24"/>
          <w:szCs w:val="24"/>
        </w:rPr>
        <w:t>审评</w:t>
      </w:r>
    </w:p>
    <w:p>
      <w:pPr>
        <w:snapToGrid w:val="0"/>
        <w:spacing w:after="240" w:afterLines="100"/>
        <w:ind w:firstLine="480" w:firstLineChars="200"/>
        <w:jc w:val="both"/>
        <w:rPr>
          <w:rFonts w:eastAsia="宋体"/>
          <w:sz w:val="24"/>
          <w:szCs w:val="24"/>
        </w:rPr>
      </w:pPr>
      <w:r>
        <w:rPr>
          <w:rFonts w:ascii="宋体" w:hAnsi="宋体" w:eastAsia="宋体"/>
          <w:color w:val="000000"/>
          <w:sz w:val="24"/>
          <w:szCs w:val="24"/>
        </w:rPr>
        <w:t>“</w:t>
      </w:r>
      <w:r>
        <w:rPr>
          <w:rFonts w:hint="eastAsia" w:eastAsia="宋体"/>
          <w:color w:val="000000"/>
          <w:sz w:val="24"/>
          <w:szCs w:val="24"/>
        </w:rPr>
        <w:t>验收</w:t>
      </w:r>
      <w:r>
        <w:rPr>
          <w:rFonts w:ascii="宋体" w:hAnsi="宋体" w:eastAsia="宋体"/>
          <w:color w:val="000000"/>
          <w:sz w:val="24"/>
          <w:szCs w:val="24"/>
        </w:rPr>
        <w:t>”</w:t>
      </w:r>
      <w:r>
        <w:rPr>
          <w:rFonts w:eastAsia="宋体"/>
          <w:color w:val="000000"/>
          <w:sz w:val="24"/>
          <w:szCs w:val="24"/>
        </w:rPr>
        <w:t>申请或将其指定为</w:t>
      </w:r>
      <w:r>
        <w:rPr>
          <w:rFonts w:ascii="宋体" w:hAnsi="宋体" w:eastAsia="宋体"/>
          <w:color w:val="000000"/>
          <w:sz w:val="24"/>
          <w:szCs w:val="24"/>
        </w:rPr>
        <w:t>“</w:t>
      </w:r>
      <w:r>
        <w:rPr>
          <w:rFonts w:eastAsia="宋体"/>
          <w:color w:val="000000"/>
          <w:sz w:val="24"/>
          <w:szCs w:val="24"/>
        </w:rPr>
        <w:t>拒绝</w:t>
      </w:r>
      <w:r>
        <w:rPr>
          <w:rFonts w:hint="eastAsia" w:eastAsia="宋体"/>
          <w:color w:val="000000"/>
          <w:sz w:val="24"/>
          <w:szCs w:val="24"/>
        </w:rPr>
        <w:t>验收</w:t>
      </w:r>
      <w:r>
        <w:rPr>
          <w:rFonts w:ascii="宋体" w:hAnsi="宋体" w:eastAsia="宋体"/>
          <w:color w:val="000000"/>
          <w:sz w:val="24"/>
          <w:szCs w:val="24"/>
        </w:rPr>
        <w:t>”</w:t>
      </w:r>
      <w:r>
        <w:rPr>
          <w:rFonts w:eastAsia="宋体"/>
          <w:color w:val="000000"/>
          <w:sz w:val="24"/>
          <w:szCs w:val="24"/>
        </w:rPr>
        <w:t>的决定应由</w:t>
      </w:r>
      <w:r>
        <w:rPr>
          <w:rFonts w:hint="eastAsia" w:eastAsia="宋体"/>
          <w:color w:val="000000"/>
          <w:sz w:val="24"/>
          <w:szCs w:val="24"/>
        </w:rPr>
        <w:t>首席审评员</w:t>
      </w:r>
      <w:r>
        <w:rPr>
          <w:rFonts w:eastAsia="宋体"/>
          <w:color w:val="000000"/>
          <w:sz w:val="24"/>
          <w:szCs w:val="24"/>
        </w:rPr>
        <w:t>作出，并得到直接主管或被指派者的同意。应与PMA审评小组（例如，</w:t>
      </w:r>
      <w:r>
        <w:rPr>
          <w:rFonts w:hint="eastAsia" w:eastAsia="宋体"/>
          <w:color w:val="000000"/>
          <w:sz w:val="24"/>
          <w:szCs w:val="24"/>
          <w:highlight w:val="none"/>
        </w:rPr>
        <w:t>医务人员和统计员</w:t>
      </w:r>
      <w:r>
        <w:rPr>
          <w:rFonts w:eastAsia="宋体"/>
          <w:color w:val="000000"/>
          <w:sz w:val="24"/>
          <w:szCs w:val="24"/>
        </w:rPr>
        <w:t>）和审评部门的相关经理合作，在部门层面上作出</w:t>
      </w:r>
      <w:r>
        <w:rPr>
          <w:rFonts w:ascii="宋体" w:hAnsi="宋体" w:eastAsia="宋体"/>
          <w:color w:val="000000"/>
          <w:sz w:val="24"/>
          <w:szCs w:val="24"/>
        </w:rPr>
        <w:t>“</w:t>
      </w:r>
      <w:r>
        <w:rPr>
          <w:rFonts w:eastAsia="宋体"/>
          <w:color w:val="000000"/>
          <w:sz w:val="24"/>
          <w:szCs w:val="24"/>
        </w:rPr>
        <w:t>归档</w:t>
      </w:r>
      <w:r>
        <w:rPr>
          <w:rFonts w:ascii="宋体" w:hAnsi="宋体" w:eastAsia="宋体"/>
          <w:color w:val="000000"/>
          <w:sz w:val="24"/>
          <w:szCs w:val="24"/>
        </w:rPr>
        <w:t>”</w:t>
      </w:r>
      <w:r>
        <w:rPr>
          <w:rFonts w:eastAsia="宋体"/>
          <w:color w:val="000000"/>
          <w:sz w:val="24"/>
          <w:szCs w:val="24"/>
        </w:rPr>
        <w:t>或</w:t>
      </w:r>
      <w:r>
        <w:rPr>
          <w:rFonts w:ascii="宋体" w:hAnsi="宋体" w:eastAsia="宋体"/>
          <w:color w:val="000000"/>
          <w:sz w:val="24"/>
          <w:szCs w:val="24"/>
        </w:rPr>
        <w:t>“</w:t>
      </w:r>
      <w:r>
        <w:rPr>
          <w:rFonts w:eastAsia="宋体"/>
          <w:color w:val="000000"/>
          <w:sz w:val="24"/>
          <w:szCs w:val="24"/>
        </w:rPr>
        <w:t>不归档</w:t>
      </w:r>
      <w:r>
        <w:rPr>
          <w:rFonts w:ascii="宋体" w:hAnsi="宋体" w:eastAsia="宋体"/>
          <w:color w:val="000000"/>
          <w:sz w:val="24"/>
          <w:szCs w:val="24"/>
        </w:rPr>
        <w:t>”</w:t>
      </w:r>
      <w:r>
        <w:rPr>
          <w:rFonts w:eastAsia="宋体"/>
          <w:color w:val="000000"/>
          <w:sz w:val="24"/>
          <w:szCs w:val="24"/>
        </w:rPr>
        <w:t>PMA的决定。</w:t>
      </w:r>
    </w:p>
    <w:p>
      <w:pPr>
        <w:pStyle w:val="2"/>
        <w:tabs>
          <w:tab w:val="left" w:pos="-1418"/>
          <w:tab w:val="clear" w:pos="1274"/>
        </w:tabs>
        <w:spacing w:beforeLines="0" w:after="240"/>
        <w:ind w:left="643" w:hanging="643" w:hangingChars="200"/>
        <w:rPr>
          <w:rFonts w:eastAsia="宋体"/>
          <w:sz w:val="32"/>
          <w:szCs w:val="32"/>
        </w:rPr>
      </w:pPr>
      <w:r>
        <w:rPr>
          <w:rFonts w:eastAsia="宋体"/>
          <w:sz w:val="32"/>
          <w:szCs w:val="32"/>
        </w:rPr>
        <w:t>VIII.</w:t>
      </w:r>
      <w:r>
        <w:rPr>
          <w:rFonts w:eastAsia="宋体"/>
          <w:sz w:val="32"/>
          <w:szCs w:val="32"/>
        </w:rPr>
        <w:tab/>
      </w:r>
      <w:r>
        <w:rPr>
          <w:rFonts w:eastAsia="宋体"/>
          <w:sz w:val="32"/>
          <w:szCs w:val="32"/>
        </w:rPr>
        <w:t>检查表——初步问题</w:t>
      </w:r>
    </w:p>
    <w:p>
      <w:pPr>
        <w:snapToGrid w:val="0"/>
        <w:spacing w:after="240" w:afterLines="100"/>
        <w:ind w:firstLine="480" w:firstLineChars="200"/>
        <w:jc w:val="both"/>
        <w:rPr>
          <w:rFonts w:eastAsia="宋体"/>
          <w:color w:val="000000"/>
          <w:sz w:val="24"/>
          <w:szCs w:val="24"/>
        </w:rPr>
      </w:pPr>
      <w:r>
        <w:rPr>
          <w:rFonts w:eastAsia="宋体"/>
          <w:color w:val="000000"/>
          <w:sz w:val="24"/>
          <w:szCs w:val="24"/>
        </w:rPr>
        <w:t>在DCC收到PMA后的15个日历日内以及</w:t>
      </w:r>
      <w:r>
        <w:rPr>
          <w:rFonts w:hint="eastAsia" w:eastAsia="宋体"/>
          <w:color w:val="000000"/>
          <w:sz w:val="24"/>
          <w:szCs w:val="24"/>
        </w:rPr>
        <w:t>备案</w:t>
      </w:r>
      <w:r>
        <w:rPr>
          <w:rFonts w:eastAsia="宋体"/>
          <w:color w:val="000000"/>
          <w:sz w:val="24"/>
          <w:szCs w:val="24"/>
        </w:rPr>
        <w:t>审评之前，PMA</w:t>
      </w:r>
      <w:r>
        <w:rPr>
          <w:rFonts w:hint="eastAsia" w:eastAsia="宋体"/>
          <w:color w:val="000000"/>
          <w:sz w:val="24"/>
          <w:szCs w:val="24"/>
        </w:rPr>
        <w:t>首席审评员</w:t>
      </w:r>
      <w:r>
        <w:rPr>
          <w:rFonts w:eastAsia="宋体"/>
          <w:color w:val="000000"/>
          <w:sz w:val="24"/>
          <w:szCs w:val="24"/>
        </w:rPr>
        <w:t>应回答下列初步问题并填写行政</w:t>
      </w:r>
      <w:r>
        <w:rPr>
          <w:rFonts w:hint="eastAsia" w:eastAsia="宋体"/>
          <w:color w:val="000000"/>
          <w:sz w:val="24"/>
          <w:szCs w:val="24"/>
        </w:rPr>
        <w:t>检查表</w:t>
      </w:r>
      <w:r>
        <w:rPr>
          <w:rFonts w:eastAsia="宋体"/>
          <w:color w:val="000000"/>
          <w:sz w:val="24"/>
          <w:szCs w:val="24"/>
        </w:rPr>
        <w:t>中的组织和行政要素</w:t>
      </w:r>
      <w:r>
        <w:rPr>
          <w:rFonts w:hint="eastAsia" w:eastAsia="宋体"/>
          <w:color w:val="000000"/>
          <w:sz w:val="24"/>
          <w:szCs w:val="24"/>
        </w:rPr>
        <w:t>清单</w:t>
      </w:r>
      <w:r>
        <w:rPr>
          <w:rFonts w:eastAsia="宋体"/>
          <w:color w:val="000000"/>
          <w:sz w:val="24"/>
          <w:szCs w:val="24"/>
        </w:rPr>
        <w:t>，以作出</w:t>
      </w:r>
      <w:r>
        <w:rPr>
          <w:rFonts w:hint="eastAsia" w:eastAsia="宋体"/>
          <w:color w:val="000000"/>
          <w:sz w:val="24"/>
          <w:szCs w:val="24"/>
        </w:rPr>
        <w:t>验收</w:t>
      </w:r>
      <w:r>
        <w:rPr>
          <w:rFonts w:eastAsia="宋体"/>
          <w:color w:val="000000"/>
          <w:sz w:val="24"/>
          <w:szCs w:val="24"/>
        </w:rPr>
        <w:t>决定。</w:t>
      </w:r>
    </w:p>
    <w:p>
      <w:pPr>
        <w:snapToGrid w:val="0"/>
        <w:spacing w:after="240" w:afterLines="100"/>
        <w:ind w:firstLine="480" w:firstLineChars="200"/>
        <w:jc w:val="both"/>
        <w:rPr>
          <w:rFonts w:eastAsia="宋体"/>
          <w:color w:val="000000"/>
          <w:sz w:val="24"/>
          <w:szCs w:val="24"/>
        </w:rPr>
      </w:pPr>
      <w:r>
        <w:rPr>
          <w:rFonts w:eastAsia="宋体"/>
          <w:color w:val="000000"/>
          <w:sz w:val="24"/>
          <w:szCs w:val="24"/>
        </w:rPr>
        <w:t>初步问题包含在</w:t>
      </w:r>
      <w:r>
        <w:rPr>
          <w:rFonts w:ascii="宋体" w:hAnsi="宋体" w:eastAsia="宋体"/>
          <w:color w:val="000000"/>
          <w:sz w:val="24"/>
          <w:szCs w:val="24"/>
        </w:rPr>
        <w:t>“</w:t>
      </w:r>
      <w:r>
        <w:rPr>
          <w:rFonts w:hint="eastAsia" w:eastAsia="宋体"/>
          <w:color w:val="000000"/>
          <w:sz w:val="24"/>
          <w:szCs w:val="24"/>
        </w:rPr>
        <w:t>验收</w:t>
      </w:r>
      <w:r>
        <w:rPr>
          <w:rFonts w:eastAsia="宋体"/>
          <w:color w:val="000000"/>
          <w:sz w:val="24"/>
          <w:szCs w:val="24"/>
        </w:rPr>
        <w:t>和备案PMA</w:t>
      </w:r>
      <w:r>
        <w:rPr>
          <w:rFonts w:hint="eastAsia" w:eastAsia="宋体"/>
          <w:color w:val="000000"/>
          <w:sz w:val="24"/>
          <w:szCs w:val="24"/>
        </w:rPr>
        <w:t>检查表</w:t>
      </w:r>
      <w:r>
        <w:rPr>
          <w:rFonts w:ascii="宋体" w:hAnsi="宋体" w:eastAsia="宋体"/>
          <w:color w:val="000000"/>
          <w:sz w:val="24"/>
          <w:szCs w:val="24"/>
        </w:rPr>
        <w:t>”</w:t>
      </w:r>
      <w:r>
        <w:rPr>
          <w:rFonts w:eastAsia="宋体"/>
          <w:color w:val="000000"/>
          <w:sz w:val="24"/>
          <w:szCs w:val="24"/>
        </w:rPr>
        <w:t>的第一页，作为申请的初步筛选，</w:t>
      </w:r>
      <w:r>
        <w:rPr>
          <w:rFonts w:hint="eastAsia" w:eastAsia="宋体"/>
          <w:color w:val="000000"/>
          <w:sz w:val="24"/>
          <w:szCs w:val="24"/>
        </w:rPr>
        <w:t>首席审评员</w:t>
      </w:r>
      <w:r>
        <w:rPr>
          <w:rFonts w:eastAsia="宋体"/>
          <w:color w:val="000000"/>
          <w:sz w:val="24"/>
          <w:szCs w:val="24"/>
        </w:rPr>
        <w:t>将回答这些问题。FDA不打算让申请人在其申请中处理这些项目。根据这些初步问题的答案，可能需要或不需要进行其余的</w:t>
      </w:r>
      <w:r>
        <w:rPr>
          <w:rFonts w:hint="eastAsia" w:eastAsia="宋体"/>
          <w:color w:val="000000"/>
          <w:sz w:val="24"/>
          <w:szCs w:val="24"/>
        </w:rPr>
        <w:t>验收</w:t>
      </w:r>
      <w:r>
        <w:rPr>
          <w:rFonts w:eastAsia="宋体"/>
          <w:color w:val="000000"/>
          <w:sz w:val="24"/>
          <w:szCs w:val="24"/>
        </w:rPr>
        <w:t>和备案审评。如果</w:t>
      </w:r>
      <w:r>
        <w:rPr>
          <w:rFonts w:hint="eastAsia" w:eastAsia="宋体"/>
          <w:color w:val="000000"/>
          <w:sz w:val="24"/>
          <w:szCs w:val="24"/>
        </w:rPr>
        <w:t>首席审评员</w:t>
      </w:r>
      <w:r>
        <w:rPr>
          <w:rFonts w:eastAsia="宋体"/>
          <w:color w:val="000000"/>
          <w:sz w:val="24"/>
          <w:szCs w:val="24"/>
        </w:rPr>
        <w:t>对初步问题的回复以及随后与下列</w:t>
      </w:r>
      <w:r>
        <w:rPr>
          <w:rFonts w:hint="eastAsia" w:eastAsia="宋体"/>
          <w:color w:val="000000"/>
          <w:sz w:val="24"/>
          <w:szCs w:val="24"/>
        </w:rPr>
        <w:t>中心</w:t>
      </w:r>
      <w:r>
        <w:rPr>
          <w:rFonts w:eastAsia="宋体"/>
          <w:color w:val="000000"/>
          <w:sz w:val="24"/>
          <w:szCs w:val="24"/>
        </w:rPr>
        <w:t>工作人员的协商表明不应继续进行PMA</w:t>
      </w:r>
      <w:r>
        <w:rPr>
          <w:rFonts w:hint="eastAsia" w:eastAsia="宋体"/>
          <w:color w:val="000000"/>
          <w:sz w:val="24"/>
          <w:szCs w:val="24"/>
        </w:rPr>
        <w:t>验收</w:t>
      </w:r>
      <w:r>
        <w:rPr>
          <w:rFonts w:eastAsia="宋体"/>
          <w:color w:val="000000"/>
          <w:sz w:val="24"/>
          <w:szCs w:val="24"/>
        </w:rPr>
        <w:t>和备案审评，则</w:t>
      </w:r>
      <w:r>
        <w:rPr>
          <w:rFonts w:hint="eastAsia" w:eastAsia="宋体"/>
          <w:color w:val="000000"/>
          <w:sz w:val="24"/>
          <w:szCs w:val="24"/>
        </w:rPr>
        <w:t>首席审评员</w:t>
      </w:r>
      <w:r>
        <w:rPr>
          <w:rFonts w:eastAsia="宋体"/>
          <w:color w:val="000000"/>
          <w:sz w:val="24"/>
          <w:szCs w:val="24"/>
        </w:rPr>
        <w:t>应及时：</w:t>
      </w:r>
    </w:p>
    <w:p>
      <w:pPr>
        <w:snapToGrid w:val="0"/>
        <w:spacing w:after="240" w:afterLines="100"/>
        <w:ind w:left="674" w:leftChars="157"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通知PMA审评小组（包括咨询审评员）；以及</w:t>
      </w:r>
    </w:p>
    <w:p>
      <w:pPr>
        <w:snapToGrid w:val="0"/>
        <w:spacing w:after="240" w:afterLines="100"/>
        <w:ind w:left="674" w:leftChars="157"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使用适当的</w:t>
      </w:r>
      <w:r>
        <w:rPr>
          <w:rFonts w:hint="eastAsia" w:eastAsia="宋体"/>
          <w:color w:val="000000"/>
          <w:sz w:val="24"/>
          <w:szCs w:val="24"/>
        </w:rPr>
        <w:t>行政</w:t>
      </w:r>
      <w:r>
        <w:rPr>
          <w:rFonts w:eastAsia="宋体"/>
          <w:color w:val="000000"/>
          <w:sz w:val="24"/>
          <w:szCs w:val="24"/>
        </w:rPr>
        <w:t>程序通知申请人。</w:t>
      </w:r>
    </w:p>
    <w:p>
      <w:pPr>
        <w:snapToGrid w:val="0"/>
        <w:spacing w:after="240" w:afterLines="100"/>
        <w:ind w:firstLine="480" w:firstLineChars="200"/>
        <w:jc w:val="both"/>
        <w:rPr>
          <w:rFonts w:eastAsia="宋体"/>
          <w:color w:val="000000"/>
          <w:sz w:val="24"/>
          <w:szCs w:val="24"/>
        </w:rPr>
      </w:pPr>
      <w:r>
        <w:rPr>
          <w:rFonts w:eastAsia="宋体"/>
          <w:color w:val="000000"/>
          <w:sz w:val="24"/>
          <w:szCs w:val="24"/>
        </w:rPr>
        <w:t>初步问题是：</w:t>
      </w:r>
    </w:p>
    <w:p>
      <w:pPr>
        <w:snapToGrid w:val="0"/>
        <w:spacing w:after="240" w:afterLines="100"/>
        <w:ind w:left="361" w:hanging="361" w:hangingChars="150"/>
        <w:jc w:val="both"/>
        <w:rPr>
          <w:rFonts w:eastAsia="宋体"/>
          <w:b/>
          <w:bCs/>
          <w:color w:val="000000"/>
          <w:sz w:val="24"/>
          <w:szCs w:val="24"/>
        </w:rPr>
      </w:pPr>
      <w:r>
        <w:rPr>
          <w:rFonts w:eastAsia="宋体"/>
          <w:b/>
          <w:bCs/>
          <w:color w:val="000000"/>
          <w:sz w:val="24"/>
          <w:szCs w:val="24"/>
        </w:rPr>
        <w:t>1.</w:t>
      </w:r>
      <w:r>
        <w:rPr>
          <w:rFonts w:eastAsia="宋体"/>
          <w:b/>
          <w:bCs/>
          <w:color w:val="000000"/>
          <w:sz w:val="24"/>
          <w:szCs w:val="24"/>
        </w:rPr>
        <w:tab/>
      </w:r>
      <w:r>
        <w:rPr>
          <w:rFonts w:eastAsia="宋体"/>
          <w:b/>
          <w:bCs/>
          <w:color w:val="000000"/>
          <w:sz w:val="24"/>
          <w:szCs w:val="24"/>
        </w:rPr>
        <w:t>产品是器械（根据《FD&amp;C法案》第201（h）</w:t>
      </w:r>
      <w:r>
        <w:rPr>
          <w:rFonts w:hint="eastAsia" w:eastAsia="宋体"/>
          <w:b/>
          <w:bCs/>
          <w:color w:val="000000"/>
          <w:sz w:val="24"/>
          <w:szCs w:val="24"/>
        </w:rPr>
        <w:t>节</w:t>
      </w:r>
      <w:r>
        <w:rPr>
          <w:rFonts w:eastAsia="宋体"/>
          <w:b/>
          <w:bCs/>
          <w:color w:val="000000"/>
          <w:sz w:val="24"/>
          <w:szCs w:val="24"/>
        </w:rPr>
        <w:t>）还是组合产品（根据21 CFR 3.2（e）），其器械组成部分是否需要在PMA下进行审评？</w:t>
      </w:r>
    </w:p>
    <w:p>
      <w:pPr>
        <w:snapToGrid w:val="0"/>
        <w:spacing w:after="240" w:afterLines="100"/>
        <w:ind w:left="314" w:leftChars="157" w:firstLine="480" w:firstLineChars="200"/>
        <w:jc w:val="both"/>
        <w:rPr>
          <w:rFonts w:eastAsia="宋体"/>
          <w:sz w:val="24"/>
          <w:szCs w:val="24"/>
        </w:rPr>
      </w:pPr>
      <w:r>
        <w:rPr>
          <w:rFonts w:eastAsia="宋体"/>
          <w:color w:val="000000"/>
          <w:sz w:val="24"/>
          <w:szCs w:val="24"/>
        </w:rPr>
        <w:t>如果产品不符合《FD&amp;C法案》第201（h）</w:t>
      </w:r>
      <w:r>
        <w:rPr>
          <w:rFonts w:hint="eastAsia" w:eastAsia="宋体"/>
          <w:color w:val="000000"/>
          <w:sz w:val="24"/>
          <w:szCs w:val="24"/>
        </w:rPr>
        <w:t>节</w:t>
      </w:r>
      <w:r>
        <w:rPr>
          <w:rFonts w:eastAsia="宋体"/>
          <w:color w:val="000000"/>
          <w:sz w:val="24"/>
          <w:szCs w:val="24"/>
        </w:rPr>
        <w:t>规定的器械定义，或者不属于需进行PMA审评的器械组成部分的组合产品，则</w:t>
      </w:r>
      <w:r>
        <w:rPr>
          <w:rFonts w:hint="eastAsia" w:eastAsia="宋体"/>
          <w:color w:val="000000"/>
          <w:sz w:val="24"/>
          <w:szCs w:val="24"/>
        </w:rPr>
        <w:t>首席审评员</w:t>
      </w:r>
      <w:r>
        <w:rPr>
          <w:rFonts w:eastAsia="宋体"/>
          <w:color w:val="000000"/>
          <w:sz w:val="24"/>
          <w:szCs w:val="24"/>
        </w:rPr>
        <w:t>应咨询CDRH产品管辖官或CBER产品管辖官，以确定适当的措施，并通知部门管理人员。如果他们认为该产品不是需要进行PMA审评的器械或具有器械组成部分的组合产品，则PMA审评小组应停止审评并通知申请人。</w:t>
      </w:r>
    </w:p>
    <w:p>
      <w:pPr>
        <w:snapToGrid w:val="0"/>
        <w:spacing w:after="240" w:afterLines="100"/>
        <w:jc w:val="both"/>
        <w:rPr>
          <w:rFonts w:eastAsia="宋体"/>
          <w:sz w:val="21"/>
          <w:szCs w:val="21"/>
        </w:rPr>
      </w:pPr>
    </w:p>
    <w:p>
      <w:pPr>
        <w:snapToGrid w:val="0"/>
        <w:spacing w:after="240" w:afterLines="100"/>
        <w:jc w:val="both"/>
        <w:rPr>
          <w:rFonts w:eastAsia="宋体"/>
          <w:sz w:val="21"/>
          <w:szCs w:val="21"/>
        </w:rPr>
        <w:sectPr>
          <w:pgSz w:w="11906" w:h="16838"/>
          <w:pgMar w:top="1134" w:right="1134" w:bottom="1134" w:left="1418" w:header="567" w:footer="567" w:gutter="0"/>
          <w:cols w:space="60" w:num="1"/>
          <w:docGrid w:linePitch="272" w:charSpace="0"/>
        </w:sectPr>
      </w:pPr>
    </w:p>
    <w:p>
      <w:pPr>
        <w:snapToGrid w:val="0"/>
        <w:spacing w:after="240" w:afterLines="100"/>
        <w:ind w:left="361" w:hanging="361" w:hangingChars="150"/>
        <w:jc w:val="both"/>
        <w:rPr>
          <w:rFonts w:eastAsia="宋体"/>
          <w:sz w:val="24"/>
          <w:szCs w:val="24"/>
        </w:rPr>
      </w:pPr>
      <w:r>
        <w:rPr>
          <w:rFonts w:eastAsia="宋体"/>
          <w:b/>
          <w:bCs/>
          <w:color w:val="000000"/>
          <w:sz w:val="24"/>
          <w:szCs w:val="24"/>
        </w:rPr>
        <w:t>2.</w:t>
      </w:r>
      <w:r>
        <w:rPr>
          <w:rFonts w:eastAsia="宋体"/>
          <w:b/>
          <w:bCs/>
          <w:color w:val="000000"/>
          <w:sz w:val="24"/>
          <w:szCs w:val="24"/>
        </w:rPr>
        <w:tab/>
      </w:r>
      <w:r>
        <w:rPr>
          <w:rFonts w:hint="eastAsia" w:eastAsia="宋体"/>
          <w:b/>
          <w:bCs/>
          <w:color w:val="000000"/>
          <w:sz w:val="24"/>
          <w:szCs w:val="24"/>
        </w:rPr>
        <w:t>申请是否由适当的中心提出</w:t>
      </w:r>
      <w:r>
        <w:rPr>
          <w:rFonts w:eastAsia="宋体"/>
          <w:b/>
          <w:bCs/>
          <w:color w:val="000000"/>
          <w:sz w:val="24"/>
          <w:szCs w:val="24"/>
        </w:rPr>
        <w:t>？</w:t>
      </w:r>
    </w:p>
    <w:p>
      <w:pPr>
        <w:snapToGrid w:val="0"/>
        <w:spacing w:after="240" w:afterLines="100"/>
        <w:ind w:left="314" w:leftChars="157" w:firstLine="480" w:firstLineChars="200"/>
        <w:jc w:val="both"/>
        <w:rPr>
          <w:rFonts w:eastAsia="宋体"/>
          <w:color w:val="000000"/>
          <w:sz w:val="24"/>
          <w:szCs w:val="24"/>
        </w:rPr>
      </w:pPr>
      <w:r>
        <w:rPr>
          <w:rFonts w:eastAsia="宋体"/>
          <w:color w:val="000000"/>
          <w:sz w:val="24"/>
          <w:szCs w:val="24"/>
        </w:rPr>
        <w:t>如果申请是针对单一实体器械，并且似乎需要在与其所提交</w:t>
      </w:r>
      <w:r>
        <w:rPr>
          <w:rFonts w:hint="eastAsia" w:eastAsia="宋体"/>
          <w:color w:val="000000"/>
          <w:sz w:val="24"/>
          <w:szCs w:val="24"/>
        </w:rPr>
        <w:t>的中心所</w:t>
      </w:r>
      <w:r>
        <w:rPr>
          <w:rFonts w:eastAsia="宋体"/>
          <w:color w:val="000000"/>
          <w:sz w:val="24"/>
          <w:szCs w:val="24"/>
        </w:rPr>
        <w:t>不同</w:t>
      </w:r>
      <w:r>
        <w:rPr>
          <w:rFonts w:hint="eastAsia" w:eastAsia="宋体"/>
          <w:color w:val="000000"/>
          <w:sz w:val="24"/>
          <w:szCs w:val="24"/>
        </w:rPr>
        <w:t>的中心</w:t>
      </w:r>
      <w:r>
        <w:rPr>
          <w:rFonts w:eastAsia="宋体"/>
          <w:color w:val="000000"/>
          <w:sz w:val="24"/>
          <w:szCs w:val="24"/>
        </w:rPr>
        <w:t>进行审评，或者如果申请是针对具有器械组成部分的组合产品，且似乎是由与其所提交的</w:t>
      </w:r>
      <w:r>
        <w:rPr>
          <w:rFonts w:hint="eastAsia" w:eastAsia="宋体"/>
          <w:color w:val="000000"/>
          <w:sz w:val="24"/>
          <w:szCs w:val="24"/>
        </w:rPr>
        <w:t>中心所</w:t>
      </w:r>
      <w:r>
        <w:rPr>
          <w:rFonts w:eastAsia="宋体"/>
          <w:color w:val="000000"/>
          <w:sz w:val="24"/>
          <w:szCs w:val="24"/>
        </w:rPr>
        <w:t>不同</w:t>
      </w:r>
      <w:r>
        <w:rPr>
          <w:rFonts w:hint="eastAsia" w:eastAsia="宋体"/>
          <w:color w:val="000000"/>
          <w:sz w:val="24"/>
          <w:szCs w:val="24"/>
        </w:rPr>
        <w:t>的中心负责</w:t>
      </w:r>
      <w:r>
        <w:rPr>
          <w:rFonts w:eastAsia="宋体"/>
          <w:color w:val="000000"/>
          <w:sz w:val="24"/>
          <w:szCs w:val="24"/>
        </w:rPr>
        <w:t>，则</w:t>
      </w:r>
      <w:r>
        <w:rPr>
          <w:rFonts w:hint="eastAsia" w:eastAsia="宋体"/>
          <w:color w:val="000000"/>
          <w:sz w:val="24"/>
          <w:szCs w:val="24"/>
        </w:rPr>
        <w:t>首席</w:t>
      </w:r>
      <w:r>
        <w:rPr>
          <w:rFonts w:eastAsia="宋体"/>
          <w:color w:val="000000"/>
          <w:sz w:val="24"/>
          <w:szCs w:val="24"/>
        </w:rPr>
        <w:t>审评</w:t>
      </w:r>
      <w:r>
        <w:rPr>
          <w:rFonts w:hint="eastAsia" w:eastAsia="宋体"/>
          <w:color w:val="000000"/>
          <w:sz w:val="24"/>
          <w:szCs w:val="24"/>
        </w:rPr>
        <w:t>员</w:t>
      </w:r>
      <w:r>
        <w:rPr>
          <w:rFonts w:eastAsia="宋体"/>
          <w:color w:val="000000"/>
          <w:sz w:val="24"/>
          <w:szCs w:val="24"/>
        </w:rPr>
        <w:t>应咨询CDRH</w:t>
      </w:r>
      <w:r>
        <w:rPr>
          <w:rFonts w:hint="eastAsia" w:eastAsia="宋体"/>
          <w:color w:val="000000"/>
          <w:sz w:val="24"/>
          <w:szCs w:val="24"/>
        </w:rPr>
        <w:t>产品管辖官或</w:t>
      </w:r>
      <w:r>
        <w:rPr>
          <w:rFonts w:eastAsia="宋体"/>
          <w:color w:val="000000"/>
          <w:sz w:val="24"/>
          <w:szCs w:val="24"/>
        </w:rPr>
        <w:t>CBER</w:t>
      </w:r>
      <w:r>
        <w:rPr>
          <w:rFonts w:hint="eastAsia" w:eastAsia="宋体"/>
          <w:color w:val="000000"/>
          <w:sz w:val="24"/>
          <w:szCs w:val="24"/>
        </w:rPr>
        <w:t>产品管辖官</w:t>
      </w:r>
      <w:r>
        <w:rPr>
          <w:rFonts w:eastAsia="宋体"/>
          <w:color w:val="000000"/>
          <w:sz w:val="24"/>
          <w:szCs w:val="24"/>
        </w:rPr>
        <w:t>，以确定适当的措施并通知部门管理人员。如果向</w:t>
      </w:r>
      <w:r>
        <w:rPr>
          <w:rFonts w:hint="eastAsia" w:eastAsia="宋体"/>
          <w:color w:val="000000"/>
          <w:sz w:val="24"/>
          <w:szCs w:val="24"/>
        </w:rPr>
        <w:t>CDRH</w:t>
      </w:r>
      <w:r>
        <w:rPr>
          <w:rFonts w:eastAsia="宋体"/>
          <w:color w:val="000000"/>
          <w:sz w:val="24"/>
          <w:szCs w:val="24"/>
        </w:rPr>
        <w:t>提交了</w:t>
      </w:r>
      <w:r>
        <w:rPr>
          <w:rFonts w:hint="eastAsia" w:eastAsia="宋体"/>
          <w:color w:val="000000"/>
          <w:sz w:val="24"/>
          <w:szCs w:val="24"/>
        </w:rPr>
        <w:t>PMA</w:t>
      </w:r>
      <w:r>
        <w:rPr>
          <w:rFonts w:eastAsia="宋体"/>
          <w:color w:val="000000"/>
          <w:sz w:val="24"/>
          <w:szCs w:val="24"/>
        </w:rPr>
        <w:t>，且</w:t>
      </w:r>
      <w:r>
        <w:rPr>
          <w:rFonts w:hint="eastAsia" w:eastAsia="宋体"/>
          <w:color w:val="000000"/>
          <w:sz w:val="24"/>
          <w:szCs w:val="24"/>
        </w:rPr>
        <w:t>CDRH</w:t>
      </w:r>
      <w:r>
        <w:rPr>
          <w:rFonts w:eastAsia="宋体"/>
          <w:color w:val="000000"/>
          <w:sz w:val="24"/>
          <w:szCs w:val="24"/>
        </w:rPr>
        <w:t>工作人员确定该申请无需接受</w:t>
      </w:r>
      <w:r>
        <w:rPr>
          <w:rFonts w:hint="eastAsia" w:eastAsia="宋体"/>
          <w:color w:val="000000"/>
          <w:sz w:val="24"/>
          <w:szCs w:val="24"/>
        </w:rPr>
        <w:t>CDRH</w:t>
      </w:r>
      <w:r>
        <w:rPr>
          <w:rFonts w:eastAsia="宋体"/>
          <w:color w:val="000000"/>
          <w:sz w:val="24"/>
          <w:szCs w:val="24"/>
        </w:rPr>
        <w:t>审评，或者向</w:t>
      </w:r>
      <w:r>
        <w:rPr>
          <w:rFonts w:hint="eastAsia" w:eastAsia="宋体"/>
          <w:color w:val="000000"/>
          <w:sz w:val="24"/>
          <w:szCs w:val="24"/>
        </w:rPr>
        <w:t>CBER</w:t>
      </w:r>
      <w:r>
        <w:rPr>
          <w:rFonts w:eastAsia="宋体"/>
          <w:color w:val="000000"/>
          <w:sz w:val="24"/>
          <w:szCs w:val="24"/>
        </w:rPr>
        <w:t>提交了</w:t>
      </w:r>
      <w:r>
        <w:rPr>
          <w:rFonts w:hint="eastAsia" w:eastAsia="宋体"/>
          <w:color w:val="000000"/>
          <w:sz w:val="24"/>
          <w:szCs w:val="24"/>
        </w:rPr>
        <w:t>PMA</w:t>
      </w:r>
      <w:r>
        <w:rPr>
          <w:rFonts w:eastAsia="宋体"/>
          <w:color w:val="000000"/>
          <w:sz w:val="24"/>
          <w:szCs w:val="24"/>
        </w:rPr>
        <w:t>，且</w:t>
      </w:r>
      <w:r>
        <w:rPr>
          <w:rFonts w:hint="eastAsia" w:eastAsia="宋体"/>
          <w:color w:val="000000"/>
          <w:sz w:val="24"/>
          <w:szCs w:val="24"/>
        </w:rPr>
        <w:t>CBER</w:t>
      </w:r>
      <w:r>
        <w:rPr>
          <w:rFonts w:eastAsia="宋体"/>
          <w:color w:val="000000"/>
          <w:sz w:val="24"/>
          <w:szCs w:val="24"/>
        </w:rPr>
        <w:t>工作人员确定该申请无需接受</w:t>
      </w:r>
      <w:r>
        <w:rPr>
          <w:rFonts w:hint="eastAsia" w:eastAsia="宋体"/>
          <w:color w:val="000000"/>
          <w:sz w:val="24"/>
          <w:szCs w:val="24"/>
        </w:rPr>
        <w:t>CBER</w:t>
      </w:r>
      <w:r>
        <w:rPr>
          <w:rFonts w:eastAsia="宋体"/>
          <w:color w:val="000000"/>
          <w:sz w:val="24"/>
          <w:szCs w:val="24"/>
        </w:rPr>
        <w:t>审评，则</w:t>
      </w:r>
      <w:r>
        <w:rPr>
          <w:rFonts w:hint="eastAsia" w:eastAsia="宋体"/>
          <w:color w:val="000000"/>
          <w:sz w:val="24"/>
          <w:szCs w:val="24"/>
        </w:rPr>
        <w:t>PMA</w:t>
      </w:r>
      <w:r>
        <w:rPr>
          <w:rFonts w:eastAsia="宋体"/>
          <w:color w:val="000000"/>
          <w:sz w:val="24"/>
          <w:szCs w:val="24"/>
        </w:rPr>
        <w:t>审评小组应停止审评并以</w:t>
      </w:r>
      <w:r>
        <w:rPr>
          <w:rFonts w:hint="eastAsia" w:eastAsia="宋体"/>
          <w:color w:val="000000"/>
          <w:sz w:val="24"/>
          <w:szCs w:val="24"/>
        </w:rPr>
        <w:t>电子方式</w:t>
      </w:r>
      <w:r>
        <w:rPr>
          <w:rFonts w:eastAsia="宋体"/>
          <w:color w:val="000000"/>
          <w:sz w:val="24"/>
          <w:szCs w:val="24"/>
        </w:rPr>
        <w:t>通知申请人。</w:t>
      </w:r>
    </w:p>
    <w:p>
      <w:pPr>
        <w:snapToGrid w:val="0"/>
        <w:spacing w:after="120" w:afterLines="50"/>
        <w:ind w:left="361" w:hanging="361" w:hangingChars="150"/>
        <w:jc w:val="both"/>
        <w:rPr>
          <w:rFonts w:eastAsia="宋体"/>
          <w:sz w:val="24"/>
          <w:szCs w:val="24"/>
        </w:rPr>
      </w:pPr>
      <w:r>
        <w:rPr>
          <w:rFonts w:eastAsia="宋体"/>
          <w:b/>
          <w:bCs/>
          <w:color w:val="000000"/>
          <w:sz w:val="24"/>
          <w:szCs w:val="24"/>
        </w:rPr>
        <w:t>3.</w:t>
      </w:r>
      <w:r>
        <w:rPr>
          <w:rFonts w:eastAsia="宋体"/>
          <w:b/>
          <w:bCs/>
          <w:color w:val="000000"/>
          <w:sz w:val="24"/>
          <w:szCs w:val="24"/>
        </w:rPr>
        <w:tab/>
      </w:r>
      <w:r>
        <w:rPr>
          <w:rFonts w:eastAsia="宋体"/>
          <w:b/>
          <w:bCs/>
          <w:color w:val="000000"/>
          <w:sz w:val="24"/>
          <w:szCs w:val="24"/>
        </w:rPr>
        <w:t>如果针对具有器械组成部件的器械或组合产品提交了界定</w:t>
      </w:r>
      <w:r>
        <w:rPr>
          <w:rFonts w:hint="eastAsia" w:eastAsia="宋体"/>
          <w:b/>
          <w:bCs/>
          <w:color w:val="000000"/>
          <w:sz w:val="24"/>
          <w:szCs w:val="24"/>
        </w:rPr>
        <w:t>请求</w:t>
      </w:r>
      <w:r>
        <w:rPr>
          <w:rFonts w:eastAsia="宋体"/>
          <w:b/>
          <w:bCs/>
          <w:color w:val="000000"/>
          <w:sz w:val="24"/>
          <w:szCs w:val="24"/>
        </w:rPr>
        <w:t>（RFD）并将其分配给您的中心，请确定RFD</w:t>
      </w:r>
      <w:r>
        <w:rPr>
          <w:rFonts w:hint="eastAsia" w:eastAsia="宋体"/>
          <w:b/>
          <w:bCs/>
          <w:color w:val="000000"/>
          <w:sz w:val="24"/>
          <w:szCs w:val="24"/>
          <w:highlight w:val="none"/>
        </w:rPr>
        <w:t>编号</w:t>
      </w:r>
      <w:r>
        <w:rPr>
          <w:rFonts w:eastAsia="宋体"/>
          <w:b/>
          <w:bCs/>
          <w:color w:val="000000"/>
          <w:sz w:val="24"/>
          <w:szCs w:val="24"/>
        </w:rPr>
        <w:t>并确认以下内容：</w:t>
      </w:r>
    </w:p>
    <w:p>
      <w:pPr>
        <w:snapToGrid w:val="0"/>
        <w:spacing w:after="120" w:afterLines="50"/>
        <w:ind w:left="1275" w:leftChars="480" w:hanging="315"/>
        <w:jc w:val="both"/>
        <w:rPr>
          <w:rFonts w:eastAsia="宋体"/>
          <w:color w:val="000000"/>
          <w:sz w:val="24"/>
          <w:szCs w:val="24"/>
        </w:rPr>
      </w:pPr>
      <w:r>
        <w:rPr>
          <w:rFonts w:eastAsia="宋体"/>
          <w:b/>
          <w:bCs/>
          <w:color w:val="000000"/>
          <w:sz w:val="24"/>
          <w:szCs w:val="24"/>
        </w:rPr>
        <w:t>•</w:t>
      </w:r>
      <w:r>
        <w:rPr>
          <w:rFonts w:eastAsia="宋体"/>
          <w:b/>
          <w:bCs/>
          <w:color w:val="000000"/>
          <w:sz w:val="24"/>
          <w:szCs w:val="24"/>
        </w:rPr>
        <w:tab/>
      </w:r>
      <w:r>
        <w:rPr>
          <w:rFonts w:eastAsia="宋体"/>
          <w:b/>
          <w:bCs/>
          <w:color w:val="000000"/>
          <w:sz w:val="24"/>
          <w:szCs w:val="24"/>
        </w:rPr>
        <w:t>器械或组合产品是否与RFD</w:t>
      </w:r>
      <w:r>
        <w:rPr>
          <w:rFonts w:hint="eastAsia" w:eastAsia="宋体"/>
          <w:b/>
          <w:bCs/>
          <w:color w:val="000000"/>
          <w:sz w:val="24"/>
          <w:szCs w:val="24"/>
        </w:rPr>
        <w:t>申请</w:t>
      </w:r>
      <w:r>
        <w:rPr>
          <w:rFonts w:eastAsia="宋体"/>
          <w:b/>
          <w:bCs/>
          <w:color w:val="000000"/>
          <w:sz w:val="24"/>
          <w:szCs w:val="24"/>
        </w:rPr>
        <w:t>中的产品相同（例如，设计、配方）？</w:t>
      </w:r>
    </w:p>
    <w:p>
      <w:pPr>
        <w:snapToGrid w:val="0"/>
        <w:spacing w:after="240" w:afterLines="100"/>
        <w:ind w:left="1275" w:leftChars="480" w:hanging="315"/>
        <w:jc w:val="both"/>
        <w:rPr>
          <w:rFonts w:eastAsia="宋体"/>
          <w:color w:val="000000"/>
          <w:sz w:val="24"/>
          <w:szCs w:val="24"/>
        </w:rPr>
      </w:pPr>
      <w:r>
        <w:rPr>
          <w:rFonts w:eastAsia="宋体"/>
          <w:b/>
          <w:bCs/>
          <w:color w:val="000000"/>
          <w:sz w:val="24"/>
          <w:szCs w:val="24"/>
        </w:rPr>
        <w:t>•</w:t>
      </w:r>
      <w:r>
        <w:rPr>
          <w:rFonts w:eastAsia="宋体"/>
          <w:b/>
          <w:bCs/>
          <w:color w:val="000000"/>
          <w:sz w:val="24"/>
          <w:szCs w:val="24"/>
        </w:rPr>
        <w:tab/>
      </w:r>
      <w:r>
        <w:rPr>
          <w:rFonts w:eastAsia="宋体"/>
          <w:b/>
          <w:bCs/>
          <w:color w:val="000000"/>
          <w:sz w:val="24"/>
          <w:szCs w:val="24"/>
        </w:rPr>
        <w:t>PMA中确定的器械或组合产品的适应症是否与RFD</w:t>
      </w:r>
      <w:r>
        <w:rPr>
          <w:rFonts w:hint="eastAsia" w:eastAsia="宋体"/>
          <w:b/>
          <w:bCs/>
          <w:color w:val="000000"/>
          <w:sz w:val="24"/>
          <w:szCs w:val="24"/>
        </w:rPr>
        <w:t>申请</w:t>
      </w:r>
      <w:r>
        <w:rPr>
          <w:rFonts w:eastAsia="宋体"/>
          <w:b/>
          <w:bCs/>
          <w:color w:val="000000"/>
          <w:sz w:val="24"/>
          <w:szCs w:val="24"/>
        </w:rPr>
        <w:t>中确定的适应症相同？</w:t>
      </w:r>
    </w:p>
    <w:p>
      <w:pPr>
        <w:snapToGrid w:val="0"/>
        <w:spacing w:after="240" w:afterLines="100"/>
        <w:ind w:left="314" w:leftChars="157" w:firstLine="480" w:firstLineChars="200"/>
        <w:jc w:val="both"/>
        <w:rPr>
          <w:rFonts w:eastAsia="宋体"/>
          <w:color w:val="000000"/>
          <w:sz w:val="24"/>
          <w:szCs w:val="24"/>
        </w:rPr>
      </w:pPr>
      <w:r>
        <w:rPr>
          <w:rFonts w:eastAsia="宋体"/>
          <w:color w:val="000000"/>
          <w:sz w:val="24"/>
          <w:szCs w:val="24"/>
        </w:rPr>
        <w:t>RFD判定针对器械或组合产品以及RFD</w:t>
      </w:r>
      <w:r>
        <w:rPr>
          <w:rFonts w:hint="eastAsia" w:eastAsia="宋体"/>
          <w:color w:val="000000"/>
          <w:sz w:val="24"/>
          <w:szCs w:val="24"/>
        </w:rPr>
        <w:t>申请</w:t>
      </w:r>
      <w:r>
        <w:rPr>
          <w:rFonts w:eastAsia="宋体"/>
          <w:color w:val="000000"/>
          <w:sz w:val="24"/>
          <w:szCs w:val="24"/>
        </w:rPr>
        <w:t>中所述器械或组合产品的适应症。自RFD以来，如果器械或组合产品已被修改或适应症已被修改，则RFD确定可能不再适用，可能需要由组合产品办公室（OCP）重新评估管辖权。</w:t>
      </w:r>
      <w:r>
        <w:rPr>
          <w:rFonts w:hint="eastAsia" w:eastAsia="宋体"/>
          <w:color w:val="000000"/>
          <w:sz w:val="24"/>
          <w:szCs w:val="24"/>
        </w:rPr>
        <w:t>首席</w:t>
      </w:r>
      <w:r>
        <w:rPr>
          <w:rFonts w:eastAsia="宋体"/>
          <w:color w:val="000000"/>
          <w:sz w:val="24"/>
          <w:szCs w:val="24"/>
        </w:rPr>
        <w:t>审评员应咨询CDRH</w:t>
      </w:r>
      <w:r>
        <w:rPr>
          <w:rFonts w:hint="eastAsia" w:eastAsia="宋体"/>
          <w:color w:val="000000"/>
          <w:sz w:val="24"/>
          <w:szCs w:val="24"/>
        </w:rPr>
        <w:t>产品管辖权官或</w:t>
      </w:r>
      <w:r>
        <w:rPr>
          <w:rFonts w:eastAsia="宋体"/>
          <w:color w:val="000000"/>
          <w:sz w:val="24"/>
          <w:szCs w:val="24"/>
        </w:rPr>
        <w:t>CBER</w:t>
      </w:r>
      <w:r>
        <w:rPr>
          <w:rFonts w:hint="eastAsia" w:eastAsia="宋体"/>
          <w:color w:val="000000"/>
          <w:sz w:val="24"/>
          <w:szCs w:val="24"/>
        </w:rPr>
        <w:t>产品管辖权官</w:t>
      </w:r>
      <w:r>
        <w:rPr>
          <w:rFonts w:eastAsia="宋体"/>
          <w:color w:val="000000"/>
          <w:sz w:val="24"/>
          <w:szCs w:val="24"/>
        </w:rPr>
        <w:t>，以确定适当的</w:t>
      </w:r>
      <w:r>
        <w:rPr>
          <w:rFonts w:hint="eastAsia" w:eastAsia="宋体"/>
          <w:color w:val="000000"/>
          <w:sz w:val="24"/>
          <w:szCs w:val="24"/>
        </w:rPr>
        <w:t>措施</w:t>
      </w:r>
      <w:r>
        <w:rPr>
          <w:rFonts w:eastAsia="宋体"/>
          <w:color w:val="000000"/>
          <w:sz w:val="24"/>
          <w:szCs w:val="24"/>
        </w:rPr>
        <w:t>并通知部门管理人员。</w:t>
      </w:r>
    </w:p>
    <w:p>
      <w:pPr>
        <w:snapToGrid w:val="0"/>
        <w:spacing w:after="240" w:afterLines="100"/>
        <w:ind w:left="361" w:hanging="361" w:hangingChars="150"/>
        <w:jc w:val="both"/>
        <w:rPr>
          <w:rFonts w:eastAsia="宋体"/>
          <w:sz w:val="24"/>
          <w:szCs w:val="24"/>
        </w:rPr>
      </w:pPr>
      <w:r>
        <w:rPr>
          <w:rFonts w:eastAsia="宋体"/>
          <w:b/>
          <w:bCs/>
          <w:color w:val="000000"/>
          <w:sz w:val="24"/>
          <w:szCs w:val="24"/>
        </w:rPr>
        <w:t>4.</w:t>
      </w:r>
      <w:r>
        <w:rPr>
          <w:rFonts w:eastAsia="宋体"/>
          <w:b/>
          <w:bCs/>
          <w:color w:val="000000"/>
          <w:sz w:val="24"/>
          <w:szCs w:val="24"/>
        </w:rPr>
        <w:tab/>
      </w:r>
      <w:r>
        <w:rPr>
          <w:rFonts w:hint="eastAsia" w:eastAsia="宋体"/>
          <w:b/>
          <w:bCs/>
          <w:color w:val="000000"/>
          <w:sz w:val="24"/>
          <w:szCs w:val="24"/>
        </w:rPr>
        <w:t>组合产品的申请中是否包含与21 USC 503（g）（5）（C）（ii）-（v）（《FD&amp;C法案》第503（g）（5）（C）（ii）-（v）节）中所述具有排他性的经获批药物具有相同活性成分的药物，以作为组成部分？</w:t>
      </w:r>
    </w:p>
    <w:p>
      <w:pPr>
        <w:snapToGrid w:val="0"/>
        <w:spacing w:after="240" w:afterLines="100"/>
        <w:ind w:left="314" w:leftChars="157" w:firstLine="480" w:firstLineChars="200"/>
        <w:jc w:val="both"/>
        <w:rPr>
          <w:rFonts w:eastAsia="宋体"/>
          <w:color w:val="000000"/>
          <w:sz w:val="24"/>
          <w:szCs w:val="24"/>
        </w:rPr>
      </w:pPr>
      <w:r>
        <w:rPr>
          <w:rFonts w:eastAsia="宋体"/>
          <w:color w:val="000000"/>
          <w:sz w:val="24"/>
          <w:szCs w:val="24"/>
        </w:rPr>
        <w:t>如果申请针对</w:t>
      </w:r>
      <w:r>
        <w:rPr>
          <w:rFonts w:hint="eastAsia" w:eastAsia="宋体"/>
          <w:color w:val="000000"/>
          <w:sz w:val="24"/>
          <w:szCs w:val="24"/>
        </w:rPr>
        <w:t>组合</w:t>
      </w:r>
      <w:r>
        <w:rPr>
          <w:rFonts w:eastAsia="宋体"/>
          <w:color w:val="000000"/>
          <w:sz w:val="24"/>
          <w:szCs w:val="24"/>
        </w:rPr>
        <w:t>产品，并且所含药物的活性成分与获批药物的活性成分相同，并且具有21 USC 503（g）（5）（C）（ii）-（v）中所述的排他性，则首席审评员应联系CDRH</w:t>
      </w:r>
      <w:r>
        <w:rPr>
          <w:rFonts w:hint="eastAsia" w:eastAsia="宋体"/>
          <w:color w:val="000000"/>
          <w:sz w:val="24"/>
          <w:szCs w:val="24"/>
        </w:rPr>
        <w:t>产品管辖官员或</w:t>
      </w:r>
      <w:r>
        <w:rPr>
          <w:rFonts w:eastAsia="宋体"/>
          <w:color w:val="000000"/>
          <w:sz w:val="24"/>
          <w:szCs w:val="24"/>
        </w:rPr>
        <w:t>CBER</w:t>
      </w:r>
      <w:r>
        <w:rPr>
          <w:rFonts w:hint="eastAsia" w:eastAsia="宋体"/>
          <w:color w:val="000000"/>
          <w:sz w:val="24"/>
          <w:szCs w:val="24"/>
        </w:rPr>
        <w:t>产品管辖官员</w:t>
      </w:r>
      <w:r>
        <w:rPr>
          <w:rFonts w:eastAsia="宋体"/>
          <w:color w:val="000000"/>
          <w:sz w:val="24"/>
          <w:szCs w:val="24"/>
        </w:rPr>
        <w:t>，以确定适当的措施并通知部门管理人员。</w:t>
      </w:r>
    </w:p>
    <w:p>
      <w:pPr>
        <w:snapToGrid w:val="0"/>
        <w:spacing w:after="240" w:afterLines="100"/>
        <w:ind w:left="361" w:hanging="361" w:hangingChars="150"/>
        <w:jc w:val="both"/>
        <w:rPr>
          <w:rFonts w:eastAsia="宋体"/>
          <w:sz w:val="24"/>
          <w:szCs w:val="24"/>
        </w:rPr>
      </w:pPr>
      <w:r>
        <w:rPr>
          <w:rFonts w:eastAsia="宋体"/>
          <w:b/>
          <w:bCs/>
          <w:color w:val="000000"/>
          <w:sz w:val="24"/>
          <w:szCs w:val="24"/>
        </w:rPr>
        <w:t>5.</w:t>
      </w:r>
      <w:r>
        <w:rPr>
          <w:rFonts w:eastAsia="宋体"/>
          <w:b/>
          <w:bCs/>
          <w:color w:val="000000"/>
          <w:sz w:val="24"/>
          <w:szCs w:val="24"/>
        </w:rPr>
        <w:tab/>
      </w:r>
      <w:r>
        <w:rPr>
          <w:rFonts w:eastAsia="宋体"/>
          <w:b/>
          <w:bCs/>
          <w:color w:val="000000"/>
          <w:sz w:val="24"/>
          <w:szCs w:val="24"/>
        </w:rPr>
        <w:t>该器械是否需要III类/PMA审评？</w:t>
      </w:r>
    </w:p>
    <w:p>
      <w:pPr>
        <w:snapToGrid w:val="0"/>
        <w:spacing w:after="240" w:afterLines="100"/>
        <w:ind w:left="314" w:leftChars="157" w:firstLine="480" w:firstLineChars="200"/>
        <w:jc w:val="both"/>
        <w:rPr>
          <w:rFonts w:eastAsia="宋体"/>
          <w:sz w:val="24"/>
          <w:szCs w:val="24"/>
        </w:rPr>
      </w:pPr>
      <w:r>
        <w:rPr>
          <w:rFonts w:eastAsia="宋体"/>
          <w:color w:val="000000"/>
          <w:sz w:val="24"/>
          <w:szCs w:val="24"/>
        </w:rPr>
        <w:t>我们的目标是应用适当水平的法规，以提供安全性和有效性的合理保证。因此，在备案审评流程的早期阶段，FDA应考虑监管负担和</w:t>
      </w:r>
      <w:r>
        <w:rPr>
          <w:rFonts w:hint="eastAsia" w:eastAsia="宋体"/>
          <w:color w:val="000000"/>
          <w:sz w:val="24"/>
          <w:szCs w:val="24"/>
        </w:rPr>
        <w:t>应用</w:t>
      </w:r>
      <w:r>
        <w:rPr>
          <w:rFonts w:eastAsia="宋体"/>
          <w:color w:val="000000"/>
          <w:sz w:val="24"/>
          <w:szCs w:val="24"/>
        </w:rPr>
        <w:t>适当监管程度的现有机制。在作出这一决定时，工作人员应考虑如何监管同品种器械。</w:t>
      </w:r>
    </w:p>
    <w:p>
      <w:pPr>
        <w:snapToGrid w:val="0"/>
        <w:spacing w:after="240" w:afterLines="100"/>
        <w:jc w:val="both"/>
        <w:rPr>
          <w:rFonts w:eastAsia="宋体"/>
          <w:sz w:val="21"/>
          <w:szCs w:val="21"/>
        </w:rPr>
      </w:pPr>
    </w:p>
    <w:p>
      <w:pPr>
        <w:snapToGrid w:val="0"/>
        <w:spacing w:after="240" w:afterLines="100"/>
        <w:jc w:val="both"/>
        <w:rPr>
          <w:rFonts w:eastAsia="宋体"/>
          <w:sz w:val="21"/>
          <w:szCs w:val="21"/>
        </w:rPr>
        <w:sectPr>
          <w:pgSz w:w="11906" w:h="16838"/>
          <w:pgMar w:top="1134" w:right="1134" w:bottom="1134" w:left="1418" w:header="567" w:footer="567" w:gutter="0"/>
          <w:cols w:space="60" w:num="1"/>
          <w:docGrid w:linePitch="272" w:charSpace="0"/>
        </w:sectPr>
      </w:pPr>
    </w:p>
    <w:p>
      <w:pPr>
        <w:snapToGrid w:val="0"/>
        <w:spacing w:after="240" w:afterLines="100"/>
        <w:ind w:left="314" w:leftChars="157" w:firstLine="480" w:firstLineChars="200"/>
        <w:jc w:val="both"/>
        <w:rPr>
          <w:rFonts w:eastAsia="宋体"/>
          <w:sz w:val="24"/>
          <w:szCs w:val="24"/>
        </w:rPr>
      </w:pPr>
      <w:r>
        <w:rPr>
          <w:rFonts w:eastAsia="宋体"/>
          <w:color w:val="000000"/>
          <w:sz w:val="24"/>
          <w:szCs w:val="24"/>
        </w:rPr>
        <w:t>III类器械是不能被归类为I类或II类器械的器械，因为现有信息不足以确定一般和特殊控制足以提供器械的安全性和有效性的合理保证，并且（1）旨在用于支持或维持人类生命或用于防止人类健康受损的重要用途；或（2）存在潜在不合理的疾病或损伤风险。参见《FD&amp;C法案》第513（a）（1）（C）</w:t>
      </w:r>
      <w:r>
        <w:rPr>
          <w:rFonts w:hint="eastAsia" w:eastAsia="宋体"/>
          <w:color w:val="000000"/>
          <w:sz w:val="24"/>
          <w:szCs w:val="24"/>
        </w:rPr>
        <w:t>节</w:t>
      </w:r>
      <w:r>
        <w:rPr>
          <w:rFonts w:eastAsia="宋体"/>
          <w:color w:val="000000"/>
          <w:sz w:val="24"/>
          <w:szCs w:val="24"/>
        </w:rPr>
        <w:t>。根据《FD&amp;C法案》第513（f）（1）</w:t>
      </w:r>
      <w:r>
        <w:rPr>
          <w:rFonts w:hint="eastAsia" w:eastAsia="宋体"/>
          <w:color w:val="000000"/>
          <w:sz w:val="24"/>
          <w:szCs w:val="24"/>
        </w:rPr>
        <w:t>节</w:t>
      </w:r>
      <w:r>
        <w:rPr>
          <w:rFonts w:eastAsia="宋体"/>
          <w:color w:val="000000"/>
          <w:sz w:val="24"/>
          <w:szCs w:val="24"/>
        </w:rPr>
        <w:t>的规定，器械也可自动归为III类。</w:t>
      </w:r>
    </w:p>
    <w:p>
      <w:pPr>
        <w:snapToGrid w:val="0"/>
        <w:spacing w:after="240" w:afterLines="100"/>
        <w:ind w:left="314" w:leftChars="157" w:firstLine="480" w:firstLineChars="200"/>
        <w:jc w:val="both"/>
        <w:rPr>
          <w:rFonts w:eastAsia="宋体"/>
          <w:color w:val="000000"/>
          <w:sz w:val="24"/>
          <w:szCs w:val="24"/>
        </w:rPr>
      </w:pPr>
      <w:r>
        <w:rPr>
          <w:rFonts w:eastAsia="宋体"/>
          <w:color w:val="000000"/>
          <w:sz w:val="24"/>
          <w:szCs w:val="24"/>
        </w:rPr>
        <w:t>一般而言，如果器械满足以下条件，则需要进行PMA审评：</w:t>
      </w:r>
    </w:p>
    <w:p>
      <w:pPr>
        <w:snapToGrid w:val="0"/>
        <w:spacing w:after="240" w:afterLines="10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尚未重新分类的过渡器械（参见《FD&amp;C法案》第520（l）</w:t>
      </w:r>
      <w:r>
        <w:rPr>
          <w:rFonts w:hint="eastAsia" w:eastAsia="宋体"/>
          <w:color w:val="000000"/>
          <w:sz w:val="24"/>
          <w:szCs w:val="24"/>
        </w:rPr>
        <w:t>节</w:t>
      </w:r>
      <w:r>
        <w:rPr>
          <w:rFonts w:eastAsia="宋体"/>
          <w:color w:val="000000"/>
          <w:sz w:val="24"/>
          <w:szCs w:val="24"/>
        </w:rPr>
        <w:t>），</w:t>
      </w:r>
    </w:p>
    <w:p>
      <w:pPr>
        <w:snapToGrid w:val="0"/>
        <w:spacing w:after="240" w:afterLines="10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根据《FD&amp;C法案》第515（b）</w:t>
      </w:r>
      <w:r>
        <w:rPr>
          <w:rFonts w:hint="eastAsia" w:eastAsia="宋体"/>
          <w:color w:val="000000"/>
          <w:sz w:val="24"/>
          <w:szCs w:val="24"/>
        </w:rPr>
        <w:t>节</w:t>
      </w:r>
      <w:r>
        <w:rPr>
          <w:rFonts w:eastAsia="宋体"/>
          <w:color w:val="000000"/>
          <w:sz w:val="24"/>
          <w:szCs w:val="24"/>
        </w:rPr>
        <w:t>规定的最终</w:t>
      </w:r>
      <w:r>
        <w:rPr>
          <w:rFonts w:ascii="宋体" w:hAnsi="宋体" w:eastAsia="宋体"/>
          <w:color w:val="000000"/>
          <w:sz w:val="24"/>
          <w:szCs w:val="24"/>
        </w:rPr>
        <w:t>“</w:t>
      </w:r>
      <w:r>
        <w:rPr>
          <w:rFonts w:eastAsia="宋体"/>
          <w:color w:val="000000"/>
          <w:sz w:val="24"/>
          <w:szCs w:val="24"/>
        </w:rPr>
        <w:t>要求PMA</w:t>
      </w:r>
      <w:r>
        <w:rPr>
          <w:rFonts w:ascii="宋体" w:hAnsi="宋体" w:eastAsia="宋体"/>
          <w:color w:val="000000"/>
          <w:sz w:val="24"/>
          <w:szCs w:val="24"/>
        </w:rPr>
        <w:t>”</w:t>
      </w:r>
      <w:r>
        <w:rPr>
          <w:rFonts w:eastAsia="宋体"/>
          <w:color w:val="000000"/>
          <w:sz w:val="24"/>
          <w:szCs w:val="24"/>
        </w:rPr>
        <w:t>的主题，或</w:t>
      </w:r>
    </w:p>
    <w:p>
      <w:pPr>
        <w:snapToGrid w:val="0"/>
        <w:spacing w:after="240" w:afterLines="10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根据《FD&amp;C法案》第513（f）</w:t>
      </w:r>
      <w:r>
        <w:rPr>
          <w:rFonts w:hint="eastAsia" w:eastAsia="宋体"/>
          <w:color w:val="000000"/>
          <w:sz w:val="24"/>
          <w:szCs w:val="24"/>
        </w:rPr>
        <w:t>节</w:t>
      </w:r>
      <w:r>
        <w:rPr>
          <w:rFonts w:eastAsia="宋体"/>
          <w:color w:val="000000"/>
          <w:sz w:val="24"/>
          <w:szCs w:val="24"/>
        </w:rPr>
        <w:t>自动归类为III类器械，包括510（k）上市前通知中认定为非实质等同（NSE）的器械和/或FDA拒绝根据513（f）（2）进行重新分类的器械。</w:t>
      </w:r>
    </w:p>
    <w:p>
      <w:pPr>
        <w:snapToGrid w:val="0"/>
        <w:spacing w:after="240" w:afterLines="100"/>
        <w:ind w:left="314" w:leftChars="157" w:firstLine="480" w:firstLineChars="200"/>
        <w:jc w:val="both"/>
        <w:rPr>
          <w:rFonts w:eastAsia="宋体"/>
          <w:color w:val="000000"/>
          <w:sz w:val="24"/>
          <w:szCs w:val="24"/>
        </w:rPr>
      </w:pPr>
      <w:r>
        <w:rPr>
          <w:rFonts w:eastAsia="宋体"/>
          <w:color w:val="000000"/>
          <w:sz w:val="24"/>
          <w:szCs w:val="24"/>
        </w:rPr>
        <w:t>如果不需要根据PMA下的法规，PMA首席审评员应咨询部门管理人员和其他中心资源，以确定适当的</w:t>
      </w:r>
      <w:r>
        <w:rPr>
          <w:rFonts w:hint="eastAsia" w:eastAsia="宋体"/>
          <w:color w:val="000000"/>
          <w:sz w:val="24"/>
          <w:szCs w:val="24"/>
        </w:rPr>
        <w:t>措施</w:t>
      </w:r>
      <w:r>
        <w:rPr>
          <w:rFonts w:eastAsia="宋体"/>
          <w:color w:val="000000"/>
          <w:sz w:val="24"/>
          <w:szCs w:val="24"/>
        </w:rPr>
        <w:t>。如果审评部门同意可以选择在不同类型的上市申请中进行审评，则PMA审评小组应通知申请人，以便讨论最适当的路径。</w:t>
      </w:r>
    </w:p>
    <w:p>
      <w:pPr>
        <w:snapToGrid w:val="0"/>
        <w:spacing w:after="240" w:afterLines="100"/>
        <w:ind w:left="361" w:hanging="361" w:hangingChars="150"/>
        <w:jc w:val="both"/>
        <w:rPr>
          <w:rFonts w:eastAsia="宋体"/>
          <w:sz w:val="24"/>
          <w:szCs w:val="24"/>
        </w:rPr>
      </w:pPr>
      <w:r>
        <w:rPr>
          <w:rFonts w:eastAsia="宋体"/>
          <w:b/>
          <w:bCs/>
          <w:color w:val="000000"/>
          <w:sz w:val="24"/>
          <w:szCs w:val="24"/>
        </w:rPr>
        <w:t>6.</w:t>
      </w:r>
      <w:r>
        <w:rPr>
          <w:rFonts w:eastAsia="宋体"/>
          <w:b/>
          <w:bCs/>
          <w:color w:val="000000"/>
          <w:sz w:val="24"/>
          <w:szCs w:val="24"/>
        </w:rPr>
        <w:tab/>
      </w:r>
      <w:r>
        <w:rPr>
          <w:rFonts w:eastAsia="宋体"/>
          <w:b/>
          <w:bCs/>
          <w:color w:val="000000"/>
          <w:sz w:val="24"/>
          <w:szCs w:val="24"/>
        </w:rPr>
        <w:t>具有相同适应症的相同器械是否有待定的510（k）？</w:t>
      </w:r>
    </w:p>
    <w:p>
      <w:pPr>
        <w:snapToGrid w:val="0"/>
        <w:spacing w:after="240" w:afterLines="100"/>
        <w:ind w:left="314" w:leftChars="157" w:firstLine="480" w:firstLineChars="200"/>
        <w:jc w:val="both"/>
        <w:rPr>
          <w:rFonts w:eastAsia="宋体"/>
          <w:color w:val="000000"/>
          <w:sz w:val="24"/>
          <w:szCs w:val="24"/>
        </w:rPr>
      </w:pPr>
      <w:r>
        <w:rPr>
          <w:rFonts w:eastAsia="宋体"/>
          <w:color w:val="000000"/>
          <w:sz w:val="24"/>
          <w:szCs w:val="24"/>
        </w:rPr>
        <w:t>如果申请人具有相同适应症的相同器械的510（k），则FDA可以决定不</w:t>
      </w:r>
      <w:r>
        <w:rPr>
          <w:rFonts w:hint="eastAsia" w:eastAsia="宋体"/>
          <w:color w:val="000000"/>
          <w:sz w:val="24"/>
          <w:szCs w:val="24"/>
        </w:rPr>
        <w:t>备案</w:t>
      </w:r>
      <w:r>
        <w:rPr>
          <w:rFonts w:eastAsia="宋体"/>
          <w:color w:val="000000"/>
          <w:sz w:val="24"/>
          <w:szCs w:val="24"/>
        </w:rPr>
        <w:t>PMA申请（21 CFR 814.42（e）（3））。如果存在待定的510（k），审评小组应停止审评。</w:t>
      </w:r>
      <w:r>
        <w:rPr>
          <w:rFonts w:hint="eastAsia" w:eastAsia="宋体"/>
          <w:color w:val="000000"/>
          <w:sz w:val="24"/>
          <w:szCs w:val="24"/>
        </w:rPr>
        <w:t>首席审评员</w:t>
      </w:r>
      <w:r>
        <w:rPr>
          <w:rFonts w:eastAsia="宋体"/>
          <w:color w:val="000000"/>
          <w:sz w:val="24"/>
          <w:szCs w:val="24"/>
        </w:rPr>
        <w:t>应咨询部门管理人员和其他中心资源，以确定适用于该器械的上市前审评途径以及解决该情况的适当程序。如果不同的申请人已经为相同的器械类型提交了510（k）和PMA，工作人员还应咨询分部管理人员和中心其他资源。</w:t>
      </w:r>
    </w:p>
    <w:p>
      <w:pPr>
        <w:snapToGrid w:val="0"/>
        <w:spacing w:after="240" w:afterLines="100"/>
        <w:ind w:left="361" w:hanging="361" w:hangingChars="150"/>
        <w:jc w:val="both"/>
        <w:rPr>
          <w:rFonts w:eastAsia="宋体"/>
          <w:sz w:val="24"/>
          <w:szCs w:val="24"/>
        </w:rPr>
      </w:pPr>
      <w:r>
        <w:rPr>
          <w:rFonts w:eastAsia="宋体"/>
          <w:b/>
          <w:bCs/>
          <w:color w:val="000000"/>
          <w:sz w:val="24"/>
          <w:szCs w:val="24"/>
        </w:rPr>
        <w:t>7.</w:t>
      </w:r>
      <w:r>
        <w:rPr>
          <w:rFonts w:eastAsia="宋体"/>
          <w:b/>
          <w:bCs/>
          <w:color w:val="000000"/>
          <w:sz w:val="24"/>
          <w:szCs w:val="24"/>
        </w:rPr>
        <w:tab/>
      </w:r>
      <w:r>
        <w:rPr>
          <w:rFonts w:eastAsia="宋体"/>
          <w:b/>
          <w:bCs/>
          <w:color w:val="000000"/>
          <w:sz w:val="24"/>
          <w:szCs w:val="24"/>
        </w:rPr>
        <w:t>申请人是否是</w:t>
      </w:r>
      <w:r>
        <w:rPr>
          <w:rFonts w:hint="eastAsia" w:eastAsia="宋体"/>
          <w:b/>
          <w:bCs/>
          <w:color w:val="000000"/>
          <w:sz w:val="24"/>
          <w:szCs w:val="24"/>
        </w:rPr>
        <w:t>申请完整性政策（</w:t>
      </w:r>
      <w:r>
        <w:rPr>
          <w:rFonts w:eastAsia="宋体"/>
          <w:b/>
          <w:bCs/>
          <w:color w:val="000000"/>
          <w:sz w:val="24"/>
          <w:szCs w:val="24"/>
        </w:rPr>
        <w:t>AIP</w:t>
      </w:r>
      <w:r>
        <w:rPr>
          <w:rFonts w:hint="eastAsia" w:eastAsia="宋体"/>
          <w:b/>
          <w:bCs/>
          <w:color w:val="000000"/>
          <w:sz w:val="24"/>
          <w:szCs w:val="24"/>
        </w:rPr>
        <w:t>）</w:t>
      </w:r>
      <w:r>
        <w:rPr>
          <w:rFonts w:eastAsia="宋体"/>
          <w:b/>
          <w:bCs/>
          <w:color w:val="000000"/>
          <w:sz w:val="24"/>
          <w:szCs w:val="24"/>
        </w:rPr>
        <w:t>的主体</w:t>
      </w:r>
      <w:r>
        <w:rPr>
          <w:rStyle w:val="13"/>
          <w:rFonts w:eastAsia="宋体"/>
          <w:color w:val="000000"/>
          <w:sz w:val="24"/>
          <w:szCs w:val="24"/>
        </w:rPr>
        <w:t xml:space="preserve"> </w:t>
      </w:r>
      <w:r>
        <w:rPr>
          <w:rStyle w:val="13"/>
          <w:rFonts w:eastAsia="宋体"/>
          <w:b/>
          <w:bCs/>
          <w:color w:val="000000"/>
          <w:sz w:val="24"/>
          <w:szCs w:val="24"/>
        </w:rPr>
        <w:footnoteReference w:id="13"/>
      </w:r>
      <w:r>
        <w:rPr>
          <w:rFonts w:eastAsia="宋体"/>
          <w:b/>
          <w:bCs/>
          <w:color w:val="000000"/>
          <w:sz w:val="24"/>
          <w:szCs w:val="24"/>
        </w:rPr>
        <w:t>？</w:t>
      </w:r>
    </w:p>
    <w:p>
      <w:pPr>
        <w:snapToGrid w:val="0"/>
        <w:spacing w:after="240" w:afterLines="100"/>
        <w:jc w:val="both"/>
        <w:rPr>
          <w:rFonts w:eastAsia="宋体"/>
          <w:sz w:val="21"/>
          <w:szCs w:val="21"/>
        </w:rPr>
      </w:pPr>
    </w:p>
    <w:p>
      <w:pPr>
        <w:snapToGrid w:val="0"/>
        <w:spacing w:after="240" w:afterLines="100"/>
        <w:jc w:val="both"/>
        <w:rPr>
          <w:rFonts w:eastAsia="宋体"/>
          <w:sz w:val="21"/>
          <w:szCs w:val="21"/>
        </w:rPr>
        <w:sectPr>
          <w:pgSz w:w="11906" w:h="16838"/>
          <w:pgMar w:top="1134" w:right="1134" w:bottom="1134" w:left="1418" w:header="567" w:footer="567" w:gutter="0"/>
          <w:cols w:space="60" w:num="1"/>
          <w:docGrid w:linePitch="272" w:charSpace="0"/>
        </w:sectPr>
      </w:pPr>
    </w:p>
    <w:p>
      <w:pPr>
        <w:snapToGrid w:val="0"/>
        <w:spacing w:after="240" w:afterLines="100"/>
        <w:ind w:left="314" w:leftChars="157" w:firstLine="480" w:firstLineChars="200"/>
        <w:jc w:val="both"/>
        <w:rPr>
          <w:rFonts w:eastAsia="宋体"/>
          <w:sz w:val="24"/>
          <w:szCs w:val="24"/>
        </w:rPr>
      </w:pPr>
      <w:r>
        <w:rPr>
          <w:rFonts w:hint="eastAsia" w:eastAsia="宋体"/>
          <w:color w:val="000000"/>
          <w:sz w:val="24"/>
          <w:szCs w:val="24"/>
        </w:rPr>
        <w:t>首席审评员</w:t>
      </w:r>
      <w:r>
        <w:rPr>
          <w:rFonts w:eastAsia="宋体"/>
          <w:color w:val="000000"/>
          <w:sz w:val="24"/>
          <w:szCs w:val="24"/>
        </w:rPr>
        <w:t>应参考</w:t>
      </w:r>
      <w:r>
        <w:rPr>
          <w:rFonts w:eastAsia="宋体"/>
          <w:color w:val="0000FF"/>
          <w:sz w:val="24"/>
          <w:szCs w:val="24"/>
        </w:rPr>
        <w:t>AIP列表。</w:t>
      </w:r>
      <w:r>
        <w:rPr>
          <w:rStyle w:val="13"/>
          <w:rFonts w:eastAsia="宋体"/>
          <w:color w:val="000000"/>
          <w:sz w:val="24"/>
          <w:szCs w:val="24"/>
        </w:rPr>
        <w:footnoteReference w:id="14"/>
      </w:r>
      <w:r>
        <w:rPr>
          <w:rFonts w:eastAsia="宋体"/>
          <w:color w:val="000000"/>
          <w:sz w:val="24"/>
          <w:szCs w:val="24"/>
        </w:rPr>
        <w:t xml:space="preserve"> 如果申请人在名单上，则审评员应咨询</w:t>
      </w:r>
      <w:bookmarkStart w:id="1" w:name="OLE_LINK1"/>
      <w:bookmarkStart w:id="2" w:name="OLE_LINK2"/>
      <w:r>
        <w:rPr>
          <w:rFonts w:eastAsia="宋体"/>
          <w:color w:val="000000"/>
          <w:sz w:val="24"/>
          <w:szCs w:val="24"/>
        </w:rPr>
        <w:t>CDRH产品评价和质量办公室/临床证据和分析办公室/临床科学和质量部门（OPEQ/OCEA/DCEA1）或CBER合规和生物制品质量办公室/检查和监督部门/生物研究监测分部（OCBQ/DIS/BMB）</w:t>
      </w:r>
      <w:bookmarkEnd w:id="1"/>
      <w:bookmarkEnd w:id="2"/>
      <w:r>
        <w:rPr>
          <w:rFonts w:eastAsia="宋体"/>
          <w:color w:val="000000"/>
          <w:sz w:val="24"/>
          <w:szCs w:val="24"/>
        </w:rPr>
        <w:t>，以确定适当的</w:t>
      </w:r>
      <w:r>
        <w:rPr>
          <w:rFonts w:hint="eastAsia" w:eastAsia="宋体"/>
          <w:color w:val="000000"/>
          <w:sz w:val="24"/>
          <w:szCs w:val="24"/>
        </w:rPr>
        <w:t>措施</w:t>
      </w:r>
      <w:r>
        <w:rPr>
          <w:rFonts w:eastAsia="宋体"/>
          <w:color w:val="000000"/>
          <w:sz w:val="24"/>
          <w:szCs w:val="24"/>
        </w:rPr>
        <w:t>。</w:t>
      </w:r>
    </w:p>
    <w:p>
      <w:pPr>
        <w:pStyle w:val="2"/>
        <w:tabs>
          <w:tab w:val="left" w:pos="-1418"/>
          <w:tab w:val="clear" w:pos="1274"/>
        </w:tabs>
        <w:spacing w:beforeLines="0" w:after="240"/>
        <w:ind w:left="643" w:hanging="643" w:hangingChars="200"/>
        <w:rPr>
          <w:rFonts w:eastAsia="宋体"/>
          <w:sz w:val="32"/>
          <w:szCs w:val="32"/>
        </w:rPr>
      </w:pPr>
      <w:r>
        <w:rPr>
          <w:rFonts w:eastAsia="宋体"/>
          <w:sz w:val="32"/>
          <w:szCs w:val="32"/>
        </w:rPr>
        <w:t>IX.</w:t>
      </w:r>
      <w:r>
        <w:rPr>
          <w:rFonts w:eastAsia="宋体"/>
          <w:sz w:val="32"/>
          <w:szCs w:val="32"/>
        </w:rPr>
        <w:tab/>
      </w:r>
      <w:r>
        <w:rPr>
          <w:rFonts w:eastAsia="宋体"/>
          <w:sz w:val="32"/>
          <w:szCs w:val="32"/>
        </w:rPr>
        <w:t>检查表——</w:t>
      </w:r>
      <w:r>
        <w:rPr>
          <w:rFonts w:hint="eastAsia" w:eastAsia="宋体"/>
          <w:sz w:val="32"/>
          <w:szCs w:val="32"/>
        </w:rPr>
        <w:t>验收</w:t>
      </w:r>
      <w:r>
        <w:rPr>
          <w:rFonts w:eastAsia="宋体"/>
          <w:sz w:val="32"/>
          <w:szCs w:val="32"/>
        </w:rPr>
        <w:t>审评</w:t>
      </w:r>
    </w:p>
    <w:p>
      <w:pPr>
        <w:snapToGrid w:val="0"/>
        <w:spacing w:after="240" w:afterLines="100"/>
        <w:ind w:firstLine="480" w:firstLineChars="200"/>
        <w:jc w:val="both"/>
        <w:rPr>
          <w:rFonts w:eastAsia="宋体"/>
          <w:color w:val="000000"/>
          <w:sz w:val="24"/>
          <w:szCs w:val="24"/>
        </w:rPr>
      </w:pPr>
      <w:r>
        <w:rPr>
          <w:rFonts w:eastAsia="宋体"/>
          <w:color w:val="000000"/>
          <w:sz w:val="24"/>
          <w:szCs w:val="24"/>
        </w:rPr>
        <w:t>如果上述初步问题的答案表明应继续进行PMA审评，则</w:t>
      </w:r>
      <w:r>
        <w:rPr>
          <w:rFonts w:hint="eastAsia" w:eastAsia="宋体"/>
          <w:color w:val="000000"/>
          <w:sz w:val="24"/>
          <w:szCs w:val="24"/>
        </w:rPr>
        <w:t>验收</w:t>
      </w:r>
      <w:r>
        <w:rPr>
          <w:rFonts w:eastAsia="宋体"/>
          <w:color w:val="000000"/>
          <w:sz w:val="24"/>
          <w:szCs w:val="24"/>
        </w:rPr>
        <w:t>审评应通过回答</w:t>
      </w:r>
      <w:r>
        <w:rPr>
          <w:rFonts w:hint="eastAsia" w:eastAsia="宋体"/>
          <w:color w:val="000000"/>
          <w:sz w:val="24"/>
          <w:szCs w:val="24"/>
        </w:rPr>
        <w:t>检查表</w:t>
      </w:r>
      <w:r>
        <w:rPr>
          <w:rFonts w:eastAsia="宋体"/>
          <w:color w:val="000000"/>
          <w:sz w:val="24"/>
          <w:szCs w:val="24"/>
        </w:rPr>
        <w:t>中</w:t>
      </w:r>
      <w:r>
        <w:rPr>
          <w:rFonts w:ascii="宋体" w:hAnsi="宋体" w:eastAsia="宋体"/>
          <w:color w:val="000000"/>
          <w:sz w:val="24"/>
          <w:szCs w:val="24"/>
        </w:rPr>
        <w:t>“</w:t>
      </w:r>
      <w:r>
        <w:rPr>
          <w:rFonts w:hint="eastAsia" w:eastAsia="宋体"/>
          <w:color w:val="000000"/>
          <w:sz w:val="24"/>
          <w:szCs w:val="24"/>
        </w:rPr>
        <w:t>验收</w:t>
      </w:r>
      <w:r>
        <w:rPr>
          <w:rFonts w:eastAsia="宋体"/>
          <w:color w:val="000000"/>
          <w:sz w:val="24"/>
          <w:szCs w:val="24"/>
        </w:rPr>
        <w:t>审评</w:t>
      </w:r>
      <w:r>
        <w:rPr>
          <w:rFonts w:ascii="宋体" w:hAnsi="宋体" w:eastAsia="宋体"/>
          <w:color w:val="000000"/>
          <w:sz w:val="24"/>
          <w:szCs w:val="24"/>
        </w:rPr>
        <w:t>”</w:t>
      </w:r>
      <w:r>
        <w:rPr>
          <w:rFonts w:eastAsia="宋体"/>
          <w:color w:val="000000"/>
          <w:sz w:val="24"/>
          <w:szCs w:val="24"/>
        </w:rPr>
        <w:t>部分的问题进行。该</w:t>
      </w:r>
      <w:r>
        <w:rPr>
          <w:rFonts w:hint="eastAsia" w:eastAsia="宋体"/>
          <w:color w:val="000000"/>
          <w:sz w:val="24"/>
          <w:szCs w:val="24"/>
        </w:rPr>
        <w:t>检查表</w:t>
      </w:r>
      <w:r>
        <w:rPr>
          <w:rFonts w:eastAsia="宋体"/>
          <w:color w:val="000000"/>
          <w:sz w:val="24"/>
          <w:szCs w:val="24"/>
        </w:rPr>
        <w:t>的这一部分收集了与PMA的完整性有关的信息（即</w:t>
      </w:r>
      <w:r>
        <w:rPr>
          <w:rFonts w:ascii="宋体" w:hAnsi="宋体" w:eastAsia="宋体"/>
          <w:color w:val="000000"/>
          <w:sz w:val="24"/>
          <w:szCs w:val="24"/>
        </w:rPr>
        <w:t>“</w:t>
      </w:r>
      <w:r>
        <w:rPr>
          <w:rFonts w:eastAsia="宋体"/>
          <w:color w:val="000000"/>
          <w:sz w:val="24"/>
          <w:szCs w:val="24"/>
        </w:rPr>
        <w:t>组织和</w:t>
      </w:r>
      <w:r>
        <w:rPr>
          <w:rFonts w:hint="eastAsia" w:eastAsia="宋体"/>
          <w:color w:val="000000"/>
          <w:sz w:val="24"/>
          <w:szCs w:val="24"/>
        </w:rPr>
        <w:t>行政</w:t>
      </w:r>
      <w:r>
        <w:rPr>
          <w:rFonts w:eastAsia="宋体"/>
          <w:color w:val="000000"/>
          <w:sz w:val="24"/>
          <w:szCs w:val="24"/>
        </w:rPr>
        <w:t>要素清单</w:t>
      </w:r>
      <w:r>
        <w:rPr>
          <w:rFonts w:ascii="宋体" w:hAnsi="宋体" w:eastAsia="宋体"/>
          <w:color w:val="000000"/>
          <w:sz w:val="24"/>
          <w:szCs w:val="24"/>
        </w:rPr>
        <w:t>”</w:t>
      </w:r>
      <w:r>
        <w:rPr>
          <w:rFonts w:eastAsia="宋体"/>
          <w:color w:val="000000"/>
          <w:sz w:val="24"/>
          <w:szCs w:val="24"/>
        </w:rPr>
        <w:t>），并指导FDA工作人员通过必要的程序</w:t>
      </w:r>
      <w:r>
        <w:rPr>
          <w:rFonts w:hint="eastAsia" w:eastAsia="宋体"/>
          <w:color w:val="000000"/>
          <w:sz w:val="24"/>
          <w:szCs w:val="24"/>
        </w:rPr>
        <w:t>作</w:t>
      </w:r>
      <w:r>
        <w:rPr>
          <w:rFonts w:eastAsia="宋体"/>
          <w:color w:val="000000"/>
          <w:sz w:val="24"/>
          <w:szCs w:val="24"/>
        </w:rPr>
        <w:t>出</w:t>
      </w:r>
      <w:r>
        <w:rPr>
          <w:rFonts w:ascii="宋体" w:hAnsi="宋体" w:eastAsia="宋体"/>
          <w:color w:val="000000"/>
          <w:sz w:val="24"/>
          <w:szCs w:val="24"/>
        </w:rPr>
        <w:t>“</w:t>
      </w:r>
      <w:r>
        <w:rPr>
          <w:rFonts w:hint="eastAsia" w:eastAsia="宋体"/>
          <w:color w:val="000000"/>
          <w:sz w:val="24"/>
          <w:szCs w:val="24"/>
        </w:rPr>
        <w:t>验收</w:t>
      </w:r>
      <w:r>
        <w:rPr>
          <w:rFonts w:ascii="宋体" w:hAnsi="宋体" w:eastAsia="宋体"/>
          <w:color w:val="000000"/>
          <w:sz w:val="24"/>
          <w:szCs w:val="24"/>
        </w:rPr>
        <w:t>”</w:t>
      </w:r>
      <w:r>
        <w:rPr>
          <w:rFonts w:eastAsia="宋体"/>
          <w:color w:val="000000"/>
          <w:sz w:val="24"/>
          <w:szCs w:val="24"/>
        </w:rPr>
        <w:t>PMA或将其指定为</w:t>
      </w:r>
      <w:r>
        <w:rPr>
          <w:rFonts w:ascii="宋体" w:hAnsi="宋体" w:eastAsia="宋体"/>
          <w:color w:val="000000"/>
          <w:sz w:val="24"/>
          <w:szCs w:val="24"/>
        </w:rPr>
        <w:t>“</w:t>
      </w:r>
      <w:r>
        <w:rPr>
          <w:rFonts w:eastAsia="宋体"/>
          <w:color w:val="000000"/>
          <w:sz w:val="24"/>
          <w:szCs w:val="24"/>
        </w:rPr>
        <w:t>拒绝</w:t>
      </w:r>
      <w:r>
        <w:rPr>
          <w:rFonts w:hint="eastAsia" w:eastAsia="宋体"/>
          <w:color w:val="000000"/>
          <w:sz w:val="24"/>
          <w:szCs w:val="24"/>
        </w:rPr>
        <w:t>验收</w:t>
      </w:r>
      <w:r>
        <w:rPr>
          <w:rFonts w:ascii="宋体" w:hAnsi="宋体" w:eastAsia="宋体"/>
          <w:color w:val="000000"/>
          <w:sz w:val="24"/>
          <w:szCs w:val="24"/>
        </w:rPr>
        <w:t>”</w:t>
      </w:r>
      <w:r>
        <w:rPr>
          <w:rFonts w:eastAsia="宋体"/>
          <w:color w:val="000000"/>
          <w:sz w:val="24"/>
          <w:szCs w:val="24"/>
        </w:rPr>
        <w:t>的决定。</w:t>
      </w:r>
    </w:p>
    <w:p>
      <w:pPr>
        <w:snapToGrid w:val="0"/>
        <w:spacing w:after="240" w:afterLines="100"/>
        <w:ind w:firstLine="480" w:firstLineChars="200"/>
        <w:jc w:val="both"/>
        <w:rPr>
          <w:rFonts w:eastAsia="宋体"/>
          <w:color w:val="000000"/>
          <w:sz w:val="24"/>
          <w:szCs w:val="24"/>
        </w:rPr>
      </w:pPr>
      <w:r>
        <w:rPr>
          <w:rFonts w:eastAsia="宋体"/>
          <w:color w:val="000000"/>
          <w:sz w:val="24"/>
          <w:szCs w:val="24"/>
        </w:rPr>
        <w:t>下文单独讨论了对PMA</w:t>
      </w:r>
      <w:r>
        <w:rPr>
          <w:rFonts w:hint="eastAsia" w:eastAsia="宋体"/>
          <w:color w:val="000000"/>
          <w:sz w:val="24"/>
          <w:szCs w:val="24"/>
        </w:rPr>
        <w:t>验收决定</w:t>
      </w:r>
      <w:r>
        <w:rPr>
          <w:rFonts w:eastAsia="宋体"/>
          <w:color w:val="000000"/>
          <w:sz w:val="24"/>
          <w:szCs w:val="24"/>
        </w:rPr>
        <w:t>过程至关重要的具体问题（即</w:t>
      </w:r>
      <w:r>
        <w:rPr>
          <w:rFonts w:ascii="宋体" w:hAnsi="宋体" w:eastAsia="宋体"/>
          <w:color w:val="000000"/>
          <w:sz w:val="24"/>
          <w:szCs w:val="24"/>
        </w:rPr>
        <w:t>“</w:t>
      </w:r>
      <w:r>
        <w:rPr>
          <w:rFonts w:eastAsia="宋体"/>
          <w:color w:val="000000"/>
          <w:sz w:val="24"/>
          <w:szCs w:val="24"/>
        </w:rPr>
        <w:t>验收决定问题</w:t>
      </w:r>
      <w:r>
        <w:rPr>
          <w:rFonts w:ascii="宋体" w:hAnsi="宋体" w:eastAsia="宋体"/>
          <w:color w:val="000000"/>
          <w:sz w:val="24"/>
          <w:szCs w:val="24"/>
        </w:rPr>
        <w:t>”</w:t>
      </w:r>
      <w:r>
        <w:rPr>
          <w:rFonts w:eastAsia="宋体"/>
          <w:color w:val="000000"/>
          <w:sz w:val="24"/>
          <w:szCs w:val="24"/>
        </w:rPr>
        <w:t>）。这些决</w:t>
      </w:r>
      <w:r>
        <w:rPr>
          <w:rFonts w:hint="eastAsia" w:eastAsia="宋体"/>
          <w:color w:val="000000"/>
          <w:sz w:val="24"/>
          <w:szCs w:val="24"/>
        </w:rPr>
        <w:t>定</w:t>
      </w:r>
      <w:r>
        <w:rPr>
          <w:rFonts w:eastAsia="宋体"/>
          <w:color w:val="000000"/>
          <w:sz w:val="24"/>
          <w:szCs w:val="24"/>
        </w:rPr>
        <w:t>问题的编号方式与检查表的编号方式相一致。应回答每个验收决</w:t>
      </w:r>
      <w:r>
        <w:rPr>
          <w:rFonts w:hint="eastAsia" w:eastAsia="宋体"/>
          <w:color w:val="000000"/>
          <w:sz w:val="24"/>
          <w:szCs w:val="24"/>
        </w:rPr>
        <w:t>定</w:t>
      </w:r>
      <w:r>
        <w:rPr>
          <w:rFonts w:eastAsia="宋体"/>
          <w:color w:val="000000"/>
          <w:sz w:val="24"/>
          <w:szCs w:val="24"/>
        </w:rPr>
        <w:t>问题。只有当所有问题的答案均为</w:t>
      </w:r>
      <w:r>
        <w:rPr>
          <w:rFonts w:ascii="宋体" w:hAnsi="宋体" w:eastAsia="宋体"/>
          <w:color w:val="000000"/>
          <w:sz w:val="24"/>
          <w:szCs w:val="24"/>
        </w:rPr>
        <w:t>“</w:t>
      </w:r>
      <w:r>
        <w:rPr>
          <w:rFonts w:eastAsia="宋体"/>
          <w:color w:val="000000"/>
          <w:sz w:val="24"/>
          <w:szCs w:val="24"/>
        </w:rPr>
        <w:t>是</w:t>
      </w:r>
      <w:r>
        <w:rPr>
          <w:rFonts w:ascii="宋体" w:hAnsi="宋体" w:eastAsia="宋体"/>
          <w:color w:val="000000"/>
          <w:sz w:val="24"/>
          <w:szCs w:val="24"/>
        </w:rPr>
        <w:t>”</w:t>
      </w:r>
      <w:r>
        <w:rPr>
          <w:rFonts w:eastAsia="宋体"/>
          <w:color w:val="000000"/>
          <w:sz w:val="24"/>
          <w:szCs w:val="24"/>
        </w:rPr>
        <w:t>时，才能验收PMA申请以进行</w:t>
      </w:r>
      <w:r>
        <w:rPr>
          <w:rFonts w:hint="eastAsia" w:eastAsia="宋体"/>
          <w:color w:val="000000"/>
          <w:sz w:val="24"/>
          <w:szCs w:val="24"/>
        </w:rPr>
        <w:t>备案</w:t>
      </w:r>
      <w:r>
        <w:rPr>
          <w:rFonts w:eastAsia="宋体"/>
          <w:color w:val="000000"/>
          <w:sz w:val="24"/>
          <w:szCs w:val="24"/>
        </w:rPr>
        <w:t>审评。</w:t>
      </w:r>
    </w:p>
    <w:p>
      <w:pPr>
        <w:snapToGrid w:val="0"/>
        <w:spacing w:after="240" w:afterLines="100"/>
        <w:jc w:val="both"/>
        <w:rPr>
          <w:rFonts w:eastAsia="宋体"/>
          <w:b/>
          <w:bCs/>
          <w:color w:val="000000"/>
          <w:sz w:val="24"/>
          <w:szCs w:val="24"/>
        </w:rPr>
      </w:pPr>
      <w:r>
        <w:rPr>
          <w:rFonts w:hint="eastAsia" w:eastAsia="宋体"/>
          <w:b/>
          <w:bCs/>
          <w:color w:val="000000"/>
          <w:sz w:val="24"/>
          <w:szCs w:val="24"/>
        </w:rPr>
        <w:t>验收</w:t>
      </w:r>
      <w:r>
        <w:rPr>
          <w:rFonts w:eastAsia="宋体"/>
          <w:b/>
          <w:bCs/>
          <w:color w:val="000000"/>
          <w:sz w:val="24"/>
          <w:szCs w:val="24"/>
        </w:rPr>
        <w:t>决定1：PMA是否在行政上</w:t>
      </w:r>
      <w:r>
        <w:rPr>
          <w:rFonts w:eastAsia="宋体"/>
          <w:b/>
          <w:bCs/>
          <w:color w:val="000000"/>
          <w:sz w:val="24"/>
          <w:szCs w:val="24"/>
          <w:u w:val="thick"/>
        </w:rPr>
        <w:t>完</w:t>
      </w:r>
      <w:r>
        <w:rPr>
          <w:rFonts w:hint="eastAsia" w:eastAsia="宋体"/>
          <w:b/>
          <w:bCs/>
          <w:color w:val="000000"/>
          <w:sz w:val="24"/>
          <w:szCs w:val="24"/>
          <w:u w:val="thick"/>
        </w:rPr>
        <w:t>整</w:t>
      </w:r>
      <w:r>
        <w:rPr>
          <w:rFonts w:eastAsia="宋体"/>
          <w:b/>
          <w:bCs/>
          <w:color w:val="000000"/>
          <w:sz w:val="24"/>
          <w:szCs w:val="24"/>
        </w:rPr>
        <w:t>？</w:t>
      </w:r>
    </w:p>
    <w:p>
      <w:pPr>
        <w:snapToGrid w:val="0"/>
        <w:spacing w:after="240" w:afterLines="100"/>
        <w:ind w:left="314" w:leftChars="157" w:firstLine="480" w:firstLineChars="200"/>
        <w:jc w:val="both"/>
        <w:rPr>
          <w:rFonts w:eastAsia="宋体"/>
          <w:sz w:val="24"/>
          <w:szCs w:val="24"/>
        </w:rPr>
      </w:pPr>
      <w:r>
        <w:rPr>
          <w:rFonts w:eastAsia="宋体"/>
          <w:color w:val="000000"/>
          <w:sz w:val="24"/>
          <w:szCs w:val="24"/>
        </w:rPr>
        <w:t>检查表A部分中的问题旨在概述21 CFR 814.20要求的PMA实质性审评所需的各项</w:t>
      </w:r>
      <w:r>
        <w:rPr>
          <w:rFonts w:hint="eastAsia" w:eastAsia="宋体"/>
          <w:color w:val="000000"/>
          <w:sz w:val="24"/>
          <w:szCs w:val="24"/>
        </w:rPr>
        <w:t>行政</w:t>
      </w:r>
      <w:r>
        <w:rPr>
          <w:rFonts w:eastAsia="宋体"/>
          <w:color w:val="000000"/>
          <w:sz w:val="24"/>
          <w:szCs w:val="24"/>
        </w:rPr>
        <w:t>要素。如果从表面上看，PMA缺少A部分问题描述的一个或多个必备要素或部分（包括上文讨论的制造信息），则上述问题的答案为</w:t>
      </w:r>
      <w:r>
        <w:rPr>
          <w:rFonts w:ascii="宋体" w:hAnsi="宋体" w:eastAsia="宋体"/>
          <w:color w:val="000000"/>
          <w:sz w:val="24"/>
          <w:szCs w:val="24"/>
        </w:rPr>
        <w:t>“</w:t>
      </w:r>
      <w:r>
        <w:rPr>
          <w:rFonts w:eastAsia="宋体"/>
          <w:color w:val="000000"/>
          <w:sz w:val="24"/>
          <w:szCs w:val="24"/>
        </w:rPr>
        <w:t>否</w:t>
      </w:r>
      <w:r>
        <w:rPr>
          <w:rFonts w:ascii="宋体" w:hAnsi="宋体" w:eastAsia="宋体"/>
          <w:color w:val="000000"/>
          <w:sz w:val="24"/>
          <w:szCs w:val="24"/>
        </w:rPr>
        <w:t>”</w:t>
      </w:r>
      <w:r>
        <w:rPr>
          <w:rFonts w:eastAsia="宋体"/>
          <w:color w:val="000000"/>
          <w:sz w:val="24"/>
          <w:szCs w:val="24"/>
        </w:rPr>
        <w:t>，且</w:t>
      </w:r>
      <w:r>
        <w:rPr>
          <w:rFonts w:hint="eastAsia" w:eastAsia="宋体"/>
          <w:color w:val="000000"/>
          <w:sz w:val="24"/>
          <w:szCs w:val="24"/>
        </w:rPr>
        <w:t>首席</w:t>
      </w:r>
      <w:r>
        <w:rPr>
          <w:rFonts w:eastAsia="宋体"/>
          <w:color w:val="000000"/>
          <w:sz w:val="24"/>
          <w:szCs w:val="24"/>
        </w:rPr>
        <w:t>审评员应在检查表中注明具体的遗漏。如果部分不是英文或未随附英文翻译，则将其视为缺失。如果存在此类遗漏，FDA不应</w:t>
      </w:r>
      <w:r>
        <w:rPr>
          <w:rFonts w:hint="eastAsia" w:eastAsia="宋体"/>
          <w:color w:val="000000"/>
          <w:sz w:val="24"/>
          <w:szCs w:val="24"/>
        </w:rPr>
        <w:t>验收</w:t>
      </w:r>
      <w:r>
        <w:rPr>
          <w:rFonts w:eastAsia="宋体"/>
          <w:color w:val="000000"/>
          <w:sz w:val="24"/>
          <w:szCs w:val="24"/>
        </w:rPr>
        <w:t>PMA。</w:t>
      </w:r>
    </w:p>
    <w:p>
      <w:pPr>
        <w:snapToGrid w:val="0"/>
        <w:spacing w:after="240" w:afterLines="100"/>
        <w:jc w:val="both"/>
        <w:rPr>
          <w:rFonts w:eastAsia="宋体"/>
          <w:sz w:val="24"/>
          <w:szCs w:val="24"/>
        </w:rPr>
      </w:pPr>
      <w:r>
        <w:rPr>
          <w:rFonts w:hint="eastAsia" w:eastAsia="宋体"/>
          <w:b/>
          <w:bCs/>
          <w:color w:val="000000"/>
          <w:sz w:val="24"/>
          <w:szCs w:val="24"/>
        </w:rPr>
        <w:t>验收</w:t>
      </w:r>
      <w:r>
        <w:rPr>
          <w:rFonts w:eastAsia="宋体"/>
          <w:b/>
          <w:bCs/>
          <w:color w:val="000000"/>
          <w:sz w:val="24"/>
          <w:szCs w:val="24"/>
        </w:rPr>
        <w:t>决定2：仅从行政审评来看，PMA是否包括似乎构成有效科学证据的数据？</w:t>
      </w:r>
    </w:p>
    <w:p>
      <w:pPr>
        <w:snapToGrid w:val="0"/>
        <w:spacing w:after="240" w:afterLines="100"/>
        <w:ind w:left="314" w:leftChars="157" w:firstLine="480" w:firstLineChars="200"/>
        <w:jc w:val="both"/>
        <w:rPr>
          <w:rFonts w:eastAsia="宋体"/>
          <w:sz w:val="24"/>
          <w:szCs w:val="24"/>
        </w:rPr>
      </w:pPr>
      <w:r>
        <w:rPr>
          <w:rFonts w:eastAsia="宋体"/>
          <w:color w:val="000000"/>
          <w:sz w:val="24"/>
          <w:szCs w:val="24"/>
        </w:rPr>
        <w:t>如果</w:t>
      </w:r>
      <w:r>
        <w:rPr>
          <w:rFonts w:eastAsia="宋体"/>
          <w:b/>
          <w:bCs/>
          <w:color w:val="000000"/>
          <w:sz w:val="24"/>
          <w:szCs w:val="24"/>
        </w:rPr>
        <w:t>明确</w:t>
      </w:r>
      <w:r>
        <w:rPr>
          <w:rFonts w:eastAsia="宋体"/>
          <w:color w:val="000000"/>
          <w:sz w:val="24"/>
          <w:szCs w:val="24"/>
        </w:rPr>
        <w:t>PMA中提供的唯一信息是根据21 CFR 860.7不被视为有效科学证据的信息（即</w:t>
      </w:r>
      <w:r>
        <w:rPr>
          <w:rFonts w:ascii="宋体" w:hAnsi="宋体" w:eastAsia="宋体"/>
          <w:color w:val="000000"/>
          <w:sz w:val="24"/>
          <w:szCs w:val="24"/>
        </w:rPr>
        <w:t>“</w:t>
      </w:r>
      <w:r>
        <w:rPr>
          <w:rFonts w:eastAsia="宋体"/>
          <w:color w:val="000000"/>
          <w:sz w:val="24"/>
          <w:szCs w:val="24"/>
        </w:rPr>
        <w:t>孤立的病例报告、随机经验、缺乏足够细节以进行科学评估的报告以及未经证实的意见</w:t>
      </w:r>
      <w:r>
        <w:rPr>
          <w:rFonts w:ascii="宋体" w:hAnsi="宋体" w:eastAsia="宋体"/>
          <w:color w:val="000000"/>
          <w:sz w:val="24"/>
          <w:szCs w:val="24"/>
        </w:rPr>
        <w:t>”</w:t>
      </w:r>
      <w:r>
        <w:rPr>
          <w:rFonts w:eastAsia="宋体"/>
          <w:color w:val="000000"/>
          <w:sz w:val="24"/>
          <w:szCs w:val="24"/>
        </w:rPr>
        <w:t>），那么对这个问题的回答是</w:t>
      </w:r>
      <w:r>
        <w:rPr>
          <w:rFonts w:ascii="宋体" w:hAnsi="宋体" w:eastAsia="宋体"/>
          <w:color w:val="000000"/>
          <w:sz w:val="24"/>
          <w:szCs w:val="24"/>
        </w:rPr>
        <w:t>“</w:t>
      </w:r>
      <w:r>
        <w:rPr>
          <w:rFonts w:eastAsia="宋体"/>
          <w:color w:val="000000"/>
          <w:sz w:val="24"/>
          <w:szCs w:val="24"/>
        </w:rPr>
        <w:t>否</w:t>
      </w:r>
      <w:r>
        <w:rPr>
          <w:rFonts w:ascii="宋体" w:hAnsi="宋体" w:eastAsia="宋体"/>
          <w:color w:val="000000"/>
          <w:sz w:val="24"/>
          <w:szCs w:val="24"/>
        </w:rPr>
        <w:t>”</w:t>
      </w:r>
      <w:r>
        <w:rPr>
          <w:rFonts w:eastAsia="宋体"/>
          <w:color w:val="000000"/>
          <w:sz w:val="24"/>
          <w:szCs w:val="24"/>
        </w:rPr>
        <w:t>。如果这些数据从表面上看都不构成有效的科学证据，则不应</w:t>
      </w:r>
      <w:r>
        <w:rPr>
          <w:rFonts w:hint="eastAsia" w:eastAsia="宋体"/>
          <w:color w:val="000000"/>
          <w:sz w:val="24"/>
          <w:szCs w:val="24"/>
        </w:rPr>
        <w:t>验收</w:t>
      </w:r>
      <w:r>
        <w:rPr>
          <w:rFonts w:eastAsia="宋体"/>
          <w:color w:val="000000"/>
          <w:sz w:val="24"/>
          <w:szCs w:val="24"/>
        </w:rPr>
        <w:t>PMA。</w:t>
      </w:r>
    </w:p>
    <w:p>
      <w:pPr>
        <w:snapToGrid w:val="0"/>
        <w:spacing w:after="240" w:afterLines="100"/>
        <w:jc w:val="both"/>
        <w:rPr>
          <w:rFonts w:eastAsia="宋体"/>
          <w:sz w:val="21"/>
          <w:szCs w:val="21"/>
        </w:rPr>
      </w:pPr>
    </w:p>
    <w:p>
      <w:pPr>
        <w:snapToGrid w:val="0"/>
        <w:spacing w:after="240" w:afterLines="100"/>
        <w:jc w:val="both"/>
        <w:rPr>
          <w:rFonts w:eastAsia="宋体"/>
          <w:sz w:val="21"/>
          <w:szCs w:val="21"/>
        </w:rPr>
        <w:sectPr>
          <w:pgSz w:w="11906" w:h="16838"/>
          <w:pgMar w:top="1134" w:right="1134" w:bottom="1134" w:left="1418" w:header="567" w:footer="567" w:gutter="0"/>
          <w:cols w:space="60" w:num="1"/>
          <w:docGrid w:linePitch="272" w:charSpace="0"/>
        </w:sectPr>
      </w:pPr>
    </w:p>
    <w:p>
      <w:pPr>
        <w:snapToGrid w:val="0"/>
        <w:spacing w:after="240" w:afterLines="100"/>
        <w:ind w:left="1325" w:hanging="1325" w:hangingChars="550"/>
        <w:jc w:val="both"/>
        <w:rPr>
          <w:rFonts w:eastAsia="宋体"/>
          <w:sz w:val="24"/>
          <w:szCs w:val="24"/>
        </w:rPr>
      </w:pPr>
      <w:r>
        <w:rPr>
          <w:rFonts w:hint="eastAsia" w:eastAsia="宋体"/>
          <w:b/>
          <w:bCs/>
          <w:color w:val="000000"/>
          <w:sz w:val="24"/>
          <w:szCs w:val="24"/>
        </w:rPr>
        <w:t>验收</w:t>
      </w:r>
      <w:r>
        <w:rPr>
          <w:rFonts w:eastAsia="宋体"/>
          <w:b/>
          <w:bCs/>
          <w:color w:val="000000"/>
          <w:sz w:val="24"/>
          <w:szCs w:val="24"/>
        </w:rPr>
        <w:t>决定3：</w:t>
      </w:r>
      <w:r>
        <w:rPr>
          <w:rFonts w:eastAsia="宋体"/>
          <w:b/>
          <w:bCs/>
          <w:color w:val="000000"/>
          <w:sz w:val="24"/>
          <w:szCs w:val="24"/>
        </w:rPr>
        <w:tab/>
      </w:r>
      <w:r>
        <w:rPr>
          <w:rFonts w:eastAsia="宋体"/>
          <w:b/>
          <w:bCs/>
          <w:color w:val="000000"/>
          <w:sz w:val="24"/>
          <w:szCs w:val="24"/>
        </w:rPr>
        <w:t>在提交PMA申请前</w:t>
      </w:r>
      <w:r>
        <w:rPr>
          <w:rFonts w:hint="eastAsia" w:eastAsia="宋体"/>
          <w:b/>
          <w:bCs/>
          <w:color w:val="000000"/>
          <w:sz w:val="24"/>
          <w:szCs w:val="24"/>
        </w:rPr>
        <w:t>，</w:t>
      </w:r>
      <w:r>
        <w:rPr>
          <w:rFonts w:eastAsia="宋体"/>
          <w:b/>
          <w:bCs/>
          <w:color w:val="000000"/>
          <w:sz w:val="24"/>
          <w:szCs w:val="24"/>
        </w:rPr>
        <w:t>PMA是否解决了FDA确定的关键非临床和临床问题，或者申请人是否为替代方法提供了科学或临床理由？</w:t>
      </w:r>
    </w:p>
    <w:p>
      <w:pPr>
        <w:snapToGrid w:val="0"/>
        <w:spacing w:after="240" w:afterLines="100"/>
        <w:ind w:left="314" w:leftChars="157" w:firstLine="480" w:firstLineChars="200"/>
        <w:jc w:val="both"/>
        <w:rPr>
          <w:rFonts w:eastAsia="宋体"/>
          <w:color w:val="000000"/>
          <w:sz w:val="24"/>
          <w:szCs w:val="24"/>
        </w:rPr>
      </w:pPr>
      <w:r>
        <w:rPr>
          <w:rFonts w:hint="eastAsia" w:eastAsia="宋体"/>
          <w:color w:val="000000"/>
          <w:sz w:val="24"/>
          <w:szCs w:val="24"/>
        </w:rPr>
        <w:t>检查表</w:t>
      </w:r>
      <w:r>
        <w:rPr>
          <w:rFonts w:eastAsia="宋体"/>
          <w:color w:val="000000"/>
          <w:sz w:val="24"/>
          <w:szCs w:val="24"/>
        </w:rPr>
        <w:t>的B部分列出了一些问题，以确定FDA之前通过一个或多个机制向申请人提供关于PMA内容的具体指</w:t>
      </w:r>
      <w:r>
        <w:rPr>
          <w:rFonts w:hint="eastAsia" w:eastAsia="宋体"/>
          <w:color w:val="000000"/>
          <w:sz w:val="24"/>
          <w:szCs w:val="24"/>
        </w:rPr>
        <w:t>南</w:t>
      </w:r>
      <w:r>
        <w:rPr>
          <w:rFonts w:eastAsia="宋体"/>
          <w:color w:val="000000"/>
          <w:sz w:val="24"/>
          <w:szCs w:val="24"/>
        </w:rPr>
        <w:t>，例如之前的PMA申请、之前关于510（k）的</w:t>
      </w:r>
      <w:r>
        <w:rPr>
          <w:rFonts w:ascii="宋体" w:hAnsi="宋体" w:eastAsia="宋体"/>
          <w:color w:val="000000"/>
          <w:sz w:val="24"/>
          <w:szCs w:val="24"/>
        </w:rPr>
        <w:t>“</w:t>
      </w:r>
      <w:r>
        <w:rPr>
          <w:rFonts w:eastAsia="宋体"/>
          <w:color w:val="000000"/>
          <w:sz w:val="24"/>
          <w:szCs w:val="24"/>
        </w:rPr>
        <w:t>非实质性等同</w:t>
      </w:r>
      <w:r>
        <w:rPr>
          <w:rFonts w:ascii="宋体" w:hAnsi="宋体" w:eastAsia="宋体"/>
          <w:color w:val="000000"/>
          <w:sz w:val="24"/>
          <w:szCs w:val="24"/>
        </w:rPr>
        <w:t>”</w:t>
      </w:r>
      <w:r>
        <w:rPr>
          <w:rFonts w:eastAsia="宋体"/>
          <w:color w:val="000000"/>
          <w:sz w:val="24"/>
          <w:szCs w:val="24"/>
        </w:rPr>
        <w:t>决定、临床试验用器械豁免（IDE）信函、Q-</w:t>
      </w:r>
      <w:r>
        <w:rPr>
          <w:rFonts w:hint="eastAsia" w:eastAsia="宋体"/>
          <w:color w:val="000000"/>
          <w:sz w:val="24"/>
          <w:szCs w:val="24"/>
        </w:rPr>
        <w:t>申请</w:t>
      </w:r>
      <w:r>
        <w:rPr>
          <w:rFonts w:eastAsia="宋体"/>
          <w:color w:val="000000"/>
          <w:sz w:val="24"/>
          <w:szCs w:val="24"/>
        </w:rPr>
        <w:t>反馈、决定或方案会议、或其他与FDA的实质性沟通，或通过公布的指导文件。如果这些信息已通过一个或多个机制传达给申请人，且PMA申请解决了FDA确定的每个关键的非临床和临床问题，那么上述问题的答案</w:t>
      </w:r>
      <w:r>
        <w:rPr>
          <w:rFonts w:hint="eastAsia" w:eastAsia="宋体"/>
          <w:color w:val="000000"/>
          <w:sz w:val="24"/>
          <w:szCs w:val="24"/>
        </w:rPr>
        <w:t>为</w:t>
      </w:r>
      <w:r>
        <w:rPr>
          <w:rFonts w:ascii="宋体" w:hAnsi="宋体" w:eastAsia="宋体"/>
          <w:color w:val="000000"/>
          <w:sz w:val="24"/>
          <w:szCs w:val="24"/>
        </w:rPr>
        <w:t>“</w:t>
      </w:r>
      <w:r>
        <w:rPr>
          <w:rFonts w:eastAsia="宋体"/>
          <w:color w:val="000000"/>
          <w:sz w:val="24"/>
          <w:szCs w:val="24"/>
        </w:rPr>
        <w:t>是</w:t>
      </w:r>
      <w:r>
        <w:rPr>
          <w:rFonts w:ascii="宋体" w:hAnsi="宋体" w:eastAsia="宋体"/>
          <w:color w:val="000000"/>
          <w:sz w:val="24"/>
          <w:szCs w:val="24"/>
        </w:rPr>
        <w:t>”</w:t>
      </w:r>
      <w:r>
        <w:rPr>
          <w:rFonts w:eastAsia="宋体"/>
          <w:color w:val="000000"/>
          <w:sz w:val="24"/>
          <w:szCs w:val="24"/>
        </w:rPr>
        <w:t>。此外，如果FDA之前确定的这些关键问题中的部分问题尚未解决，但PMA申请中包含了省略或</w:t>
      </w:r>
      <w:r>
        <w:rPr>
          <w:rFonts w:hint="eastAsia" w:eastAsia="宋体"/>
          <w:color w:val="000000"/>
          <w:sz w:val="24"/>
          <w:szCs w:val="24"/>
        </w:rPr>
        <w:t>偏离</w:t>
      </w:r>
      <w:r>
        <w:rPr>
          <w:rFonts w:eastAsia="宋体"/>
          <w:color w:val="000000"/>
          <w:sz w:val="24"/>
          <w:szCs w:val="24"/>
        </w:rPr>
        <w:t>的科学或临床理由，则上述问题的答案</w:t>
      </w:r>
      <w:r>
        <w:rPr>
          <w:rFonts w:hint="eastAsia" w:eastAsia="宋体"/>
          <w:color w:val="000000"/>
          <w:sz w:val="24"/>
          <w:szCs w:val="24"/>
        </w:rPr>
        <w:t>为</w:t>
      </w:r>
      <w:r>
        <w:rPr>
          <w:rFonts w:ascii="宋体" w:hAnsi="宋体" w:eastAsia="宋体"/>
          <w:color w:val="000000"/>
          <w:sz w:val="24"/>
          <w:szCs w:val="24"/>
        </w:rPr>
        <w:t>“</w:t>
      </w:r>
      <w:r>
        <w:rPr>
          <w:rFonts w:eastAsia="宋体"/>
          <w:color w:val="000000"/>
          <w:sz w:val="24"/>
          <w:szCs w:val="24"/>
        </w:rPr>
        <w:t>是</w:t>
      </w:r>
      <w:r>
        <w:rPr>
          <w:rFonts w:ascii="宋体" w:hAnsi="宋体" w:eastAsia="宋体"/>
          <w:color w:val="000000"/>
          <w:sz w:val="24"/>
          <w:szCs w:val="24"/>
        </w:rPr>
        <w:t>”</w:t>
      </w:r>
      <w:r>
        <w:rPr>
          <w:rFonts w:eastAsia="宋体"/>
          <w:color w:val="000000"/>
          <w:sz w:val="24"/>
          <w:szCs w:val="24"/>
        </w:rPr>
        <w:t>。如果PMA申请中包含一个声明，即器械无事先</w:t>
      </w:r>
      <w:r>
        <w:rPr>
          <w:rFonts w:hint="eastAsia" w:eastAsia="宋体"/>
          <w:color w:val="000000"/>
          <w:sz w:val="24"/>
          <w:szCs w:val="24"/>
        </w:rPr>
        <w:t>申请</w:t>
      </w:r>
      <w:r>
        <w:rPr>
          <w:rFonts w:eastAsia="宋体"/>
          <w:color w:val="000000"/>
          <w:sz w:val="24"/>
          <w:szCs w:val="24"/>
        </w:rPr>
        <w:t>，则上述问题的答案</w:t>
      </w:r>
      <w:r>
        <w:rPr>
          <w:rFonts w:hint="eastAsia" w:eastAsia="宋体"/>
          <w:color w:val="000000"/>
          <w:sz w:val="24"/>
          <w:szCs w:val="24"/>
        </w:rPr>
        <w:t>为</w:t>
      </w:r>
      <w:r>
        <w:rPr>
          <w:rFonts w:ascii="宋体" w:hAnsi="宋体" w:eastAsia="宋体"/>
          <w:color w:val="000000"/>
          <w:sz w:val="24"/>
          <w:szCs w:val="24"/>
        </w:rPr>
        <w:t>“</w:t>
      </w:r>
      <w:r>
        <w:rPr>
          <w:rFonts w:eastAsia="宋体"/>
          <w:color w:val="000000"/>
          <w:sz w:val="24"/>
          <w:szCs w:val="24"/>
        </w:rPr>
        <w:t>是</w:t>
      </w:r>
      <w:r>
        <w:rPr>
          <w:rFonts w:ascii="宋体" w:hAnsi="宋体" w:eastAsia="宋体"/>
          <w:color w:val="000000"/>
          <w:sz w:val="24"/>
          <w:szCs w:val="24"/>
        </w:rPr>
        <w:t>”</w:t>
      </w:r>
      <w:r>
        <w:rPr>
          <w:rFonts w:eastAsia="宋体"/>
          <w:color w:val="000000"/>
          <w:sz w:val="24"/>
          <w:szCs w:val="24"/>
        </w:rPr>
        <w:t>。这些</w:t>
      </w:r>
      <w:r>
        <w:rPr>
          <w:rFonts w:hint="eastAsia" w:eastAsia="宋体"/>
          <w:color w:val="000000"/>
          <w:sz w:val="24"/>
          <w:szCs w:val="24"/>
        </w:rPr>
        <w:t>情况</w:t>
      </w:r>
      <w:r>
        <w:rPr>
          <w:rFonts w:eastAsia="宋体"/>
          <w:color w:val="000000"/>
          <w:sz w:val="24"/>
          <w:szCs w:val="24"/>
        </w:rPr>
        <w:t>并不妨碍审评部门</w:t>
      </w:r>
      <w:r>
        <w:rPr>
          <w:rFonts w:hint="eastAsia" w:eastAsia="宋体"/>
          <w:color w:val="000000"/>
          <w:sz w:val="24"/>
          <w:szCs w:val="24"/>
        </w:rPr>
        <w:t>验收</w:t>
      </w:r>
      <w:r>
        <w:rPr>
          <w:rFonts w:eastAsia="宋体"/>
          <w:color w:val="000000"/>
          <w:sz w:val="24"/>
          <w:szCs w:val="24"/>
        </w:rPr>
        <w:t>PMA。</w:t>
      </w:r>
    </w:p>
    <w:p>
      <w:pPr>
        <w:snapToGrid w:val="0"/>
        <w:spacing w:after="240" w:afterLines="100"/>
        <w:ind w:left="314" w:leftChars="157" w:firstLine="480" w:firstLineChars="200"/>
        <w:jc w:val="both"/>
        <w:rPr>
          <w:rFonts w:eastAsia="宋体"/>
          <w:color w:val="000000"/>
          <w:sz w:val="24"/>
          <w:szCs w:val="24"/>
        </w:rPr>
      </w:pPr>
      <w:r>
        <w:rPr>
          <w:rFonts w:eastAsia="宋体"/>
          <w:color w:val="000000"/>
          <w:sz w:val="24"/>
          <w:szCs w:val="24"/>
        </w:rPr>
        <w:t>在这种情况下，</w:t>
      </w:r>
      <w:r>
        <w:rPr>
          <w:rFonts w:ascii="宋体" w:hAnsi="宋体" w:eastAsia="宋体"/>
          <w:color w:val="000000"/>
          <w:sz w:val="24"/>
          <w:szCs w:val="24"/>
        </w:rPr>
        <w:t>“</w:t>
      </w:r>
      <w:r>
        <w:rPr>
          <w:rFonts w:eastAsia="宋体"/>
          <w:color w:val="000000"/>
          <w:sz w:val="24"/>
          <w:szCs w:val="24"/>
        </w:rPr>
        <w:t>关键问题</w:t>
      </w:r>
      <w:r>
        <w:rPr>
          <w:rFonts w:ascii="宋体" w:hAnsi="宋体" w:eastAsia="宋体"/>
          <w:color w:val="000000"/>
          <w:sz w:val="24"/>
          <w:szCs w:val="24"/>
        </w:rPr>
        <w:t>”</w:t>
      </w:r>
      <w:r>
        <w:rPr>
          <w:rFonts w:eastAsia="宋体"/>
          <w:color w:val="000000"/>
          <w:sz w:val="24"/>
          <w:szCs w:val="24"/>
        </w:rPr>
        <w:t>一词指根据《FD&amp;C法案》第515（c）和（d）</w:t>
      </w:r>
      <w:r>
        <w:rPr>
          <w:rFonts w:hint="eastAsia" w:eastAsia="宋体"/>
          <w:color w:val="000000"/>
          <w:sz w:val="24"/>
          <w:szCs w:val="24"/>
        </w:rPr>
        <w:t>节</w:t>
      </w:r>
      <w:r>
        <w:rPr>
          <w:rFonts w:eastAsia="宋体"/>
          <w:color w:val="000000"/>
          <w:sz w:val="24"/>
          <w:szCs w:val="24"/>
        </w:rPr>
        <w:t>对我们审评器械安全性和有效性的核心问题。关键问题的例子包括：需要进行长期的非临床研究（如生物相容性、致癌性或其他动物研究），以及某些临床试验参数（如样本量、患者人群、统计假设、研究设计和终点）。这些关键问题通常是针对器械的。因此，审评部门必须在仔细考虑以下问题后</w:t>
      </w:r>
      <w:r>
        <w:rPr>
          <w:rFonts w:hint="eastAsia" w:eastAsia="宋体"/>
          <w:color w:val="000000"/>
          <w:sz w:val="24"/>
          <w:szCs w:val="24"/>
        </w:rPr>
        <w:t>，</w:t>
      </w:r>
      <w:r>
        <w:rPr>
          <w:rFonts w:eastAsia="宋体"/>
          <w:color w:val="000000"/>
          <w:sz w:val="24"/>
          <w:szCs w:val="24"/>
        </w:rPr>
        <w:t>根据这一标准作出</w:t>
      </w:r>
      <w:r>
        <w:rPr>
          <w:rFonts w:ascii="宋体" w:hAnsi="宋体" w:eastAsia="宋体"/>
          <w:color w:val="000000"/>
          <w:sz w:val="24"/>
          <w:szCs w:val="24"/>
        </w:rPr>
        <w:t>“</w:t>
      </w:r>
      <w:r>
        <w:rPr>
          <w:rFonts w:eastAsia="宋体"/>
          <w:color w:val="000000"/>
          <w:sz w:val="24"/>
          <w:szCs w:val="24"/>
        </w:rPr>
        <w:t>拒绝接受</w:t>
      </w:r>
      <w:r>
        <w:rPr>
          <w:rFonts w:hint="eastAsia" w:ascii="宋体" w:hAnsi="宋体" w:eastAsia="宋体"/>
          <w:color w:val="000000"/>
          <w:sz w:val="24"/>
          <w:szCs w:val="24"/>
        </w:rPr>
        <w:t>”</w:t>
      </w:r>
      <w:r>
        <w:rPr>
          <w:rFonts w:eastAsia="宋体"/>
          <w:color w:val="000000"/>
          <w:sz w:val="24"/>
          <w:szCs w:val="24"/>
        </w:rPr>
        <w:t>PMA申请的决定</w:t>
      </w:r>
      <w:r>
        <w:rPr>
          <w:rFonts w:hint="eastAsia" w:eastAsia="宋体"/>
          <w:color w:val="000000"/>
          <w:sz w:val="24"/>
          <w:szCs w:val="24"/>
        </w:rPr>
        <w:t>：</w:t>
      </w:r>
    </w:p>
    <w:p>
      <w:pPr>
        <w:snapToGrid w:val="0"/>
        <w:spacing w:after="240" w:afterLines="100"/>
        <w:ind w:left="314" w:leftChars="157" w:firstLine="480" w:firstLineChars="200"/>
        <w:jc w:val="both"/>
        <w:rPr>
          <w:rFonts w:eastAsia="宋体"/>
          <w:i/>
          <w:iCs/>
          <w:color w:val="000000"/>
          <w:sz w:val="24"/>
          <w:szCs w:val="24"/>
        </w:rPr>
      </w:pPr>
      <w:r>
        <w:rPr>
          <w:rFonts w:eastAsia="宋体"/>
          <w:i/>
          <w:iCs/>
          <w:color w:val="000000"/>
          <w:sz w:val="24"/>
          <w:szCs w:val="24"/>
        </w:rPr>
        <w:t>必要的非临床和临床研究的类型是否在科学界和医学界对该特定器械众所周知？</w:t>
      </w:r>
    </w:p>
    <w:p>
      <w:pPr>
        <w:snapToGrid w:val="0"/>
        <w:spacing w:after="240" w:afterLines="100"/>
        <w:ind w:left="314" w:leftChars="157" w:firstLine="480" w:firstLineChars="200"/>
        <w:jc w:val="both"/>
        <w:rPr>
          <w:rFonts w:eastAsia="宋体"/>
          <w:sz w:val="24"/>
          <w:szCs w:val="24"/>
        </w:rPr>
      </w:pPr>
      <w:r>
        <w:rPr>
          <w:rFonts w:eastAsia="宋体"/>
          <w:color w:val="000000"/>
          <w:sz w:val="24"/>
          <w:szCs w:val="24"/>
        </w:rPr>
        <w:t>对于一个</w:t>
      </w:r>
      <w:r>
        <w:rPr>
          <w:rFonts w:ascii="宋体" w:hAnsi="宋体" w:eastAsia="宋体"/>
          <w:color w:val="000000"/>
          <w:sz w:val="24"/>
          <w:szCs w:val="24"/>
        </w:rPr>
        <w:t>“</w:t>
      </w:r>
      <w:r>
        <w:rPr>
          <w:rFonts w:hint="eastAsia" w:eastAsia="宋体"/>
          <w:color w:val="000000"/>
          <w:sz w:val="24"/>
          <w:szCs w:val="24"/>
        </w:rPr>
        <w:t>成熟</w:t>
      </w:r>
      <w:r>
        <w:rPr>
          <w:rFonts w:hint="eastAsia" w:ascii="宋体" w:hAnsi="宋体" w:eastAsia="宋体"/>
          <w:color w:val="000000"/>
          <w:sz w:val="24"/>
          <w:szCs w:val="24"/>
        </w:rPr>
        <w:t>”</w:t>
      </w:r>
      <w:r>
        <w:rPr>
          <w:rFonts w:eastAsia="宋体"/>
          <w:color w:val="000000"/>
          <w:sz w:val="24"/>
          <w:szCs w:val="24"/>
        </w:rPr>
        <w:t>的器械类型，我们期望在PMA中进行的非临床和临床研究类型很可能在FDA内部以及科学和医学界都是众所周知的，因此，通常被列为FDA指导文件和/或共识标准的一部分。如果引用自愿共识标准，申请人应考虑FDA的指南</w:t>
      </w:r>
      <w:r>
        <w:rPr>
          <w:rFonts w:ascii="宋体" w:hAnsi="宋体" w:eastAsia="宋体"/>
          <w:color w:val="000000"/>
          <w:sz w:val="24"/>
          <w:szCs w:val="24"/>
        </w:rPr>
        <w:t>“</w:t>
      </w:r>
      <w:r>
        <w:rPr>
          <w:rFonts w:eastAsia="宋体"/>
          <w:color w:val="0000FF"/>
          <w:sz w:val="24"/>
          <w:szCs w:val="24"/>
          <w:u w:val="single"/>
        </w:rPr>
        <w:t>在医疗器械上市前提交中适当使用自愿共识标准</w:t>
      </w:r>
      <w:r>
        <w:rPr>
          <w:rFonts w:eastAsia="宋体"/>
          <w:color w:val="000000" w:themeColor="text1"/>
          <w:sz w:val="24"/>
          <w:szCs w:val="24"/>
        </w:rPr>
        <w:t>。</w:t>
      </w:r>
      <w:r>
        <w:rPr>
          <w:rFonts w:ascii="宋体" w:hAnsi="宋体" w:eastAsia="宋体"/>
          <w:color w:val="000000" w:themeColor="text1"/>
          <w:sz w:val="24"/>
          <w:szCs w:val="24"/>
        </w:rPr>
        <w:t>”</w:t>
      </w:r>
      <w:r>
        <w:rPr>
          <w:rFonts w:eastAsia="宋体"/>
          <w:color w:val="0000FF"/>
          <w:sz w:val="24"/>
          <w:szCs w:val="24"/>
          <w:vertAlign w:val="superscript"/>
        </w:rPr>
        <w:t xml:space="preserve"> </w:t>
      </w:r>
      <w:r>
        <w:rPr>
          <w:rStyle w:val="13"/>
          <w:rFonts w:eastAsia="宋体"/>
          <w:color w:val="000000"/>
          <w:sz w:val="24"/>
          <w:szCs w:val="24"/>
        </w:rPr>
        <w:footnoteReference w:id="15"/>
      </w:r>
    </w:p>
    <w:p>
      <w:pPr>
        <w:snapToGrid w:val="0"/>
        <w:spacing w:after="240" w:afterLines="100"/>
        <w:ind w:left="314" w:leftChars="157" w:firstLine="480" w:firstLineChars="200"/>
        <w:jc w:val="both"/>
        <w:rPr>
          <w:rFonts w:eastAsia="宋体"/>
          <w:i/>
          <w:iCs/>
          <w:color w:val="000000"/>
          <w:sz w:val="24"/>
          <w:szCs w:val="24"/>
        </w:rPr>
      </w:pPr>
      <w:r>
        <w:rPr>
          <w:rFonts w:eastAsia="宋体"/>
          <w:i/>
          <w:iCs/>
          <w:color w:val="000000"/>
          <w:sz w:val="24"/>
          <w:szCs w:val="24"/>
        </w:rPr>
        <w:t>这些问题是否作为有记录的监管过程的一部分传达给了申请人？</w:t>
      </w:r>
    </w:p>
    <w:p>
      <w:pPr>
        <w:snapToGrid w:val="0"/>
        <w:spacing w:after="240" w:afterLines="100"/>
        <w:ind w:left="314" w:leftChars="157"/>
        <w:jc w:val="both"/>
        <w:rPr>
          <w:rFonts w:eastAsia="宋体"/>
          <w:color w:val="000000"/>
          <w:sz w:val="24"/>
          <w:szCs w:val="24"/>
        </w:rPr>
      </w:pPr>
      <w:r>
        <w:rPr>
          <w:rFonts w:eastAsia="宋体"/>
          <w:color w:val="000000"/>
          <w:sz w:val="24"/>
          <w:szCs w:val="24"/>
        </w:rPr>
        <w:t>文件化监管程序的例子包括：</w:t>
      </w:r>
    </w:p>
    <w:p>
      <w:pPr>
        <w:snapToGrid w:val="0"/>
        <w:spacing w:after="240" w:afterLines="10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Q-</w:t>
      </w:r>
      <w:r>
        <w:rPr>
          <w:rFonts w:hint="eastAsia" w:eastAsia="宋体"/>
          <w:color w:val="000000"/>
          <w:sz w:val="24"/>
          <w:szCs w:val="24"/>
        </w:rPr>
        <w:t>申请</w:t>
      </w:r>
      <w:r>
        <w:rPr>
          <w:rFonts w:eastAsia="宋体"/>
          <w:color w:val="000000"/>
          <w:sz w:val="24"/>
          <w:szCs w:val="24"/>
        </w:rPr>
        <w:t>互动，</w:t>
      </w:r>
    </w:p>
    <w:p>
      <w:pPr>
        <w:snapToGrid w:val="0"/>
        <w:spacing w:after="240" w:afterLines="100"/>
        <w:jc w:val="both"/>
        <w:rPr>
          <w:rFonts w:eastAsia="宋体"/>
          <w:sz w:val="21"/>
          <w:szCs w:val="21"/>
        </w:rPr>
      </w:pPr>
    </w:p>
    <w:p>
      <w:pPr>
        <w:snapToGrid w:val="0"/>
        <w:spacing w:after="240" w:afterLines="100"/>
        <w:jc w:val="both"/>
        <w:rPr>
          <w:rFonts w:eastAsia="宋体"/>
          <w:sz w:val="21"/>
          <w:szCs w:val="21"/>
        </w:rPr>
        <w:sectPr>
          <w:pgSz w:w="11906" w:h="16838"/>
          <w:pgMar w:top="1134" w:right="1134" w:bottom="1134" w:left="1418" w:header="567" w:footer="567" w:gutter="0"/>
          <w:cols w:space="60" w:num="1"/>
          <w:docGrid w:linePitch="272" w:charSpace="0"/>
        </w:sectPr>
      </w:pPr>
    </w:p>
    <w:p>
      <w:pPr>
        <w:snapToGrid w:val="0"/>
        <w:spacing w:after="240" w:afterLines="10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先前的PMA申请，</w:t>
      </w:r>
    </w:p>
    <w:p>
      <w:pPr>
        <w:snapToGrid w:val="0"/>
        <w:spacing w:after="240" w:afterLines="10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先前在510（k）上的</w:t>
      </w:r>
      <w:r>
        <w:rPr>
          <w:rFonts w:ascii="宋体" w:hAnsi="宋体" w:eastAsia="宋体"/>
          <w:color w:val="000000"/>
          <w:sz w:val="24"/>
          <w:szCs w:val="24"/>
        </w:rPr>
        <w:t>“</w:t>
      </w:r>
      <w:r>
        <w:rPr>
          <w:rFonts w:eastAsia="宋体"/>
          <w:color w:val="000000"/>
          <w:sz w:val="24"/>
          <w:szCs w:val="24"/>
        </w:rPr>
        <w:t>非实质性等同</w:t>
      </w:r>
      <w:r>
        <w:rPr>
          <w:rFonts w:hint="eastAsia" w:ascii="宋体" w:hAnsi="宋体" w:eastAsia="宋体"/>
          <w:color w:val="000000"/>
          <w:sz w:val="24"/>
          <w:szCs w:val="24"/>
        </w:rPr>
        <w:t>”</w:t>
      </w:r>
      <w:r>
        <w:rPr>
          <w:rFonts w:eastAsia="宋体"/>
          <w:color w:val="000000"/>
          <w:sz w:val="24"/>
          <w:szCs w:val="24"/>
        </w:rPr>
        <w:t>决定，</w:t>
      </w:r>
    </w:p>
    <w:p>
      <w:pPr>
        <w:snapToGrid w:val="0"/>
        <w:spacing w:after="240" w:afterLines="10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IDE信函，或</w:t>
      </w:r>
    </w:p>
    <w:p>
      <w:pPr>
        <w:snapToGrid w:val="0"/>
        <w:spacing w:after="240" w:afterLines="10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作为决定或方案会议的结果而发出的信函。</w:t>
      </w:r>
    </w:p>
    <w:p>
      <w:pPr>
        <w:snapToGrid w:val="0"/>
        <w:spacing w:after="240" w:afterLines="100"/>
        <w:ind w:left="314" w:leftChars="157" w:firstLine="480" w:firstLineChars="200"/>
        <w:jc w:val="both"/>
        <w:rPr>
          <w:rFonts w:eastAsia="宋体"/>
          <w:sz w:val="24"/>
          <w:szCs w:val="24"/>
        </w:rPr>
      </w:pPr>
      <w:r>
        <w:rPr>
          <w:rFonts w:eastAsia="宋体"/>
          <w:color w:val="000000"/>
          <w:sz w:val="24"/>
          <w:szCs w:val="24"/>
        </w:rPr>
        <w:t>工作人员应在对</w:t>
      </w:r>
      <w:r>
        <w:rPr>
          <w:rFonts w:ascii="宋体" w:hAnsi="宋体" w:eastAsia="宋体"/>
          <w:color w:val="000000"/>
          <w:sz w:val="24"/>
          <w:szCs w:val="24"/>
        </w:rPr>
        <w:t>“</w:t>
      </w:r>
      <w:r>
        <w:rPr>
          <w:rFonts w:hint="eastAsia" w:eastAsia="宋体"/>
          <w:color w:val="000000"/>
          <w:sz w:val="24"/>
          <w:szCs w:val="24"/>
        </w:rPr>
        <w:t>验收</w:t>
      </w:r>
      <w:r>
        <w:rPr>
          <w:rFonts w:eastAsia="宋体"/>
          <w:color w:val="000000"/>
          <w:sz w:val="24"/>
          <w:szCs w:val="24"/>
        </w:rPr>
        <w:t>决定3</w:t>
      </w:r>
      <w:r>
        <w:rPr>
          <w:rFonts w:hint="eastAsia" w:ascii="宋体" w:hAnsi="宋体" w:eastAsia="宋体"/>
          <w:color w:val="000000"/>
          <w:sz w:val="24"/>
          <w:szCs w:val="24"/>
        </w:rPr>
        <w:t>”</w:t>
      </w:r>
      <w:r>
        <w:rPr>
          <w:rFonts w:eastAsia="宋体"/>
          <w:color w:val="000000"/>
          <w:sz w:val="24"/>
          <w:szCs w:val="24"/>
        </w:rPr>
        <w:t>作出</w:t>
      </w:r>
      <w:r>
        <w:rPr>
          <w:rFonts w:ascii="宋体" w:hAnsi="宋体" w:eastAsia="宋体"/>
          <w:color w:val="000000"/>
          <w:sz w:val="24"/>
          <w:szCs w:val="24"/>
        </w:rPr>
        <w:t>“</w:t>
      </w:r>
      <w:r>
        <w:rPr>
          <w:rFonts w:eastAsia="宋体"/>
          <w:color w:val="000000"/>
          <w:sz w:val="24"/>
          <w:szCs w:val="24"/>
        </w:rPr>
        <w:t>否</w:t>
      </w:r>
      <w:r>
        <w:rPr>
          <w:rFonts w:hint="eastAsia" w:ascii="宋体" w:hAnsi="宋体" w:eastAsia="宋体"/>
          <w:color w:val="000000"/>
          <w:sz w:val="24"/>
          <w:szCs w:val="24"/>
        </w:rPr>
        <w:t>”</w:t>
      </w:r>
      <w:r>
        <w:rPr>
          <w:rFonts w:eastAsia="宋体"/>
          <w:color w:val="000000"/>
          <w:sz w:val="24"/>
          <w:szCs w:val="24"/>
        </w:rPr>
        <w:t>的答复时，仅将PMA</w:t>
      </w:r>
      <w:r>
        <w:rPr>
          <w:rFonts w:hint="eastAsia" w:eastAsia="宋体"/>
          <w:color w:val="000000"/>
          <w:sz w:val="24"/>
          <w:szCs w:val="24"/>
        </w:rPr>
        <w:t>界定</w:t>
      </w:r>
      <w:r>
        <w:rPr>
          <w:rFonts w:eastAsia="宋体"/>
          <w:color w:val="000000"/>
          <w:sz w:val="24"/>
          <w:szCs w:val="24"/>
        </w:rPr>
        <w:t>为</w:t>
      </w:r>
      <w:r>
        <w:rPr>
          <w:rFonts w:ascii="宋体" w:hAnsi="宋体" w:eastAsia="宋体"/>
          <w:color w:val="000000"/>
          <w:sz w:val="24"/>
          <w:szCs w:val="24"/>
        </w:rPr>
        <w:t>“</w:t>
      </w:r>
      <w:r>
        <w:rPr>
          <w:rFonts w:eastAsia="宋体"/>
          <w:color w:val="000000"/>
          <w:sz w:val="24"/>
          <w:szCs w:val="24"/>
        </w:rPr>
        <w:t>拒绝</w:t>
      </w:r>
      <w:r>
        <w:rPr>
          <w:rFonts w:hint="eastAsia" w:eastAsia="宋体"/>
          <w:color w:val="000000"/>
          <w:sz w:val="24"/>
          <w:szCs w:val="24"/>
        </w:rPr>
        <w:t>验收</w:t>
      </w:r>
      <w:r>
        <w:rPr>
          <w:rFonts w:ascii="宋体" w:hAnsi="宋体" w:eastAsia="宋体"/>
          <w:color w:val="000000"/>
          <w:sz w:val="24"/>
          <w:szCs w:val="24"/>
        </w:rPr>
        <w:t>”</w:t>
      </w:r>
      <w:r>
        <w:rPr>
          <w:rFonts w:eastAsia="宋体"/>
          <w:color w:val="000000"/>
          <w:sz w:val="24"/>
          <w:szCs w:val="24"/>
        </w:rPr>
        <w:t>，因为关键问题是由工作人员作为记录在案的监管</w:t>
      </w:r>
      <w:r>
        <w:rPr>
          <w:rFonts w:hint="eastAsia" w:eastAsia="宋体"/>
          <w:color w:val="000000"/>
          <w:sz w:val="24"/>
          <w:szCs w:val="24"/>
        </w:rPr>
        <w:t>过程</w:t>
      </w:r>
      <w:r>
        <w:rPr>
          <w:rFonts w:eastAsia="宋体"/>
          <w:color w:val="000000"/>
          <w:sz w:val="24"/>
          <w:szCs w:val="24"/>
        </w:rPr>
        <w:t>的一部分来确定的。</w:t>
      </w:r>
    </w:p>
    <w:p>
      <w:pPr>
        <w:pStyle w:val="2"/>
        <w:tabs>
          <w:tab w:val="left" w:pos="-1418"/>
          <w:tab w:val="clear" w:pos="1274"/>
        </w:tabs>
        <w:spacing w:beforeLines="0" w:after="240"/>
        <w:ind w:left="643" w:hanging="643" w:hangingChars="200"/>
        <w:rPr>
          <w:rFonts w:eastAsia="宋体"/>
          <w:sz w:val="32"/>
          <w:szCs w:val="32"/>
        </w:rPr>
      </w:pPr>
      <w:r>
        <w:rPr>
          <w:rFonts w:eastAsia="宋体"/>
          <w:sz w:val="32"/>
          <w:szCs w:val="32"/>
        </w:rPr>
        <w:t>X.</w:t>
      </w:r>
      <w:r>
        <w:rPr>
          <w:rFonts w:eastAsia="宋体"/>
          <w:sz w:val="32"/>
          <w:szCs w:val="32"/>
        </w:rPr>
        <w:tab/>
      </w:r>
      <w:r>
        <w:rPr>
          <w:rFonts w:eastAsia="宋体"/>
          <w:sz w:val="32"/>
          <w:szCs w:val="32"/>
        </w:rPr>
        <w:t>检查</w:t>
      </w:r>
      <w:r>
        <w:rPr>
          <w:rFonts w:hint="eastAsia" w:eastAsia="宋体"/>
          <w:sz w:val="32"/>
          <w:szCs w:val="32"/>
        </w:rPr>
        <w:t>表</w:t>
      </w:r>
      <w:r>
        <w:rPr>
          <w:rFonts w:eastAsia="宋体"/>
          <w:sz w:val="32"/>
          <w:szCs w:val="32"/>
        </w:rPr>
        <w:t>——</w:t>
      </w:r>
      <w:r>
        <w:rPr>
          <w:rFonts w:hint="eastAsia" w:eastAsia="宋体"/>
          <w:sz w:val="32"/>
          <w:szCs w:val="32"/>
        </w:rPr>
        <w:t>备案</w:t>
      </w:r>
      <w:r>
        <w:rPr>
          <w:rFonts w:eastAsia="宋体"/>
          <w:sz w:val="32"/>
          <w:szCs w:val="32"/>
        </w:rPr>
        <w:t>审评</w:t>
      </w:r>
    </w:p>
    <w:p>
      <w:pPr>
        <w:snapToGrid w:val="0"/>
        <w:spacing w:after="240" w:afterLines="100"/>
        <w:ind w:firstLine="480" w:firstLineChars="200"/>
        <w:jc w:val="both"/>
        <w:rPr>
          <w:rFonts w:eastAsia="宋体"/>
          <w:color w:val="000000"/>
          <w:sz w:val="24"/>
          <w:szCs w:val="24"/>
        </w:rPr>
      </w:pPr>
      <w:r>
        <w:rPr>
          <w:rFonts w:eastAsia="宋体"/>
          <w:color w:val="000000"/>
          <w:sz w:val="24"/>
          <w:szCs w:val="24"/>
        </w:rPr>
        <w:t>如果对上述初步问题和</w:t>
      </w:r>
      <w:r>
        <w:rPr>
          <w:rFonts w:hint="eastAsia" w:eastAsia="宋体"/>
          <w:color w:val="000000"/>
          <w:sz w:val="24"/>
          <w:szCs w:val="24"/>
        </w:rPr>
        <w:t>验收</w:t>
      </w:r>
      <w:r>
        <w:rPr>
          <w:rFonts w:eastAsia="宋体"/>
          <w:color w:val="000000"/>
          <w:sz w:val="24"/>
          <w:szCs w:val="24"/>
        </w:rPr>
        <w:t>决定问题的回答表明应继续进行PMA审评，则应通过回答检查表</w:t>
      </w:r>
      <w:r>
        <w:rPr>
          <w:rFonts w:ascii="宋体" w:hAnsi="宋体" w:eastAsia="宋体"/>
          <w:color w:val="000000"/>
          <w:sz w:val="24"/>
          <w:szCs w:val="24"/>
        </w:rPr>
        <w:t>“</w:t>
      </w:r>
      <w:r>
        <w:rPr>
          <w:rFonts w:hint="eastAsia" w:eastAsia="宋体"/>
          <w:color w:val="000000"/>
          <w:sz w:val="24"/>
          <w:szCs w:val="24"/>
        </w:rPr>
        <w:t>备案</w:t>
      </w:r>
      <w:r>
        <w:rPr>
          <w:rFonts w:eastAsia="宋体"/>
          <w:color w:val="000000"/>
          <w:sz w:val="24"/>
          <w:szCs w:val="24"/>
        </w:rPr>
        <w:t>审评</w:t>
      </w:r>
      <w:r>
        <w:rPr>
          <w:rFonts w:hint="eastAsia" w:ascii="宋体" w:hAnsi="宋体" w:eastAsia="宋体"/>
          <w:color w:val="000000"/>
          <w:sz w:val="24"/>
          <w:szCs w:val="24"/>
        </w:rPr>
        <w:t>”</w:t>
      </w:r>
      <w:r>
        <w:rPr>
          <w:rFonts w:eastAsia="宋体"/>
          <w:color w:val="000000"/>
          <w:sz w:val="24"/>
          <w:szCs w:val="24"/>
        </w:rPr>
        <w:t>部分的问题进行正式的</w:t>
      </w:r>
      <w:r>
        <w:rPr>
          <w:rFonts w:hint="eastAsia" w:eastAsia="宋体"/>
          <w:color w:val="000000"/>
          <w:sz w:val="24"/>
          <w:szCs w:val="24"/>
        </w:rPr>
        <w:t>备案</w:t>
      </w:r>
      <w:r>
        <w:rPr>
          <w:rFonts w:eastAsia="宋体"/>
          <w:color w:val="000000"/>
          <w:sz w:val="24"/>
          <w:szCs w:val="24"/>
        </w:rPr>
        <w:t>审评。</w:t>
      </w:r>
      <w:r>
        <w:rPr>
          <w:rFonts w:hint="eastAsia" w:eastAsia="宋体"/>
          <w:color w:val="000000"/>
          <w:sz w:val="24"/>
          <w:szCs w:val="24"/>
        </w:rPr>
        <w:t>检查</w:t>
      </w:r>
      <w:r>
        <w:rPr>
          <w:rFonts w:eastAsia="宋体"/>
          <w:color w:val="000000"/>
          <w:sz w:val="24"/>
          <w:szCs w:val="24"/>
        </w:rPr>
        <w:t>表的这一部分评估了技术要素的基本充分性（即</w:t>
      </w:r>
      <w:r>
        <w:rPr>
          <w:rFonts w:ascii="宋体" w:hAnsi="宋体" w:eastAsia="宋体"/>
          <w:color w:val="000000"/>
          <w:sz w:val="24"/>
          <w:szCs w:val="24"/>
        </w:rPr>
        <w:t>“</w:t>
      </w:r>
      <w:r>
        <w:rPr>
          <w:rFonts w:eastAsia="宋体"/>
          <w:color w:val="000000"/>
          <w:sz w:val="24"/>
          <w:szCs w:val="24"/>
        </w:rPr>
        <w:t>技术要素的</w:t>
      </w:r>
      <w:r>
        <w:rPr>
          <w:rFonts w:hint="eastAsia" w:eastAsia="宋体"/>
          <w:color w:val="000000"/>
          <w:sz w:val="24"/>
          <w:szCs w:val="24"/>
        </w:rPr>
        <w:t>备案</w:t>
      </w:r>
      <w:r>
        <w:rPr>
          <w:rFonts w:eastAsia="宋体"/>
          <w:color w:val="000000"/>
          <w:sz w:val="24"/>
          <w:szCs w:val="24"/>
        </w:rPr>
        <w:t>评估</w:t>
      </w:r>
      <w:r>
        <w:rPr>
          <w:rFonts w:ascii="宋体" w:hAnsi="宋体" w:eastAsia="宋体"/>
          <w:color w:val="000000"/>
          <w:sz w:val="24"/>
          <w:szCs w:val="24"/>
        </w:rPr>
        <w:t>”</w:t>
      </w:r>
      <w:r>
        <w:rPr>
          <w:rFonts w:eastAsia="宋体"/>
          <w:color w:val="000000"/>
          <w:sz w:val="24"/>
          <w:szCs w:val="24"/>
        </w:rPr>
        <w:t>），并指导FDA工作人员</w:t>
      </w:r>
      <w:r>
        <w:rPr>
          <w:rFonts w:hint="eastAsia" w:eastAsia="宋体"/>
          <w:color w:val="000000"/>
          <w:sz w:val="24"/>
          <w:szCs w:val="24"/>
        </w:rPr>
        <w:t>通过</w:t>
      </w:r>
      <w:r>
        <w:rPr>
          <w:rFonts w:eastAsia="宋体"/>
          <w:color w:val="000000"/>
          <w:sz w:val="24"/>
          <w:szCs w:val="24"/>
        </w:rPr>
        <w:t>必要的程序</w:t>
      </w:r>
      <w:r>
        <w:rPr>
          <w:rFonts w:hint="eastAsia" w:eastAsia="宋体"/>
          <w:color w:val="000000"/>
          <w:sz w:val="24"/>
          <w:szCs w:val="24"/>
        </w:rPr>
        <w:t>作</w:t>
      </w:r>
      <w:r>
        <w:rPr>
          <w:rFonts w:eastAsia="宋体"/>
          <w:color w:val="000000"/>
          <w:sz w:val="24"/>
          <w:szCs w:val="24"/>
        </w:rPr>
        <w:t>出</w:t>
      </w:r>
      <w:r>
        <w:rPr>
          <w:rFonts w:ascii="宋体" w:hAnsi="宋体" w:eastAsia="宋体"/>
          <w:color w:val="000000"/>
          <w:sz w:val="24"/>
          <w:szCs w:val="24"/>
        </w:rPr>
        <w:t>“</w:t>
      </w:r>
      <w:r>
        <w:rPr>
          <w:rFonts w:hint="eastAsia" w:eastAsia="宋体"/>
          <w:color w:val="000000"/>
          <w:sz w:val="24"/>
          <w:szCs w:val="24"/>
        </w:rPr>
        <w:t>归档</w:t>
      </w:r>
      <w:r>
        <w:rPr>
          <w:rFonts w:hint="eastAsia" w:ascii="宋体" w:hAnsi="宋体" w:eastAsia="宋体"/>
          <w:color w:val="000000"/>
          <w:sz w:val="24"/>
          <w:szCs w:val="24"/>
        </w:rPr>
        <w:t>”</w:t>
      </w:r>
      <w:r>
        <w:rPr>
          <w:rFonts w:eastAsia="宋体"/>
          <w:color w:val="000000"/>
          <w:sz w:val="24"/>
          <w:szCs w:val="24"/>
        </w:rPr>
        <w:t>或</w:t>
      </w:r>
      <w:r>
        <w:rPr>
          <w:rFonts w:ascii="宋体" w:hAnsi="宋体" w:eastAsia="宋体"/>
          <w:color w:val="000000"/>
          <w:sz w:val="24"/>
          <w:szCs w:val="24"/>
        </w:rPr>
        <w:t>“</w:t>
      </w:r>
      <w:r>
        <w:rPr>
          <w:rFonts w:eastAsia="宋体"/>
          <w:color w:val="000000"/>
          <w:sz w:val="24"/>
          <w:szCs w:val="24"/>
        </w:rPr>
        <w:t>不</w:t>
      </w:r>
      <w:r>
        <w:rPr>
          <w:rFonts w:hint="eastAsia" w:eastAsia="宋体"/>
          <w:color w:val="000000"/>
          <w:sz w:val="24"/>
          <w:szCs w:val="24"/>
        </w:rPr>
        <w:t>归档</w:t>
      </w:r>
      <w:r>
        <w:rPr>
          <w:rFonts w:hint="eastAsia" w:ascii="宋体" w:hAnsi="宋体" w:eastAsia="宋体"/>
          <w:color w:val="000000"/>
          <w:sz w:val="24"/>
          <w:szCs w:val="24"/>
        </w:rPr>
        <w:t>”</w:t>
      </w:r>
      <w:r>
        <w:rPr>
          <w:rFonts w:eastAsia="宋体"/>
          <w:color w:val="000000"/>
          <w:sz w:val="24"/>
          <w:szCs w:val="24"/>
        </w:rPr>
        <w:t>PMA的决定。</w:t>
      </w:r>
    </w:p>
    <w:p>
      <w:pPr>
        <w:snapToGrid w:val="0"/>
        <w:spacing w:after="240" w:afterLines="100"/>
        <w:ind w:firstLine="480" w:firstLineChars="200"/>
        <w:jc w:val="both"/>
        <w:rPr>
          <w:rFonts w:eastAsia="宋体"/>
          <w:color w:val="000000"/>
          <w:sz w:val="24"/>
          <w:szCs w:val="24"/>
        </w:rPr>
      </w:pPr>
      <w:r>
        <w:rPr>
          <w:rFonts w:eastAsia="宋体"/>
          <w:color w:val="000000"/>
          <w:sz w:val="24"/>
          <w:szCs w:val="24"/>
        </w:rPr>
        <w:t>下文单独讨论了对PMA</w:t>
      </w:r>
      <w:r>
        <w:rPr>
          <w:rFonts w:hint="eastAsia" w:eastAsia="宋体"/>
          <w:color w:val="000000"/>
          <w:sz w:val="24"/>
          <w:szCs w:val="24"/>
        </w:rPr>
        <w:t>备案决定</w:t>
      </w:r>
      <w:r>
        <w:rPr>
          <w:rFonts w:eastAsia="宋体"/>
          <w:color w:val="000000"/>
          <w:sz w:val="24"/>
          <w:szCs w:val="24"/>
        </w:rPr>
        <w:t>过程至关重要的具体问题（即</w:t>
      </w:r>
      <w:r>
        <w:rPr>
          <w:rFonts w:ascii="宋体" w:hAnsi="宋体" w:eastAsia="宋体"/>
          <w:color w:val="000000"/>
          <w:sz w:val="24"/>
          <w:szCs w:val="24"/>
        </w:rPr>
        <w:t>“</w:t>
      </w:r>
      <w:r>
        <w:rPr>
          <w:rFonts w:eastAsia="宋体"/>
          <w:color w:val="000000"/>
          <w:sz w:val="24"/>
          <w:szCs w:val="24"/>
        </w:rPr>
        <w:t>备案决定问题</w:t>
      </w:r>
      <w:r>
        <w:rPr>
          <w:rFonts w:ascii="宋体" w:hAnsi="宋体" w:eastAsia="宋体"/>
          <w:color w:val="000000"/>
          <w:sz w:val="24"/>
          <w:szCs w:val="24"/>
        </w:rPr>
        <w:t>”</w:t>
      </w:r>
      <w:r>
        <w:rPr>
          <w:rFonts w:eastAsia="宋体"/>
          <w:color w:val="000000"/>
          <w:sz w:val="24"/>
          <w:szCs w:val="24"/>
        </w:rPr>
        <w:t>）。这些决</w:t>
      </w:r>
      <w:r>
        <w:rPr>
          <w:rFonts w:hint="eastAsia" w:eastAsia="宋体"/>
          <w:color w:val="000000"/>
          <w:sz w:val="24"/>
          <w:szCs w:val="24"/>
        </w:rPr>
        <w:t>定</w:t>
      </w:r>
      <w:r>
        <w:rPr>
          <w:rFonts w:eastAsia="宋体"/>
          <w:color w:val="000000"/>
          <w:sz w:val="24"/>
          <w:szCs w:val="24"/>
        </w:rPr>
        <w:t>问题的编号方式与检查表的编号方式相一致。应回答每个备案决定问题。只有当所有问题</w:t>
      </w:r>
      <w:r>
        <w:rPr>
          <w:rFonts w:hint="eastAsia" w:eastAsia="宋体"/>
          <w:color w:val="000000"/>
          <w:sz w:val="24"/>
          <w:szCs w:val="24"/>
        </w:rPr>
        <w:t>的答案</w:t>
      </w:r>
      <w:r>
        <w:rPr>
          <w:rFonts w:eastAsia="宋体"/>
          <w:color w:val="000000"/>
          <w:sz w:val="24"/>
          <w:szCs w:val="24"/>
        </w:rPr>
        <w:t>均为</w:t>
      </w:r>
      <w:r>
        <w:rPr>
          <w:rFonts w:ascii="宋体" w:hAnsi="宋体" w:eastAsia="宋体"/>
          <w:color w:val="000000"/>
          <w:sz w:val="24"/>
          <w:szCs w:val="24"/>
        </w:rPr>
        <w:t>“</w:t>
      </w:r>
      <w:r>
        <w:rPr>
          <w:rFonts w:eastAsia="宋体"/>
          <w:color w:val="000000"/>
          <w:sz w:val="24"/>
          <w:szCs w:val="24"/>
        </w:rPr>
        <w:t>是</w:t>
      </w:r>
      <w:r>
        <w:rPr>
          <w:rFonts w:hint="eastAsia" w:ascii="宋体" w:hAnsi="宋体" w:eastAsia="宋体"/>
          <w:color w:val="000000"/>
          <w:sz w:val="24"/>
          <w:szCs w:val="24"/>
        </w:rPr>
        <w:t>”</w:t>
      </w:r>
      <w:r>
        <w:rPr>
          <w:rFonts w:eastAsia="宋体"/>
          <w:color w:val="000000"/>
          <w:sz w:val="24"/>
          <w:szCs w:val="24"/>
        </w:rPr>
        <w:t>时，才能</w:t>
      </w:r>
      <w:r>
        <w:rPr>
          <w:rFonts w:hint="eastAsia" w:eastAsia="宋体"/>
          <w:color w:val="000000"/>
          <w:sz w:val="24"/>
          <w:szCs w:val="24"/>
        </w:rPr>
        <w:t>备案</w:t>
      </w:r>
      <w:r>
        <w:rPr>
          <w:rFonts w:eastAsia="宋体"/>
          <w:color w:val="000000"/>
          <w:sz w:val="24"/>
          <w:szCs w:val="24"/>
        </w:rPr>
        <w:t>PMA申请。</w:t>
      </w:r>
    </w:p>
    <w:p>
      <w:pPr>
        <w:snapToGrid w:val="0"/>
        <w:spacing w:after="240" w:afterLines="100"/>
        <w:ind w:firstLine="480" w:firstLineChars="200"/>
        <w:jc w:val="both"/>
        <w:rPr>
          <w:rFonts w:eastAsia="宋体"/>
          <w:color w:val="000000"/>
          <w:sz w:val="24"/>
          <w:szCs w:val="24"/>
        </w:rPr>
      </w:pPr>
      <w:r>
        <w:rPr>
          <w:rFonts w:eastAsia="宋体"/>
          <w:color w:val="000000"/>
          <w:sz w:val="24"/>
          <w:szCs w:val="24"/>
        </w:rPr>
        <w:t>我们预计，PMA审评小组的</w:t>
      </w:r>
      <w:r>
        <w:rPr>
          <w:rFonts w:hint="eastAsia" w:eastAsia="宋体"/>
          <w:color w:val="000000"/>
          <w:sz w:val="24"/>
          <w:szCs w:val="24"/>
        </w:rPr>
        <w:t>单个</w:t>
      </w:r>
      <w:r>
        <w:rPr>
          <w:rFonts w:eastAsia="宋体"/>
          <w:color w:val="000000"/>
          <w:sz w:val="24"/>
          <w:szCs w:val="24"/>
        </w:rPr>
        <w:t>成员将无法回答所有这些问题。相反，我们希望</w:t>
      </w:r>
      <w:r>
        <w:rPr>
          <w:rFonts w:hint="eastAsia" w:eastAsia="宋体"/>
          <w:color w:val="000000"/>
          <w:sz w:val="24"/>
          <w:szCs w:val="24"/>
        </w:rPr>
        <w:t>首席</w:t>
      </w:r>
      <w:r>
        <w:rPr>
          <w:rFonts w:eastAsia="宋体"/>
          <w:color w:val="000000"/>
          <w:sz w:val="24"/>
          <w:szCs w:val="24"/>
        </w:rPr>
        <w:t>审评员能与团队成员，特别是</w:t>
      </w:r>
      <w:r>
        <w:rPr>
          <w:rFonts w:hint="eastAsia" w:eastAsia="宋体"/>
          <w:color w:val="000000"/>
          <w:sz w:val="24"/>
          <w:szCs w:val="24"/>
        </w:rPr>
        <w:t>医务人员和统计员</w:t>
      </w:r>
      <w:r>
        <w:rPr>
          <w:rFonts w:eastAsia="宋体"/>
          <w:color w:val="000000"/>
          <w:sz w:val="24"/>
          <w:szCs w:val="24"/>
        </w:rPr>
        <w:t>协商，完成这份检查表。</w:t>
      </w:r>
    </w:p>
    <w:p>
      <w:pPr>
        <w:snapToGrid w:val="0"/>
        <w:spacing w:after="240" w:afterLines="100"/>
        <w:jc w:val="both"/>
        <w:rPr>
          <w:rFonts w:eastAsia="宋体"/>
          <w:b/>
          <w:bCs/>
          <w:color w:val="000000"/>
          <w:sz w:val="24"/>
          <w:szCs w:val="24"/>
        </w:rPr>
      </w:pPr>
      <w:r>
        <w:rPr>
          <w:rFonts w:hint="eastAsia" w:eastAsia="宋体"/>
          <w:b/>
          <w:bCs/>
          <w:color w:val="000000"/>
          <w:sz w:val="24"/>
          <w:szCs w:val="24"/>
        </w:rPr>
        <w:t>备案</w:t>
      </w:r>
      <w:r>
        <w:rPr>
          <w:rFonts w:eastAsia="宋体"/>
          <w:b/>
          <w:bCs/>
          <w:color w:val="000000"/>
          <w:sz w:val="24"/>
          <w:szCs w:val="24"/>
        </w:rPr>
        <w:t>决定 1</w:t>
      </w:r>
      <w:r>
        <w:rPr>
          <w:rFonts w:hint="eastAsia" w:eastAsia="宋体"/>
          <w:b/>
          <w:bCs/>
          <w:color w:val="000000"/>
          <w:sz w:val="24"/>
          <w:szCs w:val="24"/>
        </w:rPr>
        <w:t>：</w:t>
      </w:r>
      <w:r>
        <w:rPr>
          <w:rFonts w:eastAsia="宋体"/>
          <w:b/>
          <w:bCs/>
          <w:color w:val="000000"/>
          <w:sz w:val="24"/>
          <w:szCs w:val="24"/>
        </w:rPr>
        <w:t>临床研究数据的收集和分析是否按照方案进行？</w:t>
      </w:r>
    </w:p>
    <w:p>
      <w:pPr>
        <w:snapToGrid w:val="0"/>
        <w:spacing w:after="240" w:afterLines="100"/>
        <w:ind w:left="314" w:leftChars="157" w:firstLine="480" w:firstLineChars="200"/>
        <w:jc w:val="both"/>
        <w:rPr>
          <w:rFonts w:eastAsia="宋体"/>
          <w:sz w:val="24"/>
          <w:szCs w:val="24"/>
        </w:rPr>
      </w:pPr>
      <w:r>
        <w:rPr>
          <w:rFonts w:eastAsia="宋体"/>
          <w:color w:val="000000"/>
          <w:sz w:val="24"/>
          <w:szCs w:val="24"/>
        </w:rPr>
        <w:t>如果为支持PMA批准而提交的临床数据在行政审评中看来是按照临床方案的</w:t>
      </w:r>
      <w:r>
        <w:rPr>
          <w:rFonts w:hint="eastAsia" w:eastAsia="宋体"/>
          <w:color w:val="000000"/>
          <w:sz w:val="24"/>
          <w:szCs w:val="24"/>
        </w:rPr>
        <w:t>主要内容</w:t>
      </w:r>
      <w:r>
        <w:rPr>
          <w:rFonts w:eastAsia="宋体"/>
          <w:color w:val="000000"/>
          <w:sz w:val="24"/>
          <w:szCs w:val="24"/>
        </w:rPr>
        <w:t>（即目标、研究人群、终点、研究设计、假设、样本量和随访时间）收集和分析的，</w:t>
      </w:r>
      <w:r>
        <w:rPr>
          <w:rFonts w:eastAsia="宋体"/>
          <w:b/>
          <w:bCs/>
          <w:color w:val="000000"/>
          <w:sz w:val="24"/>
          <w:szCs w:val="24"/>
        </w:rPr>
        <w:t>或者</w:t>
      </w:r>
      <w:r>
        <w:rPr>
          <w:rFonts w:eastAsia="宋体"/>
          <w:color w:val="000000"/>
          <w:sz w:val="24"/>
          <w:szCs w:val="24"/>
        </w:rPr>
        <w:t>申请人提供了使用替代方法的科学或临床理由，则上述问题的答案为</w:t>
      </w:r>
      <w:r>
        <w:rPr>
          <w:rFonts w:ascii="宋体" w:hAnsi="宋体" w:eastAsia="宋体"/>
          <w:color w:val="000000"/>
          <w:sz w:val="24"/>
          <w:szCs w:val="24"/>
        </w:rPr>
        <w:t>“</w:t>
      </w:r>
      <w:r>
        <w:rPr>
          <w:rFonts w:eastAsia="宋体"/>
          <w:color w:val="000000"/>
          <w:sz w:val="24"/>
          <w:szCs w:val="24"/>
        </w:rPr>
        <w:t>是</w:t>
      </w:r>
      <w:r>
        <w:rPr>
          <w:rFonts w:ascii="宋体" w:hAnsi="宋体" w:eastAsia="宋体"/>
          <w:color w:val="000000"/>
          <w:sz w:val="24"/>
          <w:szCs w:val="24"/>
        </w:rPr>
        <w:t>”</w:t>
      </w:r>
      <w:r>
        <w:rPr>
          <w:rFonts w:eastAsia="宋体"/>
          <w:color w:val="000000"/>
          <w:sz w:val="24"/>
          <w:szCs w:val="24"/>
        </w:rPr>
        <w:t>，</w:t>
      </w:r>
      <w:r>
        <w:rPr>
          <w:rFonts w:hint="eastAsia" w:eastAsia="宋体"/>
          <w:color w:val="000000"/>
          <w:sz w:val="24"/>
          <w:szCs w:val="24"/>
        </w:rPr>
        <w:t>首席</w:t>
      </w:r>
      <w:r>
        <w:rPr>
          <w:rFonts w:eastAsia="宋体"/>
          <w:color w:val="000000"/>
          <w:sz w:val="24"/>
          <w:szCs w:val="24"/>
        </w:rPr>
        <w:t>审评员将在检查表上注明任何具体的</w:t>
      </w:r>
      <w:r>
        <w:rPr>
          <w:rFonts w:hint="eastAsia" w:eastAsia="宋体"/>
          <w:color w:val="000000"/>
          <w:sz w:val="24"/>
          <w:szCs w:val="24"/>
        </w:rPr>
        <w:t>偏离</w:t>
      </w:r>
      <w:r>
        <w:rPr>
          <w:rFonts w:eastAsia="宋体"/>
          <w:color w:val="000000"/>
          <w:sz w:val="24"/>
          <w:szCs w:val="24"/>
        </w:rPr>
        <w:t>或理由。此外，如果样本量较小或随访时间短于临床方案中规定的时间，但这种变化得到了以下任一情况的支持</w:t>
      </w:r>
      <w:r>
        <w:rPr>
          <w:rFonts w:hint="eastAsia" w:eastAsia="宋体"/>
          <w:color w:val="000000"/>
          <w:sz w:val="24"/>
          <w:szCs w:val="24"/>
        </w:rPr>
        <w:t>：</w:t>
      </w:r>
      <w:r>
        <w:rPr>
          <w:rFonts w:eastAsia="宋体"/>
          <w:color w:val="000000"/>
          <w:sz w:val="24"/>
          <w:szCs w:val="24"/>
        </w:rPr>
        <w:t>（i）数据监测委员会（DMC）的建议或（ii）包含临时停止规则的统计计划，则可对PMA进行实质性审评。</w:t>
      </w:r>
      <w:r>
        <w:rPr>
          <w:rFonts w:hint="eastAsia" w:eastAsia="宋体"/>
          <w:color w:val="000000"/>
          <w:sz w:val="24"/>
          <w:szCs w:val="24"/>
        </w:rPr>
        <w:t>换言之</w:t>
      </w:r>
      <w:r>
        <w:rPr>
          <w:rFonts w:eastAsia="宋体"/>
          <w:color w:val="000000"/>
          <w:sz w:val="24"/>
          <w:szCs w:val="24"/>
        </w:rPr>
        <w:t>，这些</w:t>
      </w:r>
      <w:r>
        <w:rPr>
          <w:rFonts w:hint="eastAsia" w:eastAsia="宋体"/>
          <w:color w:val="000000"/>
          <w:sz w:val="24"/>
          <w:szCs w:val="24"/>
        </w:rPr>
        <w:t>情况</w:t>
      </w:r>
      <w:r>
        <w:rPr>
          <w:rFonts w:eastAsia="宋体"/>
          <w:color w:val="000000"/>
          <w:sz w:val="24"/>
          <w:szCs w:val="24"/>
        </w:rPr>
        <w:t>并不</w:t>
      </w:r>
      <w:r>
        <w:rPr>
          <w:rFonts w:hint="eastAsia" w:eastAsia="宋体"/>
          <w:color w:val="000000"/>
          <w:sz w:val="24"/>
          <w:szCs w:val="24"/>
        </w:rPr>
        <w:t>妨碍</w:t>
      </w:r>
      <w:r>
        <w:rPr>
          <w:rFonts w:eastAsia="宋体"/>
          <w:color w:val="000000"/>
          <w:sz w:val="24"/>
          <w:szCs w:val="24"/>
        </w:rPr>
        <w:t>FDA对PMA进行</w:t>
      </w:r>
      <w:r>
        <w:rPr>
          <w:rFonts w:hint="eastAsia" w:eastAsia="宋体"/>
          <w:color w:val="000000"/>
          <w:sz w:val="24"/>
          <w:szCs w:val="24"/>
        </w:rPr>
        <w:t>备案</w:t>
      </w:r>
      <w:r>
        <w:rPr>
          <w:rFonts w:eastAsia="宋体"/>
          <w:color w:val="000000"/>
          <w:sz w:val="24"/>
          <w:szCs w:val="24"/>
        </w:rPr>
        <w:t>。</w:t>
      </w:r>
    </w:p>
    <w:p>
      <w:pPr>
        <w:snapToGrid w:val="0"/>
        <w:spacing w:after="240" w:afterLines="100"/>
        <w:jc w:val="both"/>
        <w:rPr>
          <w:rFonts w:eastAsia="宋体"/>
          <w:sz w:val="24"/>
          <w:szCs w:val="24"/>
        </w:rPr>
      </w:pPr>
    </w:p>
    <w:p>
      <w:pPr>
        <w:snapToGrid w:val="0"/>
        <w:spacing w:after="240" w:afterLines="100"/>
        <w:jc w:val="both"/>
        <w:rPr>
          <w:rFonts w:eastAsia="宋体"/>
          <w:sz w:val="24"/>
          <w:szCs w:val="24"/>
        </w:rPr>
        <w:sectPr>
          <w:pgSz w:w="11906" w:h="16838"/>
          <w:pgMar w:top="1134" w:right="1134" w:bottom="1134" w:left="1418" w:header="567" w:footer="567" w:gutter="0"/>
          <w:cols w:space="60" w:num="1"/>
          <w:docGrid w:linePitch="272" w:charSpace="0"/>
        </w:sectPr>
      </w:pPr>
    </w:p>
    <w:p>
      <w:pPr>
        <w:snapToGrid w:val="0"/>
        <w:spacing w:after="240" w:afterLines="100"/>
        <w:ind w:left="314" w:leftChars="157" w:firstLine="480" w:firstLineChars="200"/>
        <w:jc w:val="both"/>
        <w:rPr>
          <w:rFonts w:eastAsia="宋体"/>
          <w:color w:val="000000"/>
          <w:sz w:val="24"/>
          <w:szCs w:val="24"/>
        </w:rPr>
      </w:pPr>
      <w:r>
        <w:rPr>
          <w:rFonts w:eastAsia="宋体"/>
          <w:color w:val="000000"/>
          <w:sz w:val="24"/>
          <w:szCs w:val="24"/>
        </w:rPr>
        <w:t>如果该研究偏离了上述段落中确定的临床方案的</w:t>
      </w:r>
      <w:r>
        <w:rPr>
          <w:rFonts w:hint="eastAsia" w:eastAsia="宋体"/>
          <w:color w:val="000000"/>
          <w:sz w:val="24"/>
          <w:szCs w:val="24"/>
        </w:rPr>
        <w:t>主要内容</w:t>
      </w:r>
      <w:r>
        <w:rPr>
          <w:rFonts w:eastAsia="宋体"/>
          <w:b/>
          <w:bCs/>
          <w:color w:val="000000"/>
          <w:sz w:val="24"/>
          <w:szCs w:val="24"/>
        </w:rPr>
        <w:t>，并且</w:t>
      </w:r>
      <w:r>
        <w:rPr>
          <w:rFonts w:eastAsia="宋体"/>
          <w:color w:val="000000"/>
          <w:sz w:val="24"/>
          <w:szCs w:val="24"/>
        </w:rPr>
        <w:t>申请人未提供这样做的理由，则对上述问题的回答</w:t>
      </w:r>
      <w:r>
        <w:rPr>
          <w:rFonts w:hint="eastAsia" w:eastAsia="宋体"/>
          <w:color w:val="000000"/>
          <w:sz w:val="24"/>
          <w:szCs w:val="24"/>
        </w:rPr>
        <w:t>为</w:t>
      </w:r>
      <w:r>
        <w:rPr>
          <w:rFonts w:ascii="宋体" w:hAnsi="宋体" w:eastAsia="宋体"/>
          <w:color w:val="000000"/>
          <w:sz w:val="24"/>
          <w:szCs w:val="24"/>
        </w:rPr>
        <w:t>“</w:t>
      </w:r>
      <w:r>
        <w:rPr>
          <w:rFonts w:eastAsia="宋体"/>
          <w:color w:val="000000"/>
          <w:sz w:val="24"/>
          <w:szCs w:val="24"/>
        </w:rPr>
        <w:t>否</w:t>
      </w:r>
      <w:r>
        <w:rPr>
          <w:rFonts w:ascii="宋体" w:hAnsi="宋体" w:eastAsia="宋体"/>
          <w:color w:val="000000"/>
          <w:sz w:val="24"/>
          <w:szCs w:val="24"/>
        </w:rPr>
        <w:t>”</w:t>
      </w:r>
      <w:r>
        <w:rPr>
          <w:rFonts w:eastAsia="宋体"/>
          <w:color w:val="000000"/>
          <w:sz w:val="24"/>
          <w:szCs w:val="24"/>
        </w:rPr>
        <w:t>，</w:t>
      </w:r>
      <w:r>
        <w:rPr>
          <w:rFonts w:hint="eastAsia" w:eastAsia="宋体"/>
          <w:color w:val="000000"/>
          <w:sz w:val="24"/>
          <w:szCs w:val="24"/>
        </w:rPr>
        <w:t>首席</w:t>
      </w:r>
      <w:r>
        <w:rPr>
          <w:rFonts w:eastAsia="宋体"/>
          <w:color w:val="000000"/>
          <w:sz w:val="24"/>
          <w:szCs w:val="24"/>
        </w:rPr>
        <w:t>审评员将在检查表上注明具体的</w:t>
      </w:r>
      <w:r>
        <w:rPr>
          <w:rFonts w:hint="eastAsia" w:eastAsia="宋体"/>
          <w:color w:val="000000"/>
          <w:sz w:val="24"/>
          <w:szCs w:val="24"/>
        </w:rPr>
        <w:t>偏离</w:t>
      </w:r>
      <w:r>
        <w:rPr>
          <w:rFonts w:eastAsia="宋体"/>
          <w:color w:val="000000"/>
          <w:sz w:val="24"/>
          <w:szCs w:val="24"/>
        </w:rPr>
        <w:t>情况。在这些情况下，FDA不应该</w:t>
      </w:r>
      <w:r>
        <w:rPr>
          <w:rFonts w:hint="eastAsia" w:eastAsia="宋体"/>
          <w:color w:val="000000"/>
          <w:sz w:val="24"/>
          <w:szCs w:val="24"/>
        </w:rPr>
        <w:t>备案</w:t>
      </w:r>
      <w:r>
        <w:rPr>
          <w:rFonts w:eastAsia="宋体"/>
          <w:color w:val="000000"/>
          <w:sz w:val="24"/>
          <w:szCs w:val="24"/>
        </w:rPr>
        <w:t>PMA。</w:t>
      </w:r>
    </w:p>
    <w:p>
      <w:pPr>
        <w:snapToGrid w:val="0"/>
        <w:spacing w:after="240" w:afterLines="100"/>
        <w:ind w:left="314" w:leftChars="157" w:firstLine="480" w:firstLineChars="200"/>
        <w:jc w:val="both"/>
        <w:rPr>
          <w:rFonts w:eastAsia="宋体"/>
          <w:color w:val="000000"/>
          <w:sz w:val="24"/>
          <w:szCs w:val="24"/>
        </w:rPr>
      </w:pPr>
      <w:r>
        <w:rPr>
          <w:rFonts w:eastAsia="宋体"/>
          <w:color w:val="000000"/>
          <w:sz w:val="24"/>
          <w:szCs w:val="24"/>
        </w:rPr>
        <w:t>如上所述，偶尔有申请人在提交PMA时，临床数据不完整（即样本量较小或主要分析的随访时间比临床方案中规定的短）。如果未提供理由和/或申请人表示他们打算用必要的</w:t>
      </w:r>
      <w:r>
        <w:rPr>
          <w:rFonts w:hint="eastAsia" w:eastAsia="宋体"/>
          <w:color w:val="000000"/>
          <w:sz w:val="24"/>
          <w:szCs w:val="24"/>
        </w:rPr>
        <w:t>额外临床数据</w:t>
      </w:r>
      <w:r>
        <w:rPr>
          <w:rFonts w:eastAsia="宋体"/>
          <w:color w:val="000000"/>
          <w:sz w:val="24"/>
          <w:szCs w:val="24"/>
        </w:rPr>
        <w:t>来更新PMA，我们将认为</w:t>
      </w:r>
      <w:r>
        <w:rPr>
          <w:rFonts w:hint="eastAsia" w:eastAsia="宋体"/>
          <w:color w:val="000000"/>
          <w:sz w:val="24"/>
          <w:szCs w:val="24"/>
        </w:rPr>
        <w:t>该</w:t>
      </w:r>
      <w:r>
        <w:rPr>
          <w:rFonts w:eastAsia="宋体"/>
          <w:color w:val="000000"/>
          <w:sz w:val="24"/>
          <w:szCs w:val="24"/>
        </w:rPr>
        <w:t>PMA提交</w:t>
      </w:r>
      <w:r>
        <w:rPr>
          <w:rFonts w:hint="eastAsia" w:eastAsia="宋体"/>
          <w:color w:val="000000"/>
          <w:sz w:val="24"/>
          <w:szCs w:val="24"/>
        </w:rPr>
        <w:t>过早</w:t>
      </w:r>
      <w:r>
        <w:rPr>
          <w:rFonts w:eastAsia="宋体"/>
          <w:color w:val="000000"/>
          <w:sz w:val="24"/>
          <w:szCs w:val="24"/>
        </w:rPr>
        <w:t>，因此不完整。如果PMA被看作是一个不成熟的申请，那么上述问题的答案</w:t>
      </w:r>
      <w:r>
        <w:rPr>
          <w:rFonts w:hint="eastAsia" w:eastAsia="宋体"/>
          <w:color w:val="000000"/>
          <w:sz w:val="24"/>
          <w:szCs w:val="24"/>
        </w:rPr>
        <w:t>为</w:t>
      </w:r>
      <w:r>
        <w:rPr>
          <w:rFonts w:ascii="宋体" w:hAnsi="宋体" w:eastAsia="宋体"/>
          <w:color w:val="000000"/>
          <w:sz w:val="24"/>
          <w:szCs w:val="24"/>
        </w:rPr>
        <w:t>“</w:t>
      </w:r>
      <w:r>
        <w:rPr>
          <w:rFonts w:eastAsia="宋体"/>
          <w:color w:val="000000"/>
          <w:sz w:val="24"/>
          <w:szCs w:val="24"/>
        </w:rPr>
        <w:t>否</w:t>
      </w:r>
      <w:r>
        <w:rPr>
          <w:rFonts w:ascii="宋体" w:hAnsi="宋体" w:eastAsia="宋体"/>
          <w:color w:val="000000"/>
          <w:sz w:val="24"/>
          <w:szCs w:val="24"/>
        </w:rPr>
        <w:t>”</w:t>
      </w:r>
      <w:r>
        <w:rPr>
          <w:rFonts w:eastAsia="宋体"/>
          <w:color w:val="000000"/>
          <w:sz w:val="24"/>
          <w:szCs w:val="24"/>
        </w:rPr>
        <w:t>。在这些情况下，FDA不应该</w:t>
      </w:r>
      <w:r>
        <w:rPr>
          <w:rFonts w:hint="eastAsia" w:eastAsia="宋体"/>
          <w:color w:val="000000"/>
          <w:sz w:val="24"/>
          <w:szCs w:val="24"/>
        </w:rPr>
        <w:t>备案</w:t>
      </w:r>
      <w:r>
        <w:rPr>
          <w:rFonts w:eastAsia="宋体"/>
          <w:color w:val="000000"/>
          <w:sz w:val="24"/>
          <w:szCs w:val="24"/>
        </w:rPr>
        <w:t>PMA。</w:t>
      </w:r>
    </w:p>
    <w:p>
      <w:pPr>
        <w:snapToGrid w:val="0"/>
        <w:spacing w:after="240" w:afterLines="100"/>
        <w:ind w:left="1349" w:hanging="1349" w:hangingChars="560"/>
        <w:jc w:val="both"/>
        <w:rPr>
          <w:rFonts w:eastAsia="宋体"/>
          <w:sz w:val="24"/>
          <w:szCs w:val="24"/>
        </w:rPr>
      </w:pPr>
      <w:r>
        <w:rPr>
          <w:rFonts w:hint="eastAsia" w:eastAsia="宋体"/>
          <w:b/>
          <w:bCs/>
          <w:color w:val="000000"/>
          <w:sz w:val="24"/>
          <w:szCs w:val="24"/>
        </w:rPr>
        <w:t>备案</w:t>
      </w:r>
      <w:r>
        <w:rPr>
          <w:rFonts w:eastAsia="宋体"/>
          <w:b/>
          <w:bCs/>
          <w:color w:val="000000"/>
          <w:sz w:val="24"/>
          <w:szCs w:val="24"/>
        </w:rPr>
        <w:t>决定2：非临床和临床数据是否收集于器械的最终设计（即打算上市的器械设计）？</w:t>
      </w:r>
    </w:p>
    <w:p>
      <w:pPr>
        <w:snapToGrid w:val="0"/>
        <w:spacing w:after="240" w:afterLines="100"/>
        <w:ind w:left="314" w:leftChars="157" w:firstLine="480" w:firstLineChars="200"/>
        <w:jc w:val="both"/>
        <w:rPr>
          <w:rFonts w:eastAsia="宋体"/>
          <w:color w:val="000000"/>
          <w:sz w:val="24"/>
          <w:szCs w:val="24"/>
        </w:rPr>
      </w:pPr>
      <w:r>
        <w:rPr>
          <w:rFonts w:eastAsia="宋体"/>
          <w:color w:val="000000"/>
          <w:sz w:val="24"/>
          <w:szCs w:val="24"/>
        </w:rPr>
        <w:t>如果为支持PMA批准而提交的非临床和关键临床数据是在最终器械设计上收集的，或者研究器械和最终器械之间的差异显然不影响器械的安全性或有效性和/或临床结果，则上述问题的答案为</w:t>
      </w:r>
      <w:r>
        <w:rPr>
          <w:rFonts w:ascii="宋体" w:hAnsi="宋体" w:eastAsia="宋体"/>
          <w:color w:val="000000"/>
          <w:sz w:val="24"/>
          <w:szCs w:val="24"/>
        </w:rPr>
        <w:t>“</w:t>
      </w:r>
      <w:r>
        <w:rPr>
          <w:rFonts w:eastAsia="宋体"/>
          <w:color w:val="000000"/>
          <w:sz w:val="24"/>
          <w:szCs w:val="24"/>
        </w:rPr>
        <w:t>是</w:t>
      </w:r>
      <w:r>
        <w:rPr>
          <w:rFonts w:ascii="宋体" w:hAnsi="宋体" w:eastAsia="宋体"/>
          <w:color w:val="000000"/>
          <w:sz w:val="24"/>
          <w:szCs w:val="24"/>
        </w:rPr>
        <w:t>”</w:t>
      </w:r>
      <w:r>
        <w:rPr>
          <w:rFonts w:eastAsia="宋体"/>
          <w:color w:val="000000"/>
          <w:sz w:val="24"/>
          <w:szCs w:val="24"/>
        </w:rPr>
        <w:t>，任何器械变化都将在检查表上注明。此外，如果在器械的早期设计时收集了临床数据</w:t>
      </w:r>
      <w:r>
        <w:rPr>
          <w:rFonts w:hint="eastAsia" w:eastAsia="宋体"/>
          <w:bCs/>
          <w:color w:val="000000"/>
          <w:sz w:val="24"/>
          <w:szCs w:val="24"/>
        </w:rPr>
        <w:t>，</w:t>
      </w:r>
      <w:r>
        <w:rPr>
          <w:rFonts w:eastAsia="宋体"/>
          <w:b/>
          <w:bCs/>
          <w:color w:val="000000"/>
          <w:sz w:val="24"/>
          <w:szCs w:val="24"/>
        </w:rPr>
        <w:t>并且</w:t>
      </w:r>
      <w:r>
        <w:rPr>
          <w:rFonts w:eastAsia="宋体"/>
          <w:color w:val="000000"/>
          <w:sz w:val="24"/>
          <w:szCs w:val="24"/>
        </w:rPr>
        <w:t>申请人提供了科学或临床理由，说明为什么早期器械设计的研究结果适用于拟议的设计，则上述问题的答案</w:t>
      </w:r>
      <w:r>
        <w:rPr>
          <w:rFonts w:hint="eastAsia" w:eastAsia="宋体"/>
          <w:color w:val="000000"/>
          <w:sz w:val="24"/>
          <w:szCs w:val="24"/>
        </w:rPr>
        <w:t>为</w:t>
      </w:r>
      <w:r>
        <w:rPr>
          <w:rFonts w:ascii="宋体" w:hAnsi="宋体" w:eastAsia="宋体"/>
          <w:color w:val="000000"/>
          <w:sz w:val="24"/>
          <w:szCs w:val="24"/>
        </w:rPr>
        <w:t>“</w:t>
      </w:r>
      <w:r>
        <w:rPr>
          <w:rFonts w:eastAsia="宋体"/>
          <w:color w:val="000000"/>
          <w:sz w:val="24"/>
          <w:szCs w:val="24"/>
        </w:rPr>
        <w:t>是</w:t>
      </w:r>
      <w:r>
        <w:rPr>
          <w:rFonts w:ascii="宋体" w:hAnsi="宋体" w:eastAsia="宋体"/>
          <w:color w:val="000000"/>
          <w:sz w:val="24"/>
          <w:szCs w:val="24"/>
        </w:rPr>
        <w:t>”</w:t>
      </w:r>
      <w:r>
        <w:rPr>
          <w:rFonts w:eastAsia="宋体"/>
          <w:color w:val="000000"/>
          <w:sz w:val="24"/>
          <w:szCs w:val="24"/>
        </w:rPr>
        <w:t>，并且将在检查表上注明理由。这些</w:t>
      </w:r>
      <w:r>
        <w:rPr>
          <w:rFonts w:hint="eastAsia" w:eastAsia="宋体"/>
          <w:color w:val="000000"/>
          <w:sz w:val="24"/>
          <w:szCs w:val="24"/>
        </w:rPr>
        <w:t>情况</w:t>
      </w:r>
      <w:r>
        <w:rPr>
          <w:rFonts w:eastAsia="宋体"/>
          <w:color w:val="000000"/>
          <w:sz w:val="24"/>
          <w:szCs w:val="24"/>
        </w:rPr>
        <w:t>并不</w:t>
      </w:r>
      <w:r>
        <w:rPr>
          <w:rFonts w:hint="eastAsia" w:eastAsia="宋体"/>
          <w:color w:val="000000"/>
          <w:sz w:val="24"/>
          <w:szCs w:val="24"/>
        </w:rPr>
        <w:t>妨碍</w:t>
      </w:r>
      <w:r>
        <w:rPr>
          <w:rFonts w:eastAsia="宋体"/>
          <w:color w:val="000000"/>
          <w:sz w:val="24"/>
          <w:szCs w:val="24"/>
        </w:rPr>
        <w:t>FDA</w:t>
      </w:r>
      <w:r>
        <w:rPr>
          <w:rFonts w:hint="eastAsia" w:eastAsia="宋体"/>
          <w:color w:val="000000"/>
          <w:sz w:val="24"/>
          <w:szCs w:val="24"/>
        </w:rPr>
        <w:t>对</w:t>
      </w:r>
      <w:r>
        <w:rPr>
          <w:rFonts w:eastAsia="宋体"/>
          <w:color w:val="000000"/>
          <w:sz w:val="24"/>
          <w:szCs w:val="24"/>
        </w:rPr>
        <w:t>PMA进行</w:t>
      </w:r>
      <w:r>
        <w:rPr>
          <w:rFonts w:hint="eastAsia" w:eastAsia="宋体"/>
          <w:color w:val="000000"/>
          <w:sz w:val="24"/>
          <w:szCs w:val="24"/>
        </w:rPr>
        <w:t>备案</w:t>
      </w:r>
      <w:r>
        <w:rPr>
          <w:rFonts w:eastAsia="宋体"/>
          <w:color w:val="000000"/>
          <w:sz w:val="24"/>
          <w:szCs w:val="24"/>
        </w:rPr>
        <w:t>。</w:t>
      </w:r>
    </w:p>
    <w:p>
      <w:pPr>
        <w:snapToGrid w:val="0"/>
        <w:spacing w:after="240" w:afterLines="100"/>
        <w:ind w:left="314" w:leftChars="157" w:firstLine="480" w:firstLineChars="200"/>
        <w:jc w:val="both"/>
        <w:rPr>
          <w:rFonts w:eastAsia="宋体"/>
          <w:sz w:val="24"/>
          <w:szCs w:val="24"/>
        </w:rPr>
      </w:pPr>
      <w:r>
        <w:rPr>
          <w:rFonts w:eastAsia="宋体"/>
          <w:color w:val="000000"/>
          <w:sz w:val="24"/>
          <w:szCs w:val="24"/>
        </w:rPr>
        <w:t>如果在关键的非临床和临床研究期间或之后对器械设计进行了可能影响安全性和/或有效性的改变，</w:t>
      </w:r>
      <w:r>
        <w:rPr>
          <w:rFonts w:eastAsia="宋体"/>
          <w:b/>
          <w:bCs/>
          <w:color w:val="000000"/>
          <w:sz w:val="24"/>
          <w:szCs w:val="24"/>
        </w:rPr>
        <w:t>并且</w:t>
      </w:r>
      <w:r>
        <w:rPr>
          <w:rFonts w:eastAsia="宋体"/>
          <w:color w:val="000000"/>
          <w:sz w:val="24"/>
          <w:szCs w:val="24"/>
        </w:rPr>
        <w:t>未提供理由说明为什么这些数据适用于新的设计，则上述问题的答案</w:t>
      </w:r>
      <w:r>
        <w:rPr>
          <w:rFonts w:hint="eastAsia" w:eastAsia="宋体"/>
          <w:color w:val="000000"/>
          <w:sz w:val="24"/>
          <w:szCs w:val="24"/>
        </w:rPr>
        <w:t>为</w:t>
      </w:r>
      <w:r>
        <w:rPr>
          <w:rFonts w:ascii="宋体" w:hAnsi="宋体" w:eastAsia="宋体"/>
          <w:color w:val="000000"/>
          <w:sz w:val="24"/>
          <w:szCs w:val="24"/>
        </w:rPr>
        <w:t>“</w:t>
      </w:r>
      <w:r>
        <w:rPr>
          <w:rFonts w:eastAsia="宋体"/>
          <w:color w:val="000000"/>
          <w:sz w:val="24"/>
          <w:szCs w:val="24"/>
        </w:rPr>
        <w:t>否</w:t>
      </w:r>
      <w:r>
        <w:rPr>
          <w:rFonts w:ascii="宋体" w:hAnsi="宋体" w:eastAsia="宋体"/>
          <w:color w:val="000000"/>
          <w:sz w:val="24"/>
          <w:szCs w:val="24"/>
        </w:rPr>
        <w:t>”</w:t>
      </w:r>
      <w:r>
        <w:rPr>
          <w:rFonts w:eastAsia="宋体"/>
          <w:color w:val="000000"/>
          <w:sz w:val="24"/>
          <w:szCs w:val="24"/>
        </w:rPr>
        <w:t>。在这种情况下，</w:t>
      </w:r>
      <w:r>
        <w:rPr>
          <w:rFonts w:hint="eastAsia" w:eastAsia="宋体"/>
          <w:color w:val="000000"/>
          <w:sz w:val="24"/>
          <w:szCs w:val="24"/>
        </w:rPr>
        <w:t>首席</w:t>
      </w:r>
      <w:r>
        <w:rPr>
          <w:rFonts w:eastAsia="宋体"/>
          <w:color w:val="000000"/>
          <w:sz w:val="24"/>
          <w:szCs w:val="24"/>
        </w:rPr>
        <w:t>审评员将在</w:t>
      </w:r>
      <w:r>
        <w:rPr>
          <w:rFonts w:hint="eastAsia" w:eastAsia="宋体"/>
          <w:color w:val="000000"/>
          <w:sz w:val="24"/>
          <w:szCs w:val="24"/>
        </w:rPr>
        <w:t>检查</w:t>
      </w:r>
      <w:r>
        <w:rPr>
          <w:rFonts w:eastAsia="宋体"/>
          <w:color w:val="000000"/>
          <w:sz w:val="24"/>
          <w:szCs w:val="24"/>
        </w:rPr>
        <w:t>表上注明具体的器械变化，</w:t>
      </w:r>
      <w:r>
        <w:rPr>
          <w:rFonts w:hint="eastAsia" w:eastAsia="宋体"/>
          <w:color w:val="000000"/>
          <w:sz w:val="24"/>
          <w:szCs w:val="24"/>
        </w:rPr>
        <w:t>且</w:t>
      </w:r>
      <w:r>
        <w:rPr>
          <w:rFonts w:eastAsia="宋体"/>
          <w:color w:val="000000"/>
          <w:sz w:val="24"/>
          <w:szCs w:val="24"/>
        </w:rPr>
        <w:t>FDA不应该</w:t>
      </w:r>
      <w:r>
        <w:rPr>
          <w:rFonts w:hint="eastAsia" w:eastAsia="宋体"/>
          <w:color w:val="000000"/>
          <w:sz w:val="24"/>
          <w:szCs w:val="24"/>
        </w:rPr>
        <w:t>备案</w:t>
      </w:r>
      <w:r>
        <w:rPr>
          <w:rFonts w:eastAsia="宋体"/>
          <w:color w:val="000000"/>
          <w:sz w:val="24"/>
          <w:szCs w:val="24"/>
        </w:rPr>
        <w:t>PMA。</w:t>
      </w:r>
    </w:p>
    <w:p>
      <w:pPr>
        <w:snapToGrid w:val="0"/>
        <w:spacing w:after="240" w:afterLines="100"/>
        <w:ind w:left="1942" w:hanging="1942" w:hangingChars="806"/>
        <w:jc w:val="both"/>
        <w:rPr>
          <w:rFonts w:eastAsia="宋体"/>
          <w:sz w:val="24"/>
          <w:szCs w:val="24"/>
        </w:rPr>
      </w:pPr>
      <w:r>
        <w:rPr>
          <w:rFonts w:hint="eastAsia" w:eastAsia="宋体"/>
          <w:b/>
          <w:bCs/>
          <w:color w:val="000000"/>
          <w:sz w:val="24"/>
          <w:szCs w:val="24"/>
        </w:rPr>
        <w:t>备案</w:t>
      </w:r>
      <w:r>
        <w:rPr>
          <w:rFonts w:eastAsia="宋体"/>
          <w:b/>
          <w:bCs/>
          <w:color w:val="000000"/>
          <w:sz w:val="24"/>
          <w:szCs w:val="24"/>
        </w:rPr>
        <w:t>决定3：患者/研究</w:t>
      </w:r>
      <w:r>
        <w:rPr>
          <w:rStyle w:val="13"/>
          <w:rFonts w:eastAsia="宋体"/>
          <w:b/>
          <w:bCs/>
          <w:color w:val="000000"/>
          <w:sz w:val="24"/>
          <w:szCs w:val="24"/>
        </w:rPr>
        <w:footnoteReference w:id="16"/>
      </w:r>
      <w:r>
        <w:rPr>
          <w:rFonts w:eastAsia="宋体"/>
          <w:b/>
          <w:bCs/>
          <w:color w:val="000000"/>
          <w:sz w:val="24"/>
          <w:szCs w:val="24"/>
        </w:rPr>
        <w:t>人群和终点是否与</w:t>
      </w:r>
      <w:r>
        <w:rPr>
          <w:rFonts w:hint="eastAsia" w:eastAsia="宋体"/>
          <w:b/>
          <w:bCs/>
          <w:color w:val="000000"/>
          <w:sz w:val="24"/>
          <w:szCs w:val="24"/>
        </w:rPr>
        <w:t>拟</w:t>
      </w:r>
      <w:r>
        <w:rPr>
          <w:rFonts w:eastAsia="宋体"/>
          <w:b/>
          <w:bCs/>
          <w:color w:val="000000"/>
          <w:sz w:val="24"/>
          <w:szCs w:val="24"/>
        </w:rPr>
        <w:t>议的适应症一致？</w:t>
      </w:r>
    </w:p>
    <w:p>
      <w:pPr>
        <w:snapToGrid w:val="0"/>
        <w:spacing w:after="240" w:afterLines="100"/>
        <w:ind w:left="314" w:leftChars="157" w:firstLine="480" w:firstLineChars="200"/>
        <w:jc w:val="both"/>
        <w:rPr>
          <w:rFonts w:eastAsia="宋体"/>
          <w:sz w:val="24"/>
          <w:szCs w:val="24"/>
        </w:rPr>
      </w:pPr>
      <w:r>
        <w:rPr>
          <w:rFonts w:eastAsia="宋体"/>
          <w:color w:val="000000"/>
          <w:sz w:val="24"/>
          <w:szCs w:val="24"/>
        </w:rPr>
        <w:t>如果经过行政审评，关键研究中的患者人群（由入选和排除标准定义）似乎与器械的拟议使用适应症相匹配，并且所选终点获得FDA的同意和/或似乎与临床相关，则上述问题的答案</w:t>
      </w:r>
      <w:r>
        <w:rPr>
          <w:rFonts w:hint="eastAsia" w:eastAsia="宋体"/>
          <w:color w:val="000000"/>
          <w:sz w:val="24"/>
          <w:szCs w:val="24"/>
        </w:rPr>
        <w:t>为</w:t>
      </w:r>
      <w:r>
        <w:rPr>
          <w:rFonts w:ascii="宋体" w:hAnsi="宋体" w:eastAsia="宋体"/>
          <w:color w:val="000000"/>
          <w:sz w:val="24"/>
          <w:szCs w:val="24"/>
        </w:rPr>
        <w:t>“</w:t>
      </w:r>
      <w:r>
        <w:rPr>
          <w:rFonts w:eastAsia="宋体"/>
          <w:color w:val="000000"/>
          <w:sz w:val="24"/>
          <w:szCs w:val="24"/>
        </w:rPr>
        <w:t>是</w:t>
      </w:r>
      <w:r>
        <w:rPr>
          <w:rFonts w:ascii="宋体" w:hAnsi="宋体" w:eastAsia="宋体"/>
          <w:color w:val="000000"/>
          <w:sz w:val="24"/>
          <w:szCs w:val="24"/>
        </w:rPr>
        <w:t>”</w:t>
      </w:r>
      <w:r>
        <w:rPr>
          <w:rFonts w:eastAsia="宋体"/>
          <w:color w:val="000000"/>
          <w:sz w:val="24"/>
          <w:szCs w:val="24"/>
        </w:rPr>
        <w:t>。此外，如果患者人群和/或终点与建议的适应症不一致</w:t>
      </w:r>
      <w:r>
        <w:rPr>
          <w:rFonts w:eastAsia="宋体"/>
          <w:b/>
          <w:bCs/>
          <w:color w:val="000000"/>
          <w:sz w:val="24"/>
          <w:szCs w:val="24"/>
        </w:rPr>
        <w:t>，但</w:t>
      </w:r>
      <w:r>
        <w:rPr>
          <w:rFonts w:eastAsia="宋体"/>
          <w:color w:val="000000"/>
          <w:sz w:val="24"/>
          <w:szCs w:val="24"/>
        </w:rPr>
        <w:t>申请人为这种做法提供了详细的科学或临床理由，则上述问题的答案</w:t>
      </w:r>
      <w:r>
        <w:rPr>
          <w:rFonts w:hint="eastAsia" w:eastAsia="宋体"/>
          <w:color w:val="000000"/>
          <w:sz w:val="24"/>
          <w:szCs w:val="24"/>
        </w:rPr>
        <w:t>为</w:t>
      </w:r>
      <w:r>
        <w:rPr>
          <w:rFonts w:ascii="宋体" w:hAnsi="宋体" w:eastAsia="宋体"/>
          <w:color w:val="000000"/>
          <w:sz w:val="24"/>
          <w:szCs w:val="24"/>
        </w:rPr>
        <w:t>“</w:t>
      </w:r>
      <w:r>
        <w:rPr>
          <w:rFonts w:eastAsia="宋体"/>
          <w:color w:val="000000"/>
          <w:sz w:val="24"/>
          <w:szCs w:val="24"/>
        </w:rPr>
        <w:t>是</w:t>
      </w:r>
      <w:r>
        <w:rPr>
          <w:rFonts w:ascii="宋体" w:hAnsi="宋体" w:eastAsia="宋体"/>
          <w:color w:val="000000"/>
          <w:sz w:val="24"/>
          <w:szCs w:val="24"/>
        </w:rPr>
        <w:t>”</w:t>
      </w:r>
      <w:r>
        <w:rPr>
          <w:rFonts w:eastAsia="宋体"/>
          <w:color w:val="000000"/>
          <w:sz w:val="24"/>
          <w:szCs w:val="24"/>
        </w:rPr>
        <w:t>。这些</w:t>
      </w:r>
      <w:r>
        <w:rPr>
          <w:rFonts w:hint="eastAsia" w:eastAsia="宋体"/>
          <w:color w:val="000000"/>
          <w:sz w:val="24"/>
          <w:szCs w:val="24"/>
        </w:rPr>
        <w:t>情况</w:t>
      </w:r>
      <w:r>
        <w:rPr>
          <w:rFonts w:eastAsia="宋体"/>
          <w:color w:val="000000"/>
          <w:sz w:val="24"/>
          <w:szCs w:val="24"/>
        </w:rPr>
        <w:t>并不</w:t>
      </w:r>
      <w:r>
        <w:rPr>
          <w:rFonts w:hint="eastAsia" w:eastAsia="宋体"/>
          <w:color w:val="000000"/>
          <w:sz w:val="24"/>
          <w:szCs w:val="24"/>
        </w:rPr>
        <w:t>妨碍</w:t>
      </w:r>
      <w:r>
        <w:rPr>
          <w:rFonts w:eastAsia="宋体"/>
          <w:color w:val="000000"/>
          <w:sz w:val="24"/>
          <w:szCs w:val="24"/>
        </w:rPr>
        <w:t>FDA对PMA进行</w:t>
      </w:r>
      <w:r>
        <w:rPr>
          <w:rFonts w:hint="eastAsia" w:eastAsia="宋体"/>
          <w:color w:val="000000"/>
          <w:sz w:val="24"/>
          <w:szCs w:val="24"/>
        </w:rPr>
        <w:t>备案</w:t>
      </w:r>
      <w:r>
        <w:rPr>
          <w:rFonts w:eastAsia="宋体"/>
          <w:color w:val="000000"/>
          <w:sz w:val="24"/>
          <w:szCs w:val="24"/>
        </w:rPr>
        <w:t>。</w:t>
      </w:r>
    </w:p>
    <w:p>
      <w:pPr>
        <w:snapToGrid w:val="0"/>
        <w:spacing w:after="240" w:afterLines="100"/>
        <w:jc w:val="both"/>
        <w:rPr>
          <w:rFonts w:eastAsia="宋体"/>
          <w:sz w:val="24"/>
          <w:szCs w:val="24"/>
        </w:rPr>
      </w:pPr>
    </w:p>
    <w:p>
      <w:pPr>
        <w:snapToGrid w:val="0"/>
        <w:spacing w:after="240" w:afterLines="100"/>
        <w:jc w:val="both"/>
        <w:rPr>
          <w:rFonts w:eastAsia="宋体"/>
          <w:sz w:val="24"/>
          <w:szCs w:val="24"/>
        </w:rPr>
        <w:sectPr>
          <w:pgSz w:w="11906" w:h="16838"/>
          <w:pgMar w:top="1134" w:right="1134" w:bottom="1134" w:left="1418" w:header="567" w:footer="567" w:gutter="0"/>
          <w:cols w:space="60" w:num="1"/>
          <w:docGrid w:linePitch="272" w:charSpace="0"/>
        </w:sectPr>
      </w:pPr>
    </w:p>
    <w:p>
      <w:pPr>
        <w:snapToGrid w:val="0"/>
        <w:spacing w:after="240" w:afterLines="100"/>
        <w:ind w:left="314" w:leftChars="157" w:firstLine="480" w:firstLineChars="200"/>
        <w:jc w:val="both"/>
        <w:rPr>
          <w:rFonts w:eastAsia="宋体"/>
          <w:sz w:val="24"/>
          <w:szCs w:val="24"/>
        </w:rPr>
      </w:pPr>
      <w:r>
        <w:rPr>
          <w:rFonts w:eastAsia="宋体"/>
          <w:color w:val="000000"/>
          <w:sz w:val="24"/>
          <w:szCs w:val="24"/>
        </w:rPr>
        <w:t>如果关键性研究的患者人群或终点，</w:t>
      </w:r>
      <w:r>
        <w:rPr>
          <w:rFonts w:eastAsia="宋体"/>
          <w:b/>
          <w:bCs/>
          <w:color w:val="000000"/>
          <w:sz w:val="24"/>
          <w:szCs w:val="24"/>
        </w:rPr>
        <w:t>从表面上看</w:t>
      </w:r>
      <w:r>
        <w:rPr>
          <w:rFonts w:eastAsia="宋体"/>
          <w:color w:val="000000"/>
          <w:sz w:val="24"/>
          <w:szCs w:val="24"/>
        </w:rPr>
        <w:t>，不符合拟议使用适应症</w:t>
      </w:r>
      <w:r>
        <w:rPr>
          <w:rFonts w:eastAsia="宋体"/>
          <w:bCs/>
          <w:color w:val="000000"/>
          <w:sz w:val="24"/>
          <w:szCs w:val="24"/>
        </w:rPr>
        <w:t>，</w:t>
      </w:r>
      <w:r>
        <w:rPr>
          <w:rFonts w:eastAsia="宋体"/>
          <w:b/>
          <w:bCs/>
          <w:color w:val="000000"/>
          <w:sz w:val="24"/>
          <w:szCs w:val="24"/>
        </w:rPr>
        <w:t>并且</w:t>
      </w:r>
      <w:r>
        <w:rPr>
          <w:rFonts w:eastAsia="宋体"/>
          <w:color w:val="000000"/>
          <w:sz w:val="24"/>
          <w:szCs w:val="24"/>
        </w:rPr>
        <w:t>未提供这种替代方法的理由，则对上述问题的答案</w:t>
      </w:r>
      <w:r>
        <w:rPr>
          <w:rFonts w:hint="eastAsia" w:eastAsia="宋体"/>
          <w:color w:val="000000"/>
          <w:sz w:val="24"/>
          <w:szCs w:val="24"/>
        </w:rPr>
        <w:t>为</w:t>
      </w:r>
      <w:r>
        <w:rPr>
          <w:rFonts w:ascii="宋体" w:hAnsi="宋体" w:eastAsia="宋体"/>
          <w:color w:val="000000"/>
          <w:sz w:val="24"/>
          <w:szCs w:val="24"/>
        </w:rPr>
        <w:t>“</w:t>
      </w:r>
      <w:r>
        <w:rPr>
          <w:rFonts w:eastAsia="宋体"/>
          <w:color w:val="000000"/>
          <w:sz w:val="24"/>
          <w:szCs w:val="24"/>
        </w:rPr>
        <w:t>否</w:t>
      </w:r>
      <w:r>
        <w:rPr>
          <w:rFonts w:ascii="宋体" w:hAnsi="宋体" w:eastAsia="宋体"/>
          <w:color w:val="000000"/>
          <w:sz w:val="24"/>
          <w:szCs w:val="24"/>
        </w:rPr>
        <w:t>”</w:t>
      </w:r>
      <w:r>
        <w:rPr>
          <w:rFonts w:eastAsia="宋体"/>
          <w:color w:val="000000"/>
          <w:sz w:val="24"/>
          <w:szCs w:val="24"/>
        </w:rPr>
        <w:t>。此外，如果关键研究是在美国境外进行的，而申请人未说明这些数据如何足以支持批准（包括说明当地的医疗实践和/或患者人群如何与美国的医疗实践和/或患者人群相匹配，或者为什么差异都不会影响研究结果对美国患者人群的适用性），</w:t>
      </w:r>
      <w:r>
        <w:rPr>
          <w:rFonts w:hint="eastAsia" w:eastAsia="宋体"/>
          <w:color w:val="000000"/>
          <w:sz w:val="24"/>
          <w:szCs w:val="24"/>
        </w:rPr>
        <w:t>则</w:t>
      </w:r>
      <w:r>
        <w:rPr>
          <w:rFonts w:eastAsia="宋体"/>
          <w:color w:val="000000"/>
          <w:sz w:val="24"/>
          <w:szCs w:val="24"/>
        </w:rPr>
        <w:t>上述问题回答</w:t>
      </w:r>
      <w:r>
        <w:rPr>
          <w:rFonts w:ascii="宋体" w:hAnsi="宋体" w:eastAsia="宋体"/>
          <w:color w:val="000000"/>
          <w:sz w:val="24"/>
          <w:szCs w:val="24"/>
        </w:rPr>
        <w:t>“</w:t>
      </w:r>
      <w:r>
        <w:rPr>
          <w:rFonts w:eastAsia="宋体"/>
          <w:color w:val="000000"/>
          <w:sz w:val="24"/>
          <w:szCs w:val="24"/>
        </w:rPr>
        <w:t>否</w:t>
      </w:r>
      <w:r>
        <w:rPr>
          <w:rFonts w:ascii="宋体" w:hAnsi="宋体" w:eastAsia="宋体"/>
          <w:color w:val="000000"/>
          <w:sz w:val="24"/>
          <w:szCs w:val="24"/>
        </w:rPr>
        <w:t>”</w:t>
      </w:r>
      <w:r>
        <w:rPr>
          <w:rFonts w:eastAsia="宋体"/>
          <w:color w:val="000000"/>
          <w:sz w:val="24"/>
          <w:szCs w:val="24"/>
        </w:rPr>
        <w:t>。在这些情况下，不应</w:t>
      </w:r>
      <w:r>
        <w:rPr>
          <w:rFonts w:hint="eastAsia" w:eastAsia="宋体"/>
          <w:color w:val="000000"/>
          <w:sz w:val="24"/>
          <w:szCs w:val="24"/>
        </w:rPr>
        <w:t>备案</w:t>
      </w:r>
      <w:r>
        <w:rPr>
          <w:rFonts w:eastAsia="宋体"/>
          <w:color w:val="000000"/>
          <w:sz w:val="24"/>
          <w:szCs w:val="24"/>
        </w:rPr>
        <w:t>PMA。</w:t>
      </w:r>
    </w:p>
    <w:p>
      <w:pPr>
        <w:snapToGrid w:val="0"/>
        <w:spacing w:after="240" w:afterLines="100"/>
        <w:jc w:val="both"/>
        <w:rPr>
          <w:rFonts w:eastAsia="宋体"/>
          <w:sz w:val="24"/>
          <w:szCs w:val="24"/>
        </w:rPr>
      </w:pPr>
    </w:p>
    <w:p>
      <w:pPr>
        <w:snapToGrid w:val="0"/>
        <w:spacing w:after="240" w:afterLines="100"/>
        <w:jc w:val="both"/>
        <w:rPr>
          <w:rFonts w:eastAsia="宋体"/>
          <w:sz w:val="24"/>
          <w:szCs w:val="24"/>
        </w:rPr>
        <w:sectPr>
          <w:pgSz w:w="11906" w:h="16838"/>
          <w:pgMar w:top="1134" w:right="1134" w:bottom="1134" w:left="1418" w:header="567" w:footer="567" w:gutter="0"/>
          <w:cols w:space="60" w:num="1"/>
          <w:docGrid w:linePitch="272" w:charSpace="0"/>
        </w:sectPr>
      </w:pPr>
    </w:p>
    <w:p>
      <w:pPr>
        <w:pStyle w:val="16"/>
        <w:snapToGrid w:val="0"/>
        <w:spacing w:after="240" w:afterLines="100"/>
        <w:jc w:val="center"/>
        <w:rPr>
          <w:rFonts w:eastAsia="宋体"/>
          <w:sz w:val="36"/>
          <w:szCs w:val="36"/>
        </w:rPr>
      </w:pPr>
      <w:r>
        <w:rPr>
          <w:rFonts w:eastAsia="宋体"/>
          <w:b/>
          <w:bCs/>
          <w:sz w:val="36"/>
          <w:szCs w:val="36"/>
        </w:rPr>
        <w:t xml:space="preserve">附录A. </w:t>
      </w:r>
      <w:r>
        <w:rPr>
          <w:rFonts w:hint="eastAsia" w:eastAsia="宋体"/>
          <w:b/>
          <w:bCs/>
          <w:sz w:val="36"/>
          <w:szCs w:val="36"/>
        </w:rPr>
        <w:t>PMA的验收</w:t>
      </w:r>
      <w:r>
        <w:rPr>
          <w:rFonts w:eastAsia="宋体"/>
          <w:b/>
          <w:bCs/>
          <w:sz w:val="36"/>
          <w:szCs w:val="36"/>
        </w:rPr>
        <w:t>和</w:t>
      </w:r>
      <w:r>
        <w:rPr>
          <w:rFonts w:hint="eastAsia" w:eastAsia="宋体"/>
          <w:b/>
          <w:bCs/>
          <w:sz w:val="36"/>
          <w:szCs w:val="36"/>
        </w:rPr>
        <w:t>备案检查</w:t>
      </w:r>
      <w:r>
        <w:rPr>
          <w:rFonts w:eastAsia="宋体"/>
          <w:b/>
          <w:bCs/>
          <w:sz w:val="36"/>
          <w:szCs w:val="36"/>
        </w:rPr>
        <w:t>表</w:t>
      </w:r>
    </w:p>
    <w:p>
      <w:pPr>
        <w:snapToGrid w:val="0"/>
        <w:spacing w:after="120" w:afterLines="50"/>
        <w:jc w:val="center"/>
        <w:rPr>
          <w:rFonts w:eastAsia="宋体"/>
          <w:b/>
          <w:bCs/>
          <w:sz w:val="36"/>
          <w:szCs w:val="36"/>
        </w:rPr>
      </w:pPr>
      <w:r>
        <w:rPr>
          <w:rFonts w:eastAsia="宋体"/>
          <w:b/>
          <w:bCs/>
          <w:sz w:val="36"/>
          <w:szCs w:val="36"/>
        </w:rPr>
        <w:t>PMA的验收审评</w:t>
      </w:r>
      <w:r>
        <w:rPr>
          <w:rFonts w:hint="eastAsia" w:eastAsia="宋体"/>
          <w:b/>
          <w:bCs/>
          <w:sz w:val="36"/>
          <w:szCs w:val="36"/>
        </w:rPr>
        <w:t>检查</w:t>
      </w:r>
      <w:r>
        <w:rPr>
          <w:rFonts w:eastAsia="宋体"/>
          <w:b/>
          <w:bCs/>
          <w:sz w:val="36"/>
          <w:szCs w:val="36"/>
        </w:rPr>
        <w:t>表</w:t>
      </w:r>
    </w:p>
    <w:p>
      <w:pPr>
        <w:snapToGrid w:val="0"/>
        <w:spacing w:after="120" w:afterLines="50"/>
        <w:jc w:val="center"/>
        <w:rPr>
          <w:rFonts w:eastAsia="宋体"/>
          <w:sz w:val="21"/>
          <w:szCs w:val="21"/>
        </w:rPr>
      </w:pPr>
      <w:r>
        <w:rPr>
          <w:rFonts w:eastAsia="宋体"/>
          <w:b/>
          <w:bCs/>
          <w:color w:val="000000"/>
          <w:sz w:val="21"/>
          <w:szCs w:val="21"/>
          <w:u w:val="single"/>
        </w:rPr>
        <w:t>（应在</w:t>
      </w:r>
      <w:r>
        <w:rPr>
          <w:rFonts w:hint="eastAsia" w:eastAsia="宋体"/>
          <w:b/>
          <w:bCs/>
          <w:color w:val="000000"/>
          <w:sz w:val="21"/>
          <w:szCs w:val="21"/>
          <w:u w:val="single"/>
        </w:rPr>
        <w:t>在</w:t>
      </w:r>
      <w:r>
        <w:rPr>
          <w:rFonts w:eastAsia="宋体"/>
          <w:b/>
          <w:bCs/>
          <w:color w:val="000000"/>
          <w:sz w:val="21"/>
          <w:szCs w:val="21"/>
          <w:u w:val="single"/>
        </w:rPr>
        <w:t>DCC接收后15天内完成）</w:t>
      </w:r>
    </w:p>
    <w:p>
      <w:pPr>
        <w:tabs>
          <w:tab w:val="left" w:leader="underscore" w:pos="4253"/>
          <w:tab w:val="left" w:pos="4820"/>
          <w:tab w:val="left" w:leader="underscore" w:pos="7368"/>
        </w:tabs>
        <w:snapToGrid w:val="0"/>
        <w:spacing w:after="120" w:afterLines="50"/>
        <w:ind w:left="426" w:leftChars="213" w:right="426" w:rightChars="213"/>
        <w:jc w:val="both"/>
        <w:rPr>
          <w:rFonts w:eastAsia="宋体"/>
          <w:sz w:val="21"/>
          <w:szCs w:val="21"/>
        </w:rPr>
      </w:pPr>
      <w:r>
        <w:rPr>
          <w:rFonts w:eastAsia="宋体"/>
          <w:b/>
          <w:bCs/>
          <w:color w:val="000000"/>
          <w:sz w:val="21"/>
          <w:szCs w:val="21"/>
        </w:rPr>
        <w:t>PMA编号：</w:t>
      </w:r>
      <w:r>
        <w:rPr>
          <w:rFonts w:eastAsia="宋体"/>
          <w:color w:val="000000"/>
          <w:sz w:val="21"/>
          <w:szCs w:val="21"/>
        </w:rPr>
        <w:tab/>
      </w:r>
      <w:r>
        <w:rPr>
          <w:rFonts w:hint="eastAsia" w:eastAsia="宋体"/>
          <w:color w:val="000000"/>
          <w:sz w:val="21"/>
          <w:szCs w:val="21"/>
        </w:rPr>
        <w:tab/>
      </w:r>
      <w:r>
        <w:rPr>
          <w:rFonts w:eastAsia="宋体"/>
          <w:b/>
          <w:bCs/>
          <w:color w:val="000000"/>
          <w:sz w:val="21"/>
          <w:szCs w:val="21"/>
        </w:rPr>
        <w:t>接收日期：</w:t>
      </w:r>
      <w:r>
        <w:rPr>
          <w:rFonts w:eastAsia="宋体"/>
          <w:color w:val="000000"/>
          <w:sz w:val="21"/>
          <w:szCs w:val="21"/>
        </w:rPr>
        <w:tab/>
      </w:r>
    </w:p>
    <w:p>
      <w:pPr>
        <w:tabs>
          <w:tab w:val="left" w:leader="underscore" w:pos="5387"/>
          <w:tab w:val="left" w:pos="5954"/>
          <w:tab w:val="left" w:leader="underscore" w:pos="8080"/>
        </w:tabs>
        <w:snapToGrid w:val="0"/>
        <w:spacing w:after="120" w:afterLines="50"/>
        <w:ind w:left="426" w:leftChars="213" w:right="426" w:rightChars="213"/>
        <w:jc w:val="both"/>
        <w:rPr>
          <w:rFonts w:eastAsia="宋体"/>
          <w:sz w:val="21"/>
          <w:szCs w:val="21"/>
        </w:rPr>
      </w:pPr>
      <w:r>
        <w:rPr>
          <w:rFonts w:eastAsia="宋体"/>
          <w:b/>
          <w:bCs/>
          <w:color w:val="000000"/>
          <w:sz w:val="21"/>
          <w:szCs w:val="21"/>
        </w:rPr>
        <w:t>器械：</w:t>
      </w:r>
      <w:r>
        <w:rPr>
          <w:rFonts w:eastAsia="宋体"/>
          <w:b/>
          <w:bCs/>
          <w:color w:val="000000"/>
          <w:sz w:val="21"/>
          <w:szCs w:val="21"/>
        </w:rPr>
        <w:tab/>
      </w:r>
      <w:r>
        <w:rPr>
          <w:rFonts w:hint="eastAsia" w:eastAsia="宋体"/>
          <w:color w:val="000000"/>
          <w:sz w:val="21"/>
          <w:szCs w:val="21"/>
        </w:rPr>
        <w:tab/>
      </w:r>
      <w:r>
        <w:rPr>
          <w:rFonts w:hint="eastAsia" w:eastAsia="宋体"/>
          <w:b/>
          <w:bCs/>
          <w:color w:val="000000"/>
          <w:sz w:val="21"/>
          <w:szCs w:val="21"/>
        </w:rPr>
        <w:t>专业代码</w:t>
      </w:r>
      <w:r>
        <w:rPr>
          <w:rFonts w:eastAsia="宋体"/>
          <w:b/>
          <w:bCs/>
          <w:color w:val="000000"/>
          <w:sz w:val="21"/>
          <w:szCs w:val="21"/>
        </w:rPr>
        <w:t>：</w:t>
      </w:r>
      <w:r>
        <w:rPr>
          <w:rFonts w:eastAsia="宋体"/>
          <w:color w:val="000000"/>
          <w:sz w:val="21"/>
          <w:szCs w:val="21"/>
        </w:rPr>
        <w:tab/>
      </w:r>
    </w:p>
    <w:p>
      <w:pPr>
        <w:tabs>
          <w:tab w:val="left" w:leader="underscore" w:pos="8364"/>
        </w:tabs>
        <w:snapToGrid w:val="0"/>
        <w:spacing w:after="120" w:afterLines="50"/>
        <w:ind w:left="426" w:leftChars="213" w:right="426" w:rightChars="213"/>
        <w:jc w:val="both"/>
        <w:rPr>
          <w:rFonts w:eastAsia="宋体"/>
          <w:sz w:val="21"/>
          <w:szCs w:val="21"/>
        </w:rPr>
      </w:pPr>
      <w:r>
        <w:rPr>
          <w:rFonts w:eastAsia="宋体"/>
          <w:b/>
          <w:bCs/>
          <w:color w:val="000000"/>
          <w:sz w:val="21"/>
          <w:szCs w:val="21"/>
        </w:rPr>
        <w:t>公司名称 / 地址：</w:t>
      </w:r>
      <w:r>
        <w:rPr>
          <w:rFonts w:eastAsia="宋体"/>
          <w:color w:val="000000"/>
          <w:sz w:val="21"/>
          <w:szCs w:val="21"/>
        </w:rPr>
        <w:tab/>
      </w:r>
    </w:p>
    <w:p>
      <w:pPr>
        <w:tabs>
          <w:tab w:val="left" w:leader="underscore" w:pos="8931"/>
        </w:tabs>
        <w:snapToGrid w:val="0"/>
        <w:spacing w:after="120" w:afterLines="50"/>
        <w:ind w:left="426" w:leftChars="213" w:right="426" w:rightChars="213"/>
        <w:jc w:val="both"/>
        <w:rPr>
          <w:rFonts w:eastAsia="宋体"/>
          <w:sz w:val="21"/>
          <w:szCs w:val="21"/>
        </w:rPr>
      </w:pPr>
      <w:r>
        <w:rPr>
          <w:rFonts w:eastAsia="宋体"/>
          <w:b/>
          <w:bCs/>
          <w:color w:val="000000"/>
          <w:sz w:val="21"/>
          <w:szCs w:val="21"/>
        </w:rPr>
        <w:t>联系人姓名/电话号码：</w:t>
      </w:r>
      <w:r>
        <w:rPr>
          <w:rFonts w:eastAsia="宋体"/>
          <w:b/>
          <w:bCs/>
          <w:color w:val="000000"/>
          <w:sz w:val="21"/>
          <w:szCs w:val="21"/>
        </w:rPr>
        <w:tab/>
      </w:r>
    </w:p>
    <w:p>
      <w:pPr>
        <w:tabs>
          <w:tab w:val="left" w:leader="underscore" w:pos="8222"/>
        </w:tabs>
        <w:snapToGrid w:val="0"/>
        <w:spacing w:after="240" w:afterLines="100"/>
        <w:ind w:left="426" w:leftChars="213" w:right="426" w:rightChars="213"/>
        <w:jc w:val="both"/>
        <w:rPr>
          <w:rFonts w:eastAsia="宋体"/>
          <w:sz w:val="21"/>
          <w:szCs w:val="21"/>
        </w:rPr>
      </w:pPr>
      <w:r>
        <w:rPr>
          <w:rFonts w:hint="eastAsia" w:eastAsia="宋体"/>
          <w:b/>
          <w:bCs/>
          <w:color w:val="000000"/>
          <w:sz w:val="21"/>
          <w:szCs w:val="21"/>
        </w:rPr>
        <w:t>首席</w:t>
      </w:r>
      <w:r>
        <w:rPr>
          <w:rFonts w:eastAsia="宋体"/>
          <w:b/>
          <w:bCs/>
          <w:color w:val="000000"/>
          <w:sz w:val="21"/>
          <w:szCs w:val="21"/>
        </w:rPr>
        <w:t>审评员姓名：</w:t>
      </w:r>
      <w:r>
        <w:rPr>
          <w:rFonts w:eastAsia="宋体"/>
          <w:b/>
          <w:bCs/>
          <w:color w:val="000000"/>
          <w:sz w:val="21"/>
          <w:szCs w:val="21"/>
        </w:rPr>
        <w:tab/>
      </w:r>
    </w:p>
    <w:tbl>
      <w:tblPr>
        <w:tblStyle w:val="9"/>
        <w:tblW w:w="5000" w:type="pct"/>
        <w:tblInd w:w="0" w:type="dxa"/>
        <w:tblLayout w:type="fixed"/>
        <w:tblCellMar>
          <w:top w:w="57" w:type="dxa"/>
          <w:left w:w="57" w:type="dxa"/>
          <w:bottom w:w="57" w:type="dxa"/>
          <w:right w:w="57" w:type="dxa"/>
        </w:tblCellMar>
      </w:tblPr>
      <w:tblGrid>
        <w:gridCol w:w="625"/>
        <w:gridCol w:w="7514"/>
        <w:gridCol w:w="653"/>
        <w:gridCol w:w="676"/>
      </w:tblGrid>
      <w:tr>
        <w:tblPrEx>
          <w:tblCellMar>
            <w:top w:w="57" w:type="dxa"/>
            <w:left w:w="57" w:type="dxa"/>
            <w:bottom w:w="57" w:type="dxa"/>
            <w:right w:w="57" w:type="dxa"/>
          </w:tblCellMar>
        </w:tblPrEx>
        <w:trPr>
          <w:tblHeader/>
        </w:trPr>
        <w:tc>
          <w:tcPr>
            <w:tcW w:w="5000" w:type="pct"/>
            <w:gridSpan w:val="4"/>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vAlign w:val="center"/>
          </w:tcPr>
          <w:p>
            <w:pPr>
              <w:snapToGrid w:val="0"/>
              <w:jc w:val="center"/>
              <w:rPr>
                <w:rFonts w:eastAsia="宋体"/>
                <w:sz w:val="21"/>
                <w:szCs w:val="21"/>
              </w:rPr>
            </w:pPr>
            <w:r>
              <w:rPr>
                <w:rFonts w:eastAsia="宋体"/>
                <w:b/>
                <w:bCs/>
                <w:color w:val="000000"/>
                <w:sz w:val="21"/>
                <w:szCs w:val="21"/>
              </w:rPr>
              <w:t>初步问题</w:t>
            </w:r>
          </w:p>
        </w:tc>
      </w:tr>
      <w:tr>
        <w:tblPrEx>
          <w:tblCellMar>
            <w:top w:w="57" w:type="dxa"/>
            <w:left w:w="57" w:type="dxa"/>
            <w:bottom w:w="57" w:type="dxa"/>
            <w:right w:w="57" w:type="dxa"/>
          </w:tblCellMar>
        </w:tblPrEx>
        <w:trPr>
          <w:tblHeader/>
        </w:trPr>
        <w:tc>
          <w:tcPr>
            <w:tcW w:w="4298" w:type="pct"/>
            <w:gridSpan w:val="2"/>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vAlign w:val="center"/>
          </w:tcPr>
          <w:p>
            <w:pPr>
              <w:snapToGrid w:val="0"/>
              <w:jc w:val="center"/>
              <w:rPr>
                <w:rFonts w:eastAsia="宋体"/>
                <w:sz w:val="21"/>
                <w:szCs w:val="21"/>
              </w:rPr>
            </w:pPr>
            <w:r>
              <w:rPr>
                <w:rFonts w:eastAsia="宋体"/>
                <w:b/>
                <w:bCs/>
                <w:color w:val="000000"/>
                <w:sz w:val="21"/>
                <w:szCs w:val="21"/>
              </w:rPr>
              <w:t>阴影部分的答案表明需要向已确定的</w:t>
            </w:r>
            <w:r>
              <w:rPr>
                <w:rFonts w:hint="eastAsia" w:eastAsia="宋体"/>
                <w:b/>
                <w:bCs/>
                <w:color w:val="000000"/>
                <w:sz w:val="21"/>
                <w:szCs w:val="21"/>
                <w:highlight w:val="none"/>
              </w:rPr>
              <w:t>中心</w:t>
            </w:r>
            <w:r>
              <w:rPr>
                <w:rFonts w:eastAsia="宋体"/>
                <w:b/>
                <w:bCs/>
                <w:color w:val="000000"/>
                <w:sz w:val="21"/>
                <w:szCs w:val="21"/>
              </w:rPr>
              <w:t>顾问咨询</w:t>
            </w:r>
            <w:r>
              <w:rPr>
                <w:rFonts w:eastAsia="宋体"/>
                <w:b/>
                <w:bCs/>
                <w:i/>
                <w:iCs/>
                <w:color w:val="000000"/>
                <w:sz w:val="21"/>
                <w:szCs w:val="21"/>
              </w:rPr>
              <w:t>。</w:t>
            </w:r>
            <w:r>
              <w:rPr>
                <w:rFonts w:eastAsia="宋体"/>
                <w:b/>
                <w:bCs/>
                <w:color w:val="000000"/>
                <w:sz w:val="21"/>
                <w:szCs w:val="21"/>
              </w:rPr>
              <w:t>（本节中的方框代表FDA在行政审评时对这些问题的初步评估）。</w:t>
            </w:r>
          </w:p>
        </w:tc>
        <w:tc>
          <w:tcPr>
            <w:tcW w:w="345" w:type="pct"/>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pPr>
              <w:snapToGrid w:val="0"/>
              <w:jc w:val="center"/>
              <w:rPr>
                <w:rFonts w:eastAsia="宋体"/>
                <w:sz w:val="21"/>
                <w:szCs w:val="21"/>
              </w:rPr>
            </w:pPr>
            <w:r>
              <w:rPr>
                <w:rFonts w:eastAsia="宋体"/>
                <w:b/>
                <w:bCs/>
                <w:color w:val="000000"/>
                <w:sz w:val="21"/>
                <w:szCs w:val="21"/>
              </w:rPr>
              <w:t>是</w:t>
            </w:r>
          </w:p>
        </w:tc>
        <w:tc>
          <w:tcPr>
            <w:tcW w:w="357" w:type="pct"/>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pPr>
              <w:snapToGrid w:val="0"/>
              <w:jc w:val="center"/>
              <w:rPr>
                <w:rFonts w:eastAsia="宋体"/>
                <w:sz w:val="21"/>
                <w:szCs w:val="21"/>
              </w:rPr>
            </w:pPr>
            <w:r>
              <w:rPr>
                <w:rFonts w:eastAsia="宋体"/>
                <w:b/>
                <w:bCs/>
                <w:color w:val="000000"/>
                <w:sz w:val="21"/>
                <w:szCs w:val="21"/>
              </w:rPr>
              <w:t>否</w:t>
            </w:r>
          </w:p>
        </w:tc>
      </w:tr>
      <w:tr>
        <w:tblPrEx>
          <w:tblCellMar>
            <w:top w:w="57" w:type="dxa"/>
            <w:left w:w="57" w:type="dxa"/>
            <w:bottom w:w="57" w:type="dxa"/>
            <w:right w:w="57" w:type="dxa"/>
          </w:tblCellMar>
        </w:tblPrEx>
        <w:tc>
          <w:tcPr>
            <w:tcW w:w="330" w:type="pct"/>
            <w:tcBorders>
              <w:top w:val="single" w:color="auto" w:sz="6" w:space="0"/>
              <w:left w:val="single" w:color="auto" w:sz="6" w:space="0"/>
              <w:bottom w:val="single" w:color="auto" w:sz="6" w:space="0"/>
              <w:right w:val="nil"/>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t>1.</w:t>
            </w:r>
          </w:p>
        </w:tc>
        <w:tc>
          <w:tcPr>
            <w:tcW w:w="3968" w:type="pct"/>
            <w:tcBorders>
              <w:top w:val="single" w:color="auto" w:sz="6" w:space="0"/>
              <w:left w:val="nil"/>
              <w:bottom w:val="single" w:color="auto" w:sz="6" w:space="0"/>
              <w:right w:val="single" w:color="auto" w:sz="6" w:space="0"/>
            </w:tcBorders>
            <w:shd w:val="clear" w:color="auto" w:fill="FFFFFF"/>
            <w:tcMar>
              <w:left w:w="57" w:type="dxa"/>
              <w:right w:w="57" w:type="dxa"/>
            </w:tcMar>
          </w:tcPr>
          <w:p>
            <w:pPr>
              <w:snapToGrid w:val="0"/>
              <w:jc w:val="both"/>
              <w:rPr>
                <w:rFonts w:eastAsia="宋体"/>
                <w:i/>
                <w:iCs/>
                <w:color w:val="000000"/>
                <w:sz w:val="21"/>
                <w:szCs w:val="21"/>
              </w:rPr>
            </w:pPr>
            <w:r>
              <w:rPr>
                <w:rFonts w:eastAsia="宋体"/>
                <w:color w:val="000000"/>
                <w:sz w:val="21"/>
                <w:szCs w:val="21"/>
              </w:rPr>
              <w:t>该产品是器械（根据《FD&amp;C法案》的201（h））还是含有器械成分部分的组合产品，需要根据PMA进行审评？如果它看起来不是一个器械或这种组合产品，或者您不确定，请咨询CDRH产品管辖官员或CBER产品管辖官员，以确定适当的行动，并通知您的部门管理人员。</w:t>
            </w:r>
            <w:r>
              <w:rPr>
                <w:rFonts w:eastAsia="宋体"/>
                <w:i/>
                <w:iCs/>
                <w:color w:val="000000"/>
                <w:sz w:val="21"/>
                <w:szCs w:val="21"/>
              </w:rPr>
              <w:t>提供产品管辖官员的决定摘要。</w:t>
            </w:r>
          </w:p>
          <w:p>
            <w:pPr>
              <w:snapToGrid w:val="0"/>
              <w:jc w:val="both"/>
              <w:rPr>
                <w:rFonts w:eastAsia="宋体"/>
                <w:sz w:val="21"/>
                <w:szCs w:val="21"/>
              </w:rPr>
            </w:pPr>
          </w:p>
          <w:p>
            <w:pPr>
              <w:snapToGrid w:val="0"/>
              <w:jc w:val="both"/>
              <w:rPr>
                <w:rFonts w:eastAsia="宋体"/>
                <w:sz w:val="21"/>
                <w:szCs w:val="21"/>
              </w:rPr>
            </w:pPr>
            <w:r>
              <w:rPr>
                <w:rFonts w:eastAsia="宋体"/>
                <w:color w:val="000000"/>
                <w:sz w:val="21"/>
                <w:szCs w:val="21"/>
              </w:rPr>
              <w:t>如果该产品看起来不是一个器械或这样的组合产品，请标明</w:t>
            </w:r>
            <w:r>
              <w:rPr>
                <w:rFonts w:ascii="宋体" w:hAnsi="宋体" w:eastAsia="宋体"/>
                <w:color w:val="000000"/>
                <w:sz w:val="21"/>
                <w:szCs w:val="21"/>
              </w:rPr>
              <w:t>“</w:t>
            </w:r>
            <w:r>
              <w:rPr>
                <w:rFonts w:eastAsia="宋体"/>
                <w:color w:val="000000"/>
                <w:sz w:val="21"/>
                <w:szCs w:val="21"/>
              </w:rPr>
              <w:t>否</w:t>
            </w:r>
            <w:r>
              <w:rPr>
                <w:rFonts w:ascii="宋体" w:hAnsi="宋体" w:eastAsia="宋体"/>
                <w:color w:val="000000"/>
                <w:sz w:val="21"/>
                <w:szCs w:val="21"/>
              </w:rPr>
              <w:t>”</w:t>
            </w:r>
            <w:r>
              <w:rPr>
                <w:rFonts w:eastAsia="宋体"/>
                <w:color w:val="000000"/>
                <w:sz w:val="21"/>
                <w:szCs w:val="21"/>
              </w:rPr>
              <w:t>。</w:t>
            </w:r>
          </w:p>
        </w:tc>
        <w:tc>
          <w:tcPr>
            <w:tcW w:w="345"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357" w:type="pct"/>
            <w:tcBorders>
              <w:top w:val="single" w:color="auto" w:sz="6" w:space="0"/>
              <w:left w:val="single" w:color="auto" w:sz="6" w:space="0"/>
              <w:bottom w:val="single" w:color="auto" w:sz="6" w:space="0"/>
              <w:right w:val="single" w:color="auto" w:sz="6" w:space="0"/>
            </w:tcBorders>
            <w:shd w:val="clear" w:color="auto" w:fill="E6E6E6"/>
            <w:tcMar>
              <w:left w:w="57" w:type="dxa"/>
              <w:right w:w="57" w:type="dxa"/>
            </w:tcMar>
          </w:tcPr>
          <w:p>
            <w:pPr>
              <w:snapToGrid w:val="0"/>
              <w:jc w:val="both"/>
              <w:rPr>
                <w:rFonts w:eastAsia="宋体"/>
                <w:sz w:val="21"/>
                <w:szCs w:val="21"/>
              </w:rPr>
            </w:pPr>
          </w:p>
        </w:tc>
      </w:tr>
      <w:tr>
        <w:tblPrEx>
          <w:tblCellMar>
            <w:top w:w="57" w:type="dxa"/>
            <w:left w:w="57" w:type="dxa"/>
            <w:bottom w:w="57" w:type="dxa"/>
            <w:right w:w="57" w:type="dxa"/>
          </w:tblCellMar>
        </w:tblPrEx>
        <w:tc>
          <w:tcPr>
            <w:tcW w:w="330" w:type="pct"/>
            <w:tcBorders>
              <w:top w:val="single" w:color="auto" w:sz="6" w:space="0"/>
              <w:left w:val="single" w:color="auto" w:sz="6" w:space="0"/>
              <w:bottom w:val="single" w:color="auto" w:sz="6" w:space="0"/>
              <w:right w:val="nil"/>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t>2.</w:t>
            </w:r>
          </w:p>
        </w:tc>
        <w:tc>
          <w:tcPr>
            <w:tcW w:w="3968" w:type="pct"/>
            <w:tcBorders>
              <w:top w:val="single" w:color="auto" w:sz="6" w:space="0"/>
              <w:left w:val="nil"/>
              <w:bottom w:val="single" w:color="auto" w:sz="6" w:space="0"/>
              <w:right w:val="single" w:color="auto" w:sz="6" w:space="0"/>
            </w:tcBorders>
            <w:shd w:val="clear" w:color="auto" w:fill="FFFFFF"/>
            <w:tcMar>
              <w:left w:w="57" w:type="dxa"/>
              <w:right w:w="57" w:type="dxa"/>
            </w:tcMar>
          </w:tcPr>
          <w:p>
            <w:pPr>
              <w:snapToGrid w:val="0"/>
              <w:jc w:val="both"/>
              <w:rPr>
                <w:rFonts w:eastAsia="宋体"/>
                <w:i/>
                <w:iCs/>
                <w:color w:val="000000"/>
                <w:sz w:val="21"/>
                <w:szCs w:val="21"/>
              </w:rPr>
            </w:pPr>
            <w:r>
              <w:rPr>
                <w:rFonts w:eastAsia="宋体"/>
                <w:color w:val="000000"/>
                <w:sz w:val="21"/>
                <w:szCs w:val="21"/>
              </w:rPr>
              <w:t>如果产品是器械或具有器械构成部分的组合产品，是否需要接受申请的中心的审评？如果您认为该申请不在适当的中心审评或您不确定，请咨询CDRH产品管辖官员或CBER产品管辖官员，以确定适当的</w:t>
            </w:r>
            <w:r>
              <w:rPr>
                <w:rFonts w:hint="eastAsia" w:eastAsia="宋体"/>
                <w:color w:val="000000"/>
                <w:sz w:val="21"/>
                <w:szCs w:val="21"/>
              </w:rPr>
              <w:t>行动</w:t>
            </w:r>
            <w:r>
              <w:rPr>
                <w:rFonts w:eastAsia="宋体"/>
                <w:color w:val="000000"/>
                <w:sz w:val="21"/>
                <w:szCs w:val="21"/>
              </w:rPr>
              <w:t>并通知您的部门管理人员。</w:t>
            </w:r>
            <w:r>
              <w:rPr>
                <w:rFonts w:eastAsia="宋体"/>
                <w:i/>
                <w:iCs/>
                <w:color w:val="000000"/>
                <w:sz w:val="21"/>
                <w:szCs w:val="21"/>
              </w:rPr>
              <w:t>提供产品管辖官员的决定摘要。</w:t>
            </w:r>
          </w:p>
          <w:p>
            <w:pPr>
              <w:snapToGrid w:val="0"/>
              <w:jc w:val="both"/>
              <w:rPr>
                <w:rFonts w:eastAsia="宋体"/>
                <w:sz w:val="21"/>
                <w:szCs w:val="21"/>
              </w:rPr>
            </w:pPr>
          </w:p>
          <w:p>
            <w:pPr>
              <w:snapToGrid w:val="0"/>
              <w:jc w:val="both"/>
              <w:rPr>
                <w:rFonts w:eastAsia="宋体"/>
                <w:sz w:val="21"/>
                <w:szCs w:val="21"/>
              </w:rPr>
            </w:pPr>
            <w:r>
              <w:rPr>
                <w:rFonts w:eastAsia="宋体"/>
                <w:color w:val="000000"/>
                <w:sz w:val="21"/>
                <w:szCs w:val="21"/>
              </w:rPr>
              <w:t>如果申请不应该由</w:t>
            </w:r>
            <w:r>
              <w:rPr>
                <w:rFonts w:hint="eastAsia" w:eastAsia="宋体"/>
                <w:color w:val="000000"/>
                <w:sz w:val="21"/>
                <w:szCs w:val="21"/>
              </w:rPr>
              <w:t>您的</w:t>
            </w:r>
            <w:r>
              <w:rPr>
                <w:rFonts w:hint="eastAsia" w:eastAsia="宋体"/>
                <w:color w:val="000000"/>
                <w:sz w:val="21"/>
                <w:szCs w:val="21"/>
                <w:highlight w:val="none"/>
              </w:rPr>
              <w:t>中心</w:t>
            </w:r>
            <w:r>
              <w:rPr>
                <w:rFonts w:eastAsia="宋体"/>
                <w:color w:val="000000"/>
                <w:sz w:val="21"/>
                <w:szCs w:val="21"/>
              </w:rPr>
              <w:t>审评，请标明</w:t>
            </w:r>
            <w:r>
              <w:rPr>
                <w:rFonts w:ascii="宋体" w:hAnsi="宋体" w:eastAsia="宋体"/>
                <w:color w:val="000000"/>
                <w:sz w:val="21"/>
                <w:szCs w:val="21"/>
              </w:rPr>
              <w:t>“</w:t>
            </w:r>
            <w:r>
              <w:rPr>
                <w:rFonts w:eastAsia="宋体"/>
                <w:color w:val="000000"/>
                <w:sz w:val="21"/>
                <w:szCs w:val="21"/>
              </w:rPr>
              <w:t>否</w:t>
            </w:r>
            <w:r>
              <w:rPr>
                <w:rFonts w:ascii="宋体" w:hAnsi="宋体" w:eastAsia="宋体"/>
                <w:color w:val="000000"/>
                <w:sz w:val="21"/>
                <w:szCs w:val="21"/>
              </w:rPr>
              <w:t>”</w:t>
            </w:r>
            <w:r>
              <w:rPr>
                <w:rFonts w:eastAsia="宋体"/>
                <w:color w:val="000000"/>
                <w:sz w:val="21"/>
                <w:szCs w:val="21"/>
              </w:rPr>
              <w:t>。</w:t>
            </w:r>
          </w:p>
        </w:tc>
        <w:tc>
          <w:tcPr>
            <w:tcW w:w="345"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357" w:type="pct"/>
            <w:tcBorders>
              <w:top w:val="single" w:color="auto" w:sz="6" w:space="0"/>
              <w:left w:val="single" w:color="auto" w:sz="6" w:space="0"/>
              <w:bottom w:val="single" w:color="auto" w:sz="6" w:space="0"/>
              <w:right w:val="single" w:color="auto" w:sz="6" w:space="0"/>
            </w:tcBorders>
            <w:shd w:val="clear" w:color="auto" w:fill="E6E6E6"/>
            <w:tcMar>
              <w:left w:w="57" w:type="dxa"/>
              <w:right w:w="57" w:type="dxa"/>
            </w:tcMar>
          </w:tcPr>
          <w:p>
            <w:pPr>
              <w:snapToGrid w:val="0"/>
              <w:jc w:val="both"/>
              <w:rPr>
                <w:rFonts w:eastAsia="宋体"/>
                <w:sz w:val="21"/>
                <w:szCs w:val="21"/>
              </w:rPr>
            </w:pPr>
          </w:p>
        </w:tc>
      </w:tr>
      <w:tr>
        <w:tblPrEx>
          <w:tblCellMar>
            <w:top w:w="57" w:type="dxa"/>
            <w:left w:w="57" w:type="dxa"/>
            <w:bottom w:w="57" w:type="dxa"/>
            <w:right w:w="57" w:type="dxa"/>
          </w:tblCellMar>
        </w:tblPrEx>
        <w:tc>
          <w:tcPr>
            <w:tcW w:w="330" w:type="pct"/>
            <w:tcBorders>
              <w:top w:val="single" w:color="auto" w:sz="6" w:space="0"/>
              <w:left w:val="single" w:color="auto" w:sz="6" w:space="0"/>
              <w:bottom w:val="single" w:color="auto" w:sz="6" w:space="0"/>
              <w:right w:val="nil"/>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t>3.</w:t>
            </w:r>
          </w:p>
        </w:tc>
        <w:tc>
          <w:tcPr>
            <w:tcW w:w="3968" w:type="pct"/>
            <w:tcBorders>
              <w:top w:val="single" w:color="auto" w:sz="6" w:space="0"/>
              <w:left w:val="nil"/>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如果为该器械或具有器械组成部件的组合产品提交了</w:t>
            </w:r>
            <w:r>
              <w:rPr>
                <w:rFonts w:hint="eastAsia" w:eastAsia="宋体"/>
                <w:color w:val="000000"/>
                <w:sz w:val="21"/>
                <w:szCs w:val="21"/>
              </w:rPr>
              <w:t>界定请求</w:t>
            </w:r>
            <w:r>
              <w:rPr>
                <w:rFonts w:eastAsia="宋体"/>
                <w:color w:val="000000"/>
                <w:sz w:val="21"/>
                <w:szCs w:val="21"/>
              </w:rPr>
              <w:t>（RFD）并分配给您的中心，请识别RFD</w:t>
            </w:r>
            <w:r>
              <w:rPr>
                <w:rFonts w:hint="eastAsia" w:eastAsia="宋体"/>
                <w:color w:val="000000"/>
                <w:sz w:val="21"/>
                <w:szCs w:val="21"/>
              </w:rPr>
              <w:t>编号</w:t>
            </w:r>
            <w:r>
              <w:rPr>
                <w:rFonts w:eastAsia="宋体"/>
                <w:color w:val="000000"/>
                <w:sz w:val="21"/>
                <w:szCs w:val="21"/>
              </w:rPr>
              <w:t>并确认以下内容。</w:t>
            </w:r>
          </w:p>
          <w:p>
            <w:pPr>
              <w:pStyle w:val="23"/>
              <w:numPr>
                <w:ilvl w:val="0"/>
                <w:numId w:val="2"/>
              </w:numPr>
              <w:tabs>
                <w:tab w:val="left" w:pos="602"/>
              </w:tabs>
              <w:snapToGrid w:val="0"/>
              <w:ind w:left="601" w:hanging="300" w:firstLineChars="0"/>
              <w:jc w:val="both"/>
              <w:rPr>
                <w:rFonts w:eastAsia="宋体"/>
                <w:sz w:val="21"/>
                <w:szCs w:val="21"/>
              </w:rPr>
            </w:pPr>
            <w:r>
              <w:rPr>
                <w:rFonts w:eastAsia="宋体"/>
                <w:color w:val="000000"/>
                <w:sz w:val="21"/>
                <w:szCs w:val="21"/>
              </w:rPr>
              <w:t>该器械或组合产品是否与提交的RFD中提出的相同（如设计、配方）？</w:t>
            </w:r>
          </w:p>
          <w:p>
            <w:pPr>
              <w:pStyle w:val="23"/>
              <w:numPr>
                <w:ilvl w:val="0"/>
                <w:numId w:val="2"/>
              </w:numPr>
              <w:tabs>
                <w:tab w:val="left" w:pos="602"/>
              </w:tabs>
              <w:snapToGrid w:val="0"/>
              <w:ind w:left="601" w:hanging="300" w:firstLineChars="0"/>
              <w:jc w:val="both"/>
              <w:rPr>
                <w:rFonts w:eastAsia="宋体"/>
                <w:sz w:val="21"/>
                <w:szCs w:val="21"/>
              </w:rPr>
            </w:pPr>
            <w:r>
              <w:rPr>
                <w:rFonts w:eastAsia="宋体"/>
                <w:color w:val="000000"/>
                <w:sz w:val="21"/>
                <w:szCs w:val="21"/>
              </w:rPr>
              <w:t>PMA中确定的器械或组合产品的使用适应症是否与提交的RFD中确定的相同？</w:t>
            </w:r>
          </w:p>
          <w:p>
            <w:pPr>
              <w:snapToGrid w:val="0"/>
              <w:jc w:val="both"/>
              <w:rPr>
                <w:rFonts w:eastAsia="宋体"/>
                <w:color w:val="000000"/>
                <w:sz w:val="21"/>
                <w:szCs w:val="21"/>
              </w:rPr>
            </w:pPr>
          </w:p>
          <w:p>
            <w:pPr>
              <w:snapToGrid w:val="0"/>
              <w:jc w:val="both"/>
              <w:rPr>
                <w:rFonts w:eastAsia="宋体"/>
                <w:i/>
                <w:iCs/>
                <w:color w:val="000000"/>
                <w:sz w:val="21"/>
                <w:szCs w:val="21"/>
              </w:rPr>
            </w:pPr>
            <w:r>
              <w:rPr>
                <w:rFonts w:eastAsia="宋体"/>
                <w:color w:val="000000"/>
                <w:sz w:val="21"/>
                <w:szCs w:val="21"/>
              </w:rPr>
              <w:t>如果您认为产品或PMA中提出的适应症与RFD中的内容有变化，或者您不确定，请咨询CDRH产品管辖官员或适当的CBER产品管辖官员，以确定适当的行动并通知您的部门管理层。</w:t>
            </w:r>
            <w:r>
              <w:rPr>
                <w:rFonts w:eastAsia="宋体"/>
                <w:i/>
                <w:iCs/>
                <w:color w:val="000000"/>
                <w:sz w:val="21"/>
                <w:szCs w:val="21"/>
              </w:rPr>
              <w:t>提供产品管辖官员的决定摘要。</w:t>
            </w:r>
          </w:p>
          <w:p>
            <w:pPr>
              <w:snapToGrid w:val="0"/>
              <w:jc w:val="both"/>
              <w:rPr>
                <w:rFonts w:eastAsia="宋体"/>
                <w:sz w:val="21"/>
                <w:szCs w:val="21"/>
              </w:rPr>
            </w:pPr>
          </w:p>
          <w:p>
            <w:pPr>
              <w:snapToGrid w:val="0"/>
              <w:jc w:val="both"/>
              <w:rPr>
                <w:rFonts w:eastAsia="宋体"/>
                <w:sz w:val="21"/>
                <w:szCs w:val="21"/>
              </w:rPr>
            </w:pPr>
            <w:r>
              <w:rPr>
                <w:rFonts w:eastAsia="宋体"/>
                <w:color w:val="000000"/>
                <w:sz w:val="21"/>
                <w:szCs w:val="21"/>
              </w:rPr>
              <w:t>如果上述两个问题的答案都是否定的，请标明</w:t>
            </w:r>
            <w:r>
              <w:rPr>
                <w:rFonts w:ascii="宋体" w:hAnsi="宋体" w:eastAsia="宋体"/>
                <w:color w:val="000000"/>
                <w:sz w:val="21"/>
                <w:szCs w:val="21"/>
              </w:rPr>
              <w:t>“</w:t>
            </w:r>
            <w:r>
              <w:rPr>
                <w:rFonts w:eastAsia="宋体"/>
                <w:color w:val="000000"/>
                <w:sz w:val="21"/>
                <w:szCs w:val="21"/>
              </w:rPr>
              <w:t>否</w:t>
            </w:r>
            <w:r>
              <w:rPr>
                <w:rFonts w:ascii="宋体" w:hAnsi="宋体" w:eastAsia="宋体"/>
                <w:color w:val="000000"/>
                <w:sz w:val="21"/>
                <w:szCs w:val="21"/>
              </w:rPr>
              <w:t>”</w:t>
            </w:r>
            <w:r>
              <w:rPr>
                <w:rFonts w:eastAsia="宋体"/>
                <w:color w:val="000000"/>
                <w:sz w:val="21"/>
                <w:szCs w:val="21"/>
              </w:rPr>
              <w:t>。</w:t>
            </w:r>
          </w:p>
        </w:tc>
        <w:tc>
          <w:tcPr>
            <w:tcW w:w="345"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357" w:type="pct"/>
            <w:tcBorders>
              <w:top w:val="single" w:color="auto" w:sz="6" w:space="0"/>
              <w:left w:val="single" w:color="auto" w:sz="6" w:space="0"/>
              <w:bottom w:val="single" w:color="auto" w:sz="6" w:space="0"/>
              <w:right w:val="single" w:color="auto" w:sz="6" w:space="0"/>
            </w:tcBorders>
            <w:shd w:val="clear" w:color="auto" w:fill="E6E6E6"/>
            <w:tcMar>
              <w:left w:w="57" w:type="dxa"/>
              <w:right w:w="57" w:type="dxa"/>
            </w:tcMar>
          </w:tcPr>
          <w:p>
            <w:pPr>
              <w:snapToGrid w:val="0"/>
              <w:jc w:val="both"/>
              <w:rPr>
                <w:rFonts w:eastAsia="宋体"/>
                <w:sz w:val="21"/>
                <w:szCs w:val="21"/>
              </w:rPr>
            </w:pPr>
          </w:p>
        </w:tc>
      </w:tr>
      <w:tr>
        <w:tblPrEx>
          <w:tblCellMar>
            <w:top w:w="57" w:type="dxa"/>
            <w:left w:w="57" w:type="dxa"/>
            <w:bottom w:w="57" w:type="dxa"/>
            <w:right w:w="57" w:type="dxa"/>
          </w:tblCellMar>
        </w:tblPrEx>
        <w:tc>
          <w:tcPr>
            <w:tcW w:w="330" w:type="pct"/>
            <w:tcBorders>
              <w:top w:val="single" w:color="auto" w:sz="6" w:space="0"/>
              <w:left w:val="single" w:color="auto" w:sz="6" w:space="0"/>
              <w:bottom w:val="single" w:color="auto" w:sz="6" w:space="0"/>
              <w:right w:val="nil"/>
            </w:tcBorders>
            <w:shd w:val="clear" w:color="auto" w:fill="FFFFFF"/>
            <w:tcMar>
              <w:left w:w="57" w:type="dxa"/>
              <w:right w:w="57" w:type="dxa"/>
            </w:tcMar>
          </w:tcPr>
          <w:p>
            <w:pPr>
              <w:pageBreakBefore/>
              <w:snapToGrid w:val="0"/>
              <w:jc w:val="both"/>
              <w:rPr>
                <w:rFonts w:eastAsia="宋体"/>
                <w:sz w:val="21"/>
                <w:szCs w:val="21"/>
              </w:rPr>
            </w:pPr>
          </w:p>
        </w:tc>
        <w:tc>
          <w:tcPr>
            <w:tcW w:w="3968" w:type="pct"/>
            <w:tcBorders>
              <w:top w:val="single" w:color="auto" w:sz="6" w:space="0"/>
              <w:left w:val="nil"/>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申请的组合产品，其组成成分中是否含有与美国联邦法典第21章</w:t>
            </w:r>
            <w:r>
              <w:rPr>
                <w:rFonts w:hint="eastAsia" w:eastAsia="宋体"/>
                <w:color w:val="000000"/>
                <w:sz w:val="21"/>
                <w:szCs w:val="21"/>
                <w:highlight w:val="none"/>
              </w:rPr>
              <w:t>第</w:t>
            </w:r>
            <w:r>
              <w:rPr>
                <w:rFonts w:eastAsia="宋体"/>
                <w:color w:val="000000"/>
                <w:sz w:val="21"/>
                <w:szCs w:val="21"/>
                <w:highlight w:val="none"/>
              </w:rPr>
              <w:t>503</w:t>
            </w:r>
            <w:r>
              <w:rPr>
                <w:rFonts w:hint="eastAsia" w:eastAsia="宋体"/>
                <w:color w:val="000000"/>
                <w:sz w:val="21"/>
                <w:szCs w:val="21"/>
                <w:highlight w:val="none"/>
              </w:rPr>
              <w:t>（</w:t>
            </w:r>
            <w:r>
              <w:rPr>
                <w:rFonts w:eastAsia="宋体"/>
                <w:color w:val="000000"/>
                <w:sz w:val="21"/>
                <w:szCs w:val="21"/>
                <w:highlight w:val="none"/>
              </w:rPr>
              <w:t>g</w:t>
            </w:r>
            <w:r>
              <w:rPr>
                <w:rFonts w:hint="eastAsia" w:eastAsia="宋体"/>
                <w:color w:val="000000"/>
                <w:sz w:val="21"/>
                <w:szCs w:val="21"/>
                <w:highlight w:val="none"/>
              </w:rPr>
              <w:t>）（</w:t>
            </w:r>
            <w:r>
              <w:rPr>
                <w:rFonts w:eastAsia="宋体"/>
                <w:color w:val="000000"/>
                <w:sz w:val="21"/>
                <w:szCs w:val="21"/>
                <w:highlight w:val="none"/>
              </w:rPr>
              <w:t>5</w:t>
            </w:r>
            <w:r>
              <w:rPr>
                <w:rFonts w:hint="eastAsia" w:eastAsia="宋体"/>
                <w:color w:val="000000"/>
                <w:sz w:val="21"/>
                <w:szCs w:val="21"/>
                <w:highlight w:val="none"/>
              </w:rPr>
              <w:t>）（</w:t>
            </w:r>
            <w:r>
              <w:rPr>
                <w:rFonts w:eastAsia="宋体"/>
                <w:color w:val="000000"/>
                <w:sz w:val="21"/>
                <w:szCs w:val="21"/>
                <w:highlight w:val="none"/>
              </w:rPr>
              <w:t>C</w:t>
            </w:r>
            <w:r>
              <w:rPr>
                <w:rFonts w:hint="eastAsia" w:eastAsia="宋体"/>
                <w:color w:val="000000"/>
                <w:sz w:val="21"/>
                <w:szCs w:val="21"/>
                <w:highlight w:val="none"/>
              </w:rPr>
              <w:t>）（</w:t>
            </w:r>
            <w:r>
              <w:rPr>
                <w:rFonts w:eastAsia="宋体"/>
                <w:color w:val="000000"/>
                <w:sz w:val="21"/>
                <w:szCs w:val="21"/>
                <w:highlight w:val="none"/>
              </w:rPr>
              <w:t>ii</w:t>
            </w:r>
            <w:r>
              <w:rPr>
                <w:rFonts w:hint="eastAsia" w:eastAsia="宋体"/>
                <w:color w:val="000000"/>
                <w:sz w:val="21"/>
                <w:szCs w:val="21"/>
                <w:highlight w:val="none"/>
              </w:rPr>
              <w:t>）</w:t>
            </w:r>
            <w:r>
              <w:rPr>
                <w:rFonts w:eastAsia="宋体"/>
                <w:color w:val="000000"/>
                <w:sz w:val="21"/>
                <w:szCs w:val="21"/>
                <w:highlight w:val="none"/>
              </w:rPr>
              <w:t>-</w:t>
            </w:r>
            <w:r>
              <w:rPr>
                <w:rFonts w:hint="eastAsia" w:eastAsia="宋体"/>
                <w:color w:val="000000"/>
                <w:sz w:val="21"/>
                <w:szCs w:val="21"/>
                <w:highlight w:val="none"/>
              </w:rPr>
              <w:t>（</w:t>
            </w:r>
            <w:r>
              <w:rPr>
                <w:rFonts w:eastAsia="宋体"/>
                <w:color w:val="000000"/>
                <w:sz w:val="21"/>
                <w:szCs w:val="21"/>
                <w:highlight w:val="none"/>
              </w:rPr>
              <w:t>v</w:t>
            </w:r>
            <w:r>
              <w:rPr>
                <w:rFonts w:hint="eastAsia" w:eastAsia="宋体"/>
                <w:color w:val="000000"/>
                <w:sz w:val="21"/>
                <w:szCs w:val="21"/>
                <w:highlight w:val="none"/>
              </w:rPr>
              <w:t>）</w:t>
            </w:r>
            <w:r>
              <w:rPr>
                <w:rFonts w:hint="eastAsia" w:eastAsia="宋体"/>
                <w:color w:val="000000"/>
                <w:sz w:val="21"/>
                <w:szCs w:val="21"/>
                <w:highlight w:val="none"/>
              </w:rPr>
              <w:t>节</w:t>
            </w:r>
            <w:r>
              <w:rPr>
                <w:rFonts w:hint="eastAsia" w:eastAsia="宋体"/>
                <w:color w:val="000000"/>
                <w:sz w:val="21"/>
                <w:szCs w:val="21"/>
                <w:highlight w:val="none"/>
              </w:rPr>
              <w:t>所述</w:t>
            </w:r>
            <w:r>
              <w:rPr>
                <w:rFonts w:eastAsia="宋体"/>
                <w:color w:val="000000"/>
                <w:sz w:val="21"/>
                <w:szCs w:val="21"/>
              </w:rPr>
              <w:t>具有排他性的已批准药物相同的药物</w:t>
            </w:r>
            <w:r>
              <w:rPr>
                <w:rFonts w:hint="eastAsia" w:eastAsia="宋体"/>
                <w:color w:val="000000"/>
                <w:sz w:val="21"/>
                <w:szCs w:val="21"/>
              </w:rPr>
              <w:t>（</w:t>
            </w:r>
            <w:r>
              <w:rPr>
                <w:rFonts w:eastAsia="宋体"/>
                <w:color w:val="000000"/>
                <w:sz w:val="21"/>
                <w:szCs w:val="21"/>
              </w:rPr>
              <w:t>《FD&amp;C法案》第503(g)(5)(C)(ii)-(v)节</w:t>
            </w:r>
            <w:r>
              <w:rPr>
                <w:rFonts w:hint="eastAsia" w:eastAsia="宋体"/>
                <w:color w:val="000000"/>
                <w:sz w:val="21"/>
                <w:szCs w:val="21"/>
              </w:rPr>
              <w:t>）</w:t>
            </w:r>
            <w:r>
              <w:rPr>
                <w:rFonts w:eastAsia="宋体"/>
                <w:color w:val="000000"/>
                <w:sz w:val="21"/>
                <w:szCs w:val="21"/>
              </w:rPr>
              <w:t>？如</w:t>
            </w:r>
            <w:r>
              <w:rPr>
                <w:rFonts w:ascii="宋体" w:hAnsi="宋体" w:eastAsia="宋体"/>
                <w:color w:val="000000"/>
                <w:sz w:val="21"/>
                <w:szCs w:val="21"/>
              </w:rPr>
              <w:t>“</w:t>
            </w:r>
            <w:r>
              <w:rPr>
                <w:rFonts w:eastAsia="宋体"/>
                <w:color w:val="000000"/>
                <w:sz w:val="21"/>
                <w:szCs w:val="21"/>
              </w:rPr>
              <w:t>是</w:t>
            </w:r>
            <w:r>
              <w:rPr>
                <w:rFonts w:ascii="宋体" w:hAnsi="宋体" w:eastAsia="宋体"/>
                <w:color w:val="000000"/>
                <w:sz w:val="21"/>
                <w:szCs w:val="21"/>
              </w:rPr>
              <w:t>”</w:t>
            </w:r>
            <w:r>
              <w:rPr>
                <w:rFonts w:eastAsia="宋体"/>
                <w:color w:val="000000"/>
                <w:sz w:val="21"/>
                <w:szCs w:val="21"/>
              </w:rPr>
              <w:t>，那么请联系CDRH产品管辖官员或CBER产品管辖官员，提供与他们讨论的摘要，并说明他们的建议/行动。</w:t>
            </w:r>
          </w:p>
        </w:tc>
        <w:tc>
          <w:tcPr>
            <w:tcW w:w="345" w:type="pct"/>
            <w:tcBorders>
              <w:top w:val="single" w:color="auto" w:sz="6" w:space="0"/>
              <w:left w:val="single" w:color="auto" w:sz="6" w:space="0"/>
              <w:bottom w:val="single" w:color="auto" w:sz="6" w:space="0"/>
              <w:right w:val="single" w:color="auto" w:sz="6" w:space="0"/>
            </w:tcBorders>
            <w:shd w:val="clear" w:color="auto" w:fill="E6E6E6"/>
            <w:tcMar>
              <w:left w:w="57" w:type="dxa"/>
              <w:right w:w="57" w:type="dxa"/>
            </w:tcMar>
          </w:tcPr>
          <w:p>
            <w:pPr>
              <w:snapToGrid w:val="0"/>
              <w:jc w:val="both"/>
              <w:rPr>
                <w:rFonts w:eastAsia="宋体"/>
                <w:sz w:val="21"/>
                <w:szCs w:val="21"/>
              </w:rPr>
            </w:pPr>
          </w:p>
        </w:tc>
        <w:tc>
          <w:tcPr>
            <w:tcW w:w="35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r>
      <w:tr>
        <w:tblPrEx>
          <w:tblCellMar>
            <w:top w:w="57" w:type="dxa"/>
            <w:left w:w="57" w:type="dxa"/>
            <w:bottom w:w="57" w:type="dxa"/>
            <w:right w:w="57" w:type="dxa"/>
          </w:tblCellMar>
        </w:tblPrEx>
        <w:tc>
          <w:tcPr>
            <w:tcW w:w="330" w:type="pct"/>
            <w:tcBorders>
              <w:top w:val="single" w:color="auto" w:sz="6" w:space="0"/>
              <w:left w:val="single" w:color="auto" w:sz="6" w:space="0"/>
              <w:bottom w:val="single" w:color="auto" w:sz="6" w:space="0"/>
              <w:right w:val="nil"/>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4.</w:t>
            </w:r>
          </w:p>
        </w:tc>
        <w:tc>
          <w:tcPr>
            <w:tcW w:w="3968" w:type="pct"/>
            <w:tcBorders>
              <w:top w:val="single" w:color="auto" w:sz="6" w:space="0"/>
              <w:left w:val="nil"/>
              <w:bottom w:val="single" w:color="auto" w:sz="6" w:space="0"/>
              <w:right w:val="single" w:color="auto" w:sz="6" w:space="0"/>
            </w:tcBorders>
            <w:shd w:val="clear" w:color="auto" w:fill="FFFFFF"/>
            <w:tcMar>
              <w:left w:w="57" w:type="dxa"/>
              <w:right w:w="57" w:type="dxa"/>
            </w:tcMar>
          </w:tcPr>
          <w:p>
            <w:pPr>
              <w:snapToGrid w:val="0"/>
              <w:jc w:val="both"/>
              <w:rPr>
                <w:rFonts w:eastAsia="宋体"/>
                <w:color w:val="000000"/>
                <w:sz w:val="21"/>
                <w:szCs w:val="21"/>
              </w:rPr>
            </w:pPr>
            <w:r>
              <w:rPr>
                <w:rFonts w:eastAsia="宋体"/>
                <w:color w:val="000000"/>
                <w:sz w:val="21"/>
                <w:szCs w:val="21"/>
              </w:rPr>
              <w:t>该器械是否需要III类/PMA审评？</w:t>
            </w:r>
          </w:p>
          <w:p>
            <w:pPr>
              <w:snapToGrid w:val="0"/>
              <w:jc w:val="both"/>
              <w:rPr>
                <w:rFonts w:eastAsia="宋体"/>
                <w:sz w:val="21"/>
                <w:szCs w:val="21"/>
              </w:rPr>
            </w:pPr>
          </w:p>
          <w:p>
            <w:pPr>
              <w:snapToGrid w:val="0"/>
              <w:jc w:val="both"/>
              <w:rPr>
                <w:rFonts w:eastAsia="宋体"/>
                <w:sz w:val="21"/>
                <w:szCs w:val="21"/>
              </w:rPr>
            </w:pPr>
            <w:r>
              <w:rPr>
                <w:rFonts w:eastAsia="宋体"/>
                <w:color w:val="000000"/>
                <w:sz w:val="21"/>
                <w:szCs w:val="21"/>
                <w:u w:val="single"/>
              </w:rPr>
              <w:t>备注</w:t>
            </w:r>
            <w:r>
              <w:rPr>
                <w:rFonts w:eastAsia="宋体"/>
                <w:color w:val="000000"/>
                <w:sz w:val="21"/>
                <w:szCs w:val="21"/>
              </w:rPr>
              <w:t>：如果您认为某项申请是我们从未收到过的新型器械的上市申请，因此属于第三类/PMA，您应该（1）记录器械被认定为NSE的原因，并（2）获得在</w:t>
            </w:r>
            <w:r>
              <w:rPr>
                <w:rFonts w:hint="eastAsia" w:eastAsia="宋体"/>
                <w:color w:val="000000"/>
                <w:sz w:val="21"/>
                <w:szCs w:val="21"/>
              </w:rPr>
              <w:t>验收</w:t>
            </w:r>
            <w:r>
              <w:rPr>
                <w:rFonts w:eastAsia="宋体"/>
                <w:color w:val="000000"/>
                <w:sz w:val="21"/>
                <w:szCs w:val="21"/>
              </w:rPr>
              <w:t>原始PMA之前，CDRH/OPEQ/ORP/1处或适当的CBER工作人员的同意。</w:t>
            </w:r>
            <w:r>
              <w:rPr>
                <w:rFonts w:eastAsia="宋体"/>
                <w:i/>
                <w:iCs/>
                <w:color w:val="000000"/>
                <w:sz w:val="21"/>
                <w:szCs w:val="21"/>
              </w:rPr>
              <w:t>附上510（k）工作人员的同意书副本。</w:t>
            </w:r>
          </w:p>
        </w:tc>
        <w:tc>
          <w:tcPr>
            <w:tcW w:w="345"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357" w:type="pct"/>
            <w:tcBorders>
              <w:top w:val="single" w:color="auto" w:sz="6" w:space="0"/>
              <w:left w:val="single" w:color="auto" w:sz="6" w:space="0"/>
              <w:bottom w:val="single" w:color="auto" w:sz="6" w:space="0"/>
              <w:right w:val="single" w:color="auto" w:sz="6" w:space="0"/>
            </w:tcBorders>
            <w:shd w:val="clear" w:color="auto" w:fill="E6E6E6"/>
            <w:tcMar>
              <w:left w:w="57" w:type="dxa"/>
              <w:right w:w="57" w:type="dxa"/>
            </w:tcMar>
          </w:tcPr>
          <w:p>
            <w:pPr>
              <w:snapToGrid w:val="0"/>
              <w:jc w:val="both"/>
              <w:rPr>
                <w:rFonts w:eastAsia="宋体"/>
                <w:sz w:val="21"/>
                <w:szCs w:val="21"/>
              </w:rPr>
            </w:pPr>
          </w:p>
        </w:tc>
      </w:tr>
      <w:tr>
        <w:tblPrEx>
          <w:tblCellMar>
            <w:top w:w="57" w:type="dxa"/>
            <w:left w:w="57" w:type="dxa"/>
            <w:bottom w:w="57" w:type="dxa"/>
            <w:right w:w="57" w:type="dxa"/>
          </w:tblCellMar>
        </w:tblPrEx>
        <w:tc>
          <w:tcPr>
            <w:tcW w:w="330" w:type="pct"/>
            <w:tcBorders>
              <w:top w:val="single" w:color="auto" w:sz="6" w:space="0"/>
              <w:left w:val="single" w:color="auto" w:sz="6" w:space="0"/>
              <w:bottom w:val="single" w:color="auto" w:sz="6" w:space="0"/>
              <w:right w:val="nil"/>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5.</w:t>
            </w:r>
          </w:p>
        </w:tc>
        <w:tc>
          <w:tcPr>
            <w:tcW w:w="3968" w:type="pct"/>
            <w:tcBorders>
              <w:top w:val="single" w:color="auto" w:sz="6" w:space="0"/>
              <w:left w:val="nil"/>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是否有相同适应症的相同器械的510（k）申请正在进行中？如果同一器械的510（k）正在等待中，法规允许FDA拒绝</w:t>
            </w:r>
            <w:r>
              <w:rPr>
                <w:rFonts w:hint="eastAsia" w:eastAsia="宋体"/>
                <w:color w:val="000000"/>
                <w:sz w:val="21"/>
                <w:szCs w:val="21"/>
              </w:rPr>
              <w:t>备案</w:t>
            </w:r>
            <w:r>
              <w:rPr>
                <w:rFonts w:eastAsia="宋体"/>
                <w:color w:val="000000"/>
                <w:sz w:val="21"/>
                <w:szCs w:val="21"/>
              </w:rPr>
              <w:t>PMA（21 CFR 814.42（e）（3））。</w:t>
            </w:r>
          </w:p>
        </w:tc>
        <w:tc>
          <w:tcPr>
            <w:tcW w:w="345" w:type="pct"/>
            <w:tcBorders>
              <w:top w:val="single" w:color="auto" w:sz="6" w:space="0"/>
              <w:left w:val="single" w:color="auto" w:sz="6" w:space="0"/>
              <w:bottom w:val="single" w:color="auto" w:sz="6" w:space="0"/>
              <w:right w:val="single" w:color="auto" w:sz="6" w:space="0"/>
            </w:tcBorders>
            <w:shd w:val="clear" w:color="auto" w:fill="E6E6E6"/>
            <w:tcMar>
              <w:left w:w="57" w:type="dxa"/>
              <w:right w:w="57" w:type="dxa"/>
            </w:tcMar>
          </w:tcPr>
          <w:p>
            <w:pPr>
              <w:snapToGrid w:val="0"/>
              <w:jc w:val="both"/>
              <w:rPr>
                <w:rFonts w:eastAsia="宋体"/>
                <w:sz w:val="21"/>
                <w:szCs w:val="21"/>
              </w:rPr>
            </w:pPr>
          </w:p>
        </w:tc>
        <w:tc>
          <w:tcPr>
            <w:tcW w:w="35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r>
      <w:tr>
        <w:tblPrEx>
          <w:tblCellMar>
            <w:top w:w="57" w:type="dxa"/>
            <w:left w:w="57" w:type="dxa"/>
            <w:bottom w:w="57" w:type="dxa"/>
            <w:right w:w="57" w:type="dxa"/>
          </w:tblCellMar>
        </w:tblPrEx>
        <w:tc>
          <w:tcPr>
            <w:tcW w:w="330" w:type="pct"/>
            <w:tcBorders>
              <w:top w:val="single" w:color="auto" w:sz="6" w:space="0"/>
              <w:left w:val="single" w:color="auto" w:sz="6" w:space="0"/>
              <w:bottom w:val="single" w:color="auto" w:sz="6" w:space="0"/>
              <w:right w:val="nil"/>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6.</w:t>
            </w:r>
          </w:p>
        </w:tc>
        <w:tc>
          <w:tcPr>
            <w:tcW w:w="3968" w:type="pct"/>
            <w:tcBorders>
              <w:top w:val="single" w:color="auto" w:sz="6" w:space="0"/>
              <w:left w:val="nil"/>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申请人是否为</w:t>
            </w:r>
            <w:r>
              <w:rPr>
                <w:rFonts w:hint="eastAsia" w:eastAsia="宋体"/>
                <w:color w:val="000000"/>
                <w:sz w:val="21"/>
                <w:szCs w:val="21"/>
              </w:rPr>
              <w:t>申请</w:t>
            </w:r>
            <w:r>
              <w:rPr>
                <w:rFonts w:hint="eastAsia" w:eastAsia="宋体"/>
                <w:color w:val="000000"/>
                <w:sz w:val="21"/>
                <w:szCs w:val="21"/>
                <w:highlight w:val="none"/>
              </w:rPr>
              <w:t>完整性</w:t>
            </w:r>
            <w:r>
              <w:rPr>
                <w:rFonts w:hint="eastAsia" w:eastAsia="宋体"/>
                <w:color w:val="000000"/>
                <w:sz w:val="21"/>
                <w:szCs w:val="21"/>
              </w:rPr>
              <w:t>政策</w:t>
            </w:r>
            <w:r>
              <w:rPr>
                <w:rFonts w:eastAsia="宋体"/>
                <w:color w:val="000000"/>
                <w:sz w:val="21"/>
                <w:szCs w:val="21"/>
              </w:rPr>
              <w:t>（AIP）的</w:t>
            </w:r>
            <w:r>
              <w:rPr>
                <w:rFonts w:hint="eastAsia" w:eastAsia="宋体"/>
                <w:color w:val="000000"/>
                <w:sz w:val="21"/>
                <w:szCs w:val="21"/>
              </w:rPr>
              <w:t>主体</w:t>
            </w:r>
            <w:r>
              <w:rPr>
                <w:rFonts w:eastAsia="宋体"/>
                <w:color w:val="000000"/>
                <w:sz w:val="21"/>
                <w:szCs w:val="21"/>
              </w:rPr>
              <w:t>？如</w:t>
            </w:r>
            <w:r>
              <w:rPr>
                <w:rFonts w:ascii="宋体" w:hAnsi="宋体" w:eastAsia="宋体"/>
                <w:color w:val="000000"/>
                <w:sz w:val="21"/>
                <w:szCs w:val="21"/>
              </w:rPr>
              <w:t>“</w:t>
            </w:r>
            <w:r>
              <w:rPr>
                <w:rFonts w:eastAsia="宋体"/>
                <w:color w:val="000000"/>
                <w:sz w:val="21"/>
                <w:szCs w:val="21"/>
              </w:rPr>
              <w:t>是</w:t>
            </w:r>
            <w:r>
              <w:rPr>
                <w:rFonts w:ascii="宋体" w:hAnsi="宋体" w:eastAsia="宋体"/>
                <w:color w:val="000000"/>
                <w:sz w:val="21"/>
                <w:szCs w:val="21"/>
              </w:rPr>
              <w:t>”</w:t>
            </w:r>
            <w:r>
              <w:rPr>
                <w:rFonts w:eastAsia="宋体"/>
                <w:color w:val="000000"/>
                <w:sz w:val="21"/>
                <w:szCs w:val="21"/>
              </w:rPr>
              <w:t>，请咨询CDRH</w:t>
            </w:r>
            <w:r>
              <w:rPr>
                <w:rFonts w:hint="eastAsia" w:eastAsia="宋体"/>
                <w:color w:val="000000"/>
                <w:sz w:val="21"/>
                <w:szCs w:val="21"/>
              </w:rPr>
              <w:t>产品评价和质量办公室</w:t>
            </w:r>
            <w:r>
              <w:rPr>
                <w:rFonts w:eastAsia="宋体"/>
                <w:color w:val="000000"/>
                <w:sz w:val="21"/>
                <w:szCs w:val="21"/>
              </w:rPr>
              <w:t>/</w:t>
            </w:r>
            <w:r>
              <w:rPr>
                <w:rFonts w:hint="eastAsia" w:eastAsia="宋体"/>
                <w:color w:val="000000"/>
                <w:sz w:val="21"/>
                <w:szCs w:val="21"/>
              </w:rPr>
              <w:t>临床证据和分析办公室</w:t>
            </w:r>
            <w:r>
              <w:rPr>
                <w:rFonts w:eastAsia="宋体"/>
                <w:color w:val="000000"/>
                <w:sz w:val="21"/>
                <w:szCs w:val="21"/>
              </w:rPr>
              <w:t>/</w:t>
            </w:r>
            <w:r>
              <w:rPr>
                <w:rFonts w:hint="eastAsia" w:eastAsia="宋体"/>
                <w:color w:val="000000"/>
                <w:sz w:val="21"/>
                <w:szCs w:val="21"/>
              </w:rPr>
              <w:t>临床科学和质量</w:t>
            </w:r>
            <w:r>
              <w:rPr>
                <w:rFonts w:hint="eastAsia" w:eastAsia="宋体"/>
                <w:color w:val="000000"/>
                <w:sz w:val="21"/>
                <w:szCs w:val="21"/>
                <w:highlight w:val="none"/>
              </w:rPr>
              <w:t>部门</w:t>
            </w:r>
            <w:r>
              <w:rPr>
                <w:rFonts w:hint="eastAsia" w:eastAsia="宋体"/>
                <w:color w:val="000000"/>
                <w:sz w:val="21"/>
                <w:szCs w:val="21"/>
              </w:rPr>
              <w:t>（</w:t>
            </w:r>
            <w:r>
              <w:rPr>
                <w:rFonts w:eastAsia="宋体"/>
                <w:color w:val="000000"/>
                <w:sz w:val="21"/>
                <w:szCs w:val="21"/>
              </w:rPr>
              <w:t>OPEQ/OCEA/DCEA1</w:t>
            </w:r>
            <w:r>
              <w:rPr>
                <w:rFonts w:hint="eastAsia" w:eastAsia="宋体"/>
                <w:color w:val="000000"/>
                <w:sz w:val="21"/>
                <w:szCs w:val="21"/>
              </w:rPr>
              <w:t>）或</w:t>
            </w:r>
            <w:r>
              <w:rPr>
                <w:rFonts w:eastAsia="宋体"/>
                <w:color w:val="000000"/>
                <w:sz w:val="21"/>
                <w:szCs w:val="21"/>
              </w:rPr>
              <w:t>CBER</w:t>
            </w:r>
            <w:r>
              <w:rPr>
                <w:rFonts w:hint="eastAsia" w:eastAsia="宋体"/>
                <w:color w:val="000000"/>
                <w:sz w:val="21"/>
                <w:szCs w:val="21"/>
              </w:rPr>
              <w:t>合规和生物制品质量办公室</w:t>
            </w:r>
            <w:r>
              <w:rPr>
                <w:rFonts w:eastAsia="宋体"/>
                <w:color w:val="000000"/>
                <w:sz w:val="21"/>
                <w:szCs w:val="21"/>
              </w:rPr>
              <w:t>/</w:t>
            </w:r>
            <w:r>
              <w:rPr>
                <w:rFonts w:hint="eastAsia" w:eastAsia="宋体"/>
                <w:color w:val="000000"/>
                <w:sz w:val="21"/>
                <w:szCs w:val="21"/>
              </w:rPr>
              <w:t>检查和监督</w:t>
            </w:r>
            <w:r>
              <w:rPr>
                <w:rFonts w:hint="eastAsia" w:eastAsia="宋体"/>
                <w:color w:val="000000"/>
                <w:sz w:val="21"/>
                <w:szCs w:val="21"/>
                <w:highlight w:val="none"/>
              </w:rPr>
              <w:t>部门</w:t>
            </w:r>
            <w:r>
              <w:rPr>
                <w:rFonts w:eastAsia="宋体"/>
                <w:color w:val="000000"/>
                <w:sz w:val="21"/>
                <w:szCs w:val="21"/>
              </w:rPr>
              <w:t>/</w:t>
            </w:r>
            <w:r>
              <w:rPr>
                <w:rFonts w:hint="eastAsia" w:eastAsia="宋体"/>
                <w:color w:val="000000"/>
                <w:sz w:val="21"/>
                <w:szCs w:val="21"/>
              </w:rPr>
              <w:t>生物研究监测</w:t>
            </w:r>
            <w:r>
              <w:rPr>
                <w:rFonts w:hint="eastAsia" w:eastAsia="宋体"/>
                <w:color w:val="000000"/>
                <w:sz w:val="21"/>
                <w:szCs w:val="21"/>
                <w:highlight w:val="none"/>
              </w:rPr>
              <w:t>部门</w:t>
            </w:r>
            <w:r>
              <w:rPr>
                <w:rFonts w:hint="eastAsia" w:eastAsia="宋体"/>
                <w:color w:val="000000"/>
                <w:sz w:val="21"/>
                <w:szCs w:val="21"/>
              </w:rPr>
              <w:t>（</w:t>
            </w:r>
            <w:r>
              <w:rPr>
                <w:rFonts w:eastAsia="宋体"/>
                <w:color w:val="000000"/>
                <w:sz w:val="21"/>
                <w:szCs w:val="21"/>
              </w:rPr>
              <w:t>OCBQ/DIS/BMB</w:t>
            </w:r>
            <w:r>
              <w:rPr>
                <w:rFonts w:hint="eastAsia" w:eastAsia="宋体"/>
                <w:color w:val="000000"/>
                <w:sz w:val="21"/>
                <w:szCs w:val="21"/>
              </w:rPr>
              <w:t>）</w:t>
            </w:r>
            <w:r>
              <w:rPr>
                <w:rFonts w:eastAsia="宋体"/>
                <w:color w:val="000000"/>
                <w:sz w:val="21"/>
                <w:szCs w:val="21"/>
              </w:rPr>
              <w:t>以确定适当的行动。在网上查询，网址为</w:t>
            </w:r>
            <w:r>
              <w:rPr>
                <w:rFonts w:eastAsia="宋体"/>
                <w:color w:val="0000FF"/>
                <w:sz w:val="21"/>
                <w:szCs w:val="21"/>
                <w:u w:val="single"/>
              </w:rPr>
              <w:t>https://www.fda.gov/inspections-compliance-enforcement-and-criminal-investigations/application-integrity-policy/application-integrity-policy</w:t>
            </w:r>
            <w:r>
              <w:rPr>
                <w:rFonts w:eastAsia="宋体"/>
                <w:color w:val="0000FF"/>
                <w:sz w:val="21"/>
                <w:szCs w:val="21"/>
              </w:rPr>
              <w:t>-</w:t>
            </w:r>
          </w:p>
        </w:tc>
        <w:tc>
          <w:tcPr>
            <w:tcW w:w="345" w:type="pct"/>
            <w:tcBorders>
              <w:top w:val="single" w:color="auto" w:sz="6" w:space="0"/>
              <w:left w:val="single" w:color="auto" w:sz="6" w:space="0"/>
              <w:bottom w:val="single" w:color="auto" w:sz="6" w:space="0"/>
              <w:right w:val="single" w:color="auto" w:sz="6" w:space="0"/>
            </w:tcBorders>
            <w:shd w:val="clear" w:color="auto" w:fill="E6E6E6"/>
            <w:tcMar>
              <w:left w:w="57" w:type="dxa"/>
              <w:right w:w="57" w:type="dxa"/>
            </w:tcMar>
          </w:tcPr>
          <w:p>
            <w:pPr>
              <w:snapToGrid w:val="0"/>
              <w:jc w:val="both"/>
              <w:rPr>
                <w:rFonts w:eastAsia="宋体"/>
                <w:sz w:val="21"/>
                <w:szCs w:val="21"/>
              </w:rPr>
            </w:pPr>
          </w:p>
        </w:tc>
        <w:tc>
          <w:tcPr>
            <w:tcW w:w="35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r>
    </w:tbl>
    <w:p>
      <w:pPr>
        <w:snapToGrid w:val="0"/>
        <w:ind w:firstLine="422" w:firstLineChars="200"/>
        <w:jc w:val="both"/>
        <w:rPr>
          <w:rFonts w:eastAsia="宋体"/>
          <w:sz w:val="21"/>
          <w:szCs w:val="21"/>
        </w:rPr>
      </w:pPr>
      <w:r>
        <w:rPr>
          <w:rFonts w:eastAsia="宋体"/>
          <w:b/>
          <w:bCs/>
          <w:color w:val="000000"/>
          <w:sz w:val="21"/>
          <w:szCs w:val="21"/>
        </w:rPr>
        <w:t>如果1或2的答案似乎是</w:t>
      </w:r>
      <w:r>
        <w:rPr>
          <w:rFonts w:ascii="宋体" w:hAnsi="宋体" w:eastAsia="宋体"/>
          <w:b/>
          <w:bCs/>
          <w:color w:val="000000"/>
          <w:sz w:val="21"/>
          <w:szCs w:val="21"/>
        </w:rPr>
        <w:t>“</w:t>
      </w:r>
      <w:r>
        <w:rPr>
          <w:rFonts w:eastAsia="宋体"/>
          <w:b/>
          <w:bCs/>
          <w:color w:val="000000"/>
          <w:sz w:val="21"/>
          <w:szCs w:val="21"/>
        </w:rPr>
        <w:t>否</w:t>
      </w:r>
      <w:r>
        <w:rPr>
          <w:rFonts w:ascii="宋体" w:hAnsi="宋体" w:eastAsia="宋体"/>
          <w:b/>
          <w:bCs/>
          <w:color w:val="000000"/>
          <w:sz w:val="21"/>
          <w:szCs w:val="21"/>
        </w:rPr>
        <w:t>”</w:t>
      </w:r>
      <w:r>
        <w:rPr>
          <w:rFonts w:eastAsia="宋体"/>
          <w:b/>
          <w:bCs/>
          <w:color w:val="000000"/>
          <w:sz w:val="21"/>
          <w:szCs w:val="21"/>
        </w:rPr>
        <w:t>，则停止审评PMA，并联系CDRH产品管辖官员或CBER产品管辖官员。</w:t>
      </w:r>
    </w:p>
    <w:p>
      <w:pPr>
        <w:snapToGrid w:val="0"/>
        <w:ind w:firstLine="422" w:firstLineChars="200"/>
        <w:jc w:val="both"/>
        <w:rPr>
          <w:rFonts w:eastAsia="宋体"/>
          <w:sz w:val="21"/>
          <w:szCs w:val="21"/>
        </w:rPr>
      </w:pPr>
      <w:r>
        <w:rPr>
          <w:rFonts w:eastAsia="宋体"/>
          <w:b/>
          <w:bCs/>
          <w:color w:val="000000"/>
          <w:sz w:val="21"/>
          <w:szCs w:val="21"/>
        </w:rPr>
        <w:t>如果对3的回答是</w:t>
      </w:r>
      <w:r>
        <w:rPr>
          <w:rFonts w:ascii="宋体" w:hAnsi="宋体" w:eastAsia="宋体"/>
          <w:b/>
          <w:bCs/>
          <w:color w:val="000000"/>
          <w:sz w:val="21"/>
          <w:szCs w:val="21"/>
        </w:rPr>
        <w:t>“</w:t>
      </w:r>
      <w:r>
        <w:rPr>
          <w:rFonts w:eastAsia="宋体"/>
          <w:b/>
          <w:bCs/>
          <w:color w:val="000000"/>
          <w:sz w:val="21"/>
          <w:szCs w:val="21"/>
        </w:rPr>
        <w:t>否</w:t>
      </w:r>
      <w:r>
        <w:rPr>
          <w:rFonts w:ascii="宋体" w:hAnsi="宋体" w:eastAsia="宋体"/>
          <w:b/>
          <w:bCs/>
          <w:color w:val="000000"/>
          <w:sz w:val="21"/>
          <w:szCs w:val="21"/>
        </w:rPr>
        <w:t>”</w:t>
      </w:r>
      <w:r>
        <w:rPr>
          <w:rFonts w:eastAsia="宋体"/>
          <w:b/>
          <w:bCs/>
          <w:color w:val="000000"/>
          <w:sz w:val="21"/>
          <w:szCs w:val="21"/>
        </w:rPr>
        <w:t>，则停止审评并联系CDRH产品管辖官员或CBER产品管辖官员。</w:t>
      </w:r>
    </w:p>
    <w:p>
      <w:pPr>
        <w:snapToGrid w:val="0"/>
        <w:ind w:firstLine="422" w:firstLineChars="200"/>
        <w:jc w:val="both"/>
        <w:rPr>
          <w:rFonts w:eastAsia="宋体"/>
          <w:sz w:val="21"/>
          <w:szCs w:val="21"/>
        </w:rPr>
      </w:pPr>
      <w:r>
        <w:rPr>
          <w:rFonts w:eastAsia="宋体"/>
          <w:b/>
          <w:bCs/>
          <w:color w:val="000000"/>
          <w:sz w:val="21"/>
          <w:szCs w:val="21"/>
        </w:rPr>
        <w:t>如果对4的回答是</w:t>
      </w:r>
      <w:r>
        <w:rPr>
          <w:rFonts w:ascii="宋体" w:hAnsi="宋体" w:eastAsia="宋体"/>
          <w:b/>
          <w:bCs/>
          <w:color w:val="000000"/>
          <w:sz w:val="21"/>
          <w:szCs w:val="21"/>
        </w:rPr>
        <w:t>“</w:t>
      </w:r>
      <w:r>
        <w:rPr>
          <w:rFonts w:eastAsia="宋体"/>
          <w:b/>
          <w:bCs/>
          <w:color w:val="000000"/>
          <w:sz w:val="21"/>
          <w:szCs w:val="21"/>
        </w:rPr>
        <w:t>是</w:t>
      </w:r>
      <w:r>
        <w:rPr>
          <w:rFonts w:ascii="宋体" w:hAnsi="宋体" w:eastAsia="宋体"/>
          <w:b/>
          <w:bCs/>
          <w:color w:val="000000"/>
          <w:sz w:val="21"/>
          <w:szCs w:val="21"/>
        </w:rPr>
        <w:t>”</w:t>
      </w:r>
      <w:r>
        <w:rPr>
          <w:rFonts w:eastAsia="宋体"/>
          <w:b/>
          <w:bCs/>
          <w:color w:val="000000"/>
          <w:sz w:val="21"/>
          <w:szCs w:val="21"/>
        </w:rPr>
        <w:t>，</w:t>
      </w:r>
      <w:r>
        <w:rPr>
          <w:rFonts w:hint="eastAsia" w:eastAsia="宋体"/>
          <w:b/>
          <w:bCs/>
          <w:color w:val="000000"/>
          <w:sz w:val="21"/>
          <w:szCs w:val="21"/>
        </w:rPr>
        <w:t>则</w:t>
      </w:r>
      <w:r>
        <w:rPr>
          <w:rFonts w:eastAsia="宋体"/>
          <w:b/>
          <w:bCs/>
          <w:color w:val="000000"/>
          <w:sz w:val="21"/>
          <w:szCs w:val="21"/>
        </w:rPr>
        <w:t>联系CDRH产品管辖官员或CBER产品管辖官员，提供与他们讨论的摘要，并说明他们的建议/行动。</w:t>
      </w:r>
    </w:p>
    <w:p>
      <w:pPr>
        <w:snapToGrid w:val="0"/>
        <w:ind w:firstLine="422" w:firstLineChars="200"/>
        <w:jc w:val="both"/>
        <w:rPr>
          <w:rFonts w:eastAsia="宋体"/>
          <w:sz w:val="21"/>
          <w:szCs w:val="21"/>
        </w:rPr>
      </w:pPr>
      <w:r>
        <w:rPr>
          <w:rFonts w:eastAsia="宋体"/>
          <w:b/>
          <w:bCs/>
          <w:color w:val="000000"/>
          <w:sz w:val="21"/>
          <w:szCs w:val="21"/>
        </w:rPr>
        <w:t>如果对5的回答是</w:t>
      </w:r>
      <w:r>
        <w:rPr>
          <w:rFonts w:ascii="宋体" w:hAnsi="宋体" w:eastAsia="宋体"/>
          <w:b/>
          <w:bCs/>
          <w:color w:val="000000"/>
          <w:sz w:val="21"/>
          <w:szCs w:val="21"/>
        </w:rPr>
        <w:t>“</w:t>
      </w:r>
      <w:r>
        <w:rPr>
          <w:rFonts w:eastAsia="宋体"/>
          <w:b/>
          <w:bCs/>
          <w:color w:val="000000"/>
          <w:sz w:val="21"/>
          <w:szCs w:val="21"/>
        </w:rPr>
        <w:t>否</w:t>
      </w:r>
      <w:r>
        <w:rPr>
          <w:rFonts w:ascii="宋体" w:hAnsi="宋体" w:eastAsia="宋体"/>
          <w:b/>
          <w:bCs/>
          <w:color w:val="000000"/>
          <w:sz w:val="21"/>
          <w:szCs w:val="21"/>
        </w:rPr>
        <w:t>”</w:t>
      </w:r>
      <w:r>
        <w:rPr>
          <w:rFonts w:eastAsia="宋体"/>
          <w:b/>
          <w:bCs/>
          <w:color w:val="000000"/>
          <w:sz w:val="21"/>
          <w:szCs w:val="21"/>
        </w:rPr>
        <w:t>，则PMA</w:t>
      </w:r>
      <w:r>
        <w:rPr>
          <w:rFonts w:hint="eastAsia" w:eastAsia="宋体"/>
          <w:b/>
          <w:bCs/>
          <w:color w:val="000000"/>
          <w:sz w:val="21"/>
          <w:szCs w:val="21"/>
        </w:rPr>
        <w:t>首席</w:t>
      </w:r>
      <w:r>
        <w:rPr>
          <w:rFonts w:eastAsia="宋体"/>
          <w:b/>
          <w:bCs/>
          <w:color w:val="000000"/>
          <w:sz w:val="21"/>
          <w:szCs w:val="21"/>
        </w:rPr>
        <w:t>审评员应咨询部门管理层和其他中心资源，以确定适当的行动。</w:t>
      </w:r>
    </w:p>
    <w:p>
      <w:pPr>
        <w:snapToGrid w:val="0"/>
        <w:ind w:firstLine="422" w:firstLineChars="200"/>
        <w:jc w:val="both"/>
        <w:rPr>
          <w:rFonts w:eastAsia="宋体"/>
          <w:sz w:val="21"/>
          <w:szCs w:val="21"/>
        </w:rPr>
      </w:pPr>
      <w:r>
        <w:rPr>
          <w:rFonts w:eastAsia="宋体"/>
          <w:b/>
          <w:bCs/>
          <w:color w:val="000000"/>
          <w:sz w:val="21"/>
          <w:szCs w:val="21"/>
        </w:rPr>
        <w:t>如果对6的回答是</w:t>
      </w:r>
      <w:r>
        <w:rPr>
          <w:rFonts w:ascii="宋体" w:hAnsi="宋体" w:eastAsia="宋体"/>
          <w:b/>
          <w:bCs/>
          <w:color w:val="000000"/>
          <w:sz w:val="21"/>
          <w:szCs w:val="21"/>
        </w:rPr>
        <w:t>“</w:t>
      </w:r>
      <w:r>
        <w:rPr>
          <w:rFonts w:eastAsia="宋体"/>
          <w:b/>
          <w:bCs/>
          <w:color w:val="000000"/>
          <w:sz w:val="21"/>
          <w:szCs w:val="21"/>
        </w:rPr>
        <w:t>是</w:t>
      </w:r>
      <w:r>
        <w:rPr>
          <w:rFonts w:ascii="宋体" w:hAnsi="宋体" w:eastAsia="宋体"/>
          <w:b/>
          <w:bCs/>
          <w:color w:val="000000"/>
          <w:sz w:val="21"/>
          <w:szCs w:val="21"/>
        </w:rPr>
        <w:t>”</w:t>
      </w:r>
      <w:r>
        <w:rPr>
          <w:rFonts w:eastAsia="宋体"/>
          <w:b/>
          <w:bCs/>
          <w:color w:val="000000"/>
          <w:sz w:val="21"/>
          <w:szCs w:val="21"/>
        </w:rPr>
        <w:t>，则停止审评PMA，联系CDRH/OPEQ/ORP/1</w:t>
      </w:r>
      <w:r>
        <w:rPr>
          <w:rFonts w:hint="eastAsia" w:eastAsia="宋体"/>
          <w:b/>
          <w:bCs/>
          <w:color w:val="000000"/>
          <w:sz w:val="21"/>
          <w:szCs w:val="21"/>
        </w:rPr>
        <w:t>处</w:t>
      </w:r>
      <w:r>
        <w:rPr>
          <w:rFonts w:eastAsia="宋体"/>
          <w:b/>
          <w:bCs/>
          <w:color w:val="000000"/>
          <w:sz w:val="21"/>
          <w:szCs w:val="21"/>
        </w:rPr>
        <w:t>，或适当的CBER工作人员。</w:t>
      </w:r>
    </w:p>
    <w:p>
      <w:pPr>
        <w:snapToGrid w:val="0"/>
        <w:ind w:firstLine="422" w:firstLineChars="200"/>
        <w:jc w:val="both"/>
        <w:rPr>
          <w:rFonts w:eastAsia="宋体"/>
          <w:sz w:val="21"/>
          <w:szCs w:val="21"/>
        </w:rPr>
      </w:pPr>
      <w:r>
        <w:rPr>
          <w:rFonts w:eastAsia="宋体"/>
          <w:b/>
          <w:bCs/>
          <w:color w:val="000000"/>
          <w:sz w:val="21"/>
          <w:szCs w:val="21"/>
        </w:rPr>
        <w:t>如果对7的回答是</w:t>
      </w:r>
      <w:r>
        <w:rPr>
          <w:rFonts w:ascii="宋体" w:hAnsi="宋体" w:eastAsia="宋体"/>
          <w:b/>
          <w:bCs/>
          <w:color w:val="000000"/>
          <w:sz w:val="21"/>
          <w:szCs w:val="21"/>
        </w:rPr>
        <w:t>“</w:t>
      </w:r>
      <w:r>
        <w:rPr>
          <w:rFonts w:eastAsia="宋体"/>
          <w:b/>
          <w:bCs/>
          <w:color w:val="000000"/>
          <w:sz w:val="21"/>
          <w:szCs w:val="21"/>
        </w:rPr>
        <w:t>是</w:t>
      </w:r>
      <w:r>
        <w:rPr>
          <w:rFonts w:ascii="宋体" w:hAnsi="宋体" w:eastAsia="宋体"/>
          <w:b/>
          <w:bCs/>
          <w:color w:val="000000"/>
          <w:sz w:val="21"/>
          <w:szCs w:val="21"/>
        </w:rPr>
        <w:t>”</w:t>
      </w:r>
      <w:r>
        <w:rPr>
          <w:rFonts w:eastAsia="宋体"/>
          <w:b/>
          <w:bCs/>
          <w:color w:val="000000"/>
          <w:sz w:val="21"/>
          <w:szCs w:val="21"/>
        </w:rPr>
        <w:t>，</w:t>
      </w:r>
      <w:r>
        <w:rPr>
          <w:rFonts w:hint="eastAsia" w:eastAsia="宋体"/>
          <w:b/>
          <w:bCs/>
          <w:color w:val="000000"/>
          <w:sz w:val="21"/>
          <w:szCs w:val="21"/>
        </w:rPr>
        <w:t>则</w:t>
      </w:r>
      <w:r>
        <w:rPr>
          <w:rFonts w:eastAsia="宋体"/>
          <w:b/>
          <w:bCs/>
          <w:color w:val="000000"/>
          <w:sz w:val="21"/>
          <w:szCs w:val="21"/>
        </w:rPr>
        <w:t>联系CDRH产品评估和质量办公室/临床证据和分析办公室/临床科学和质量处（OPEQ/OCEA/DCEA1）或CBER/OCBQ/DIS/BMB，提供与BIMO工作人员讨论的摘要，并指出BIMO的建议/行动。</w:t>
      </w:r>
    </w:p>
    <w:p>
      <w:pPr>
        <w:snapToGrid w:val="0"/>
        <w:spacing w:after="240" w:afterLines="100"/>
        <w:jc w:val="both"/>
        <w:rPr>
          <w:rFonts w:eastAsia="宋体"/>
          <w:sz w:val="21"/>
          <w:szCs w:val="21"/>
        </w:rPr>
      </w:pPr>
    </w:p>
    <w:p>
      <w:pPr>
        <w:snapToGrid w:val="0"/>
        <w:spacing w:after="240" w:afterLines="100"/>
        <w:jc w:val="both"/>
        <w:rPr>
          <w:rFonts w:eastAsia="宋体"/>
          <w:sz w:val="21"/>
          <w:szCs w:val="21"/>
        </w:rPr>
        <w:sectPr>
          <w:pgSz w:w="11906" w:h="16838"/>
          <w:pgMar w:top="1134" w:right="1134" w:bottom="1134" w:left="1418" w:header="567" w:footer="567" w:gutter="0"/>
          <w:cols w:space="60" w:num="1"/>
          <w:docGrid w:linePitch="272" w:charSpace="0"/>
        </w:sectPr>
      </w:pPr>
    </w:p>
    <w:tbl>
      <w:tblPr>
        <w:tblStyle w:val="9"/>
        <w:tblW w:w="5000" w:type="pct"/>
        <w:tblInd w:w="0" w:type="dxa"/>
        <w:tblLayout w:type="fixed"/>
        <w:tblCellMar>
          <w:top w:w="57" w:type="dxa"/>
          <w:left w:w="57" w:type="dxa"/>
          <w:bottom w:w="57" w:type="dxa"/>
          <w:right w:w="57" w:type="dxa"/>
        </w:tblCellMar>
      </w:tblPr>
      <w:tblGrid>
        <w:gridCol w:w="494"/>
        <w:gridCol w:w="328"/>
        <w:gridCol w:w="154"/>
        <w:gridCol w:w="11"/>
        <w:gridCol w:w="483"/>
        <w:gridCol w:w="13"/>
        <w:gridCol w:w="473"/>
        <w:gridCol w:w="11"/>
        <w:gridCol w:w="14"/>
        <w:gridCol w:w="154"/>
        <w:gridCol w:w="344"/>
        <w:gridCol w:w="4843"/>
        <w:gridCol w:w="489"/>
        <w:gridCol w:w="673"/>
        <w:gridCol w:w="984"/>
      </w:tblGrid>
      <w:tr>
        <w:tblPrEx>
          <w:tblCellMar>
            <w:top w:w="57" w:type="dxa"/>
            <w:left w:w="57" w:type="dxa"/>
            <w:bottom w:w="57" w:type="dxa"/>
            <w:right w:w="57" w:type="dxa"/>
          </w:tblCellMar>
        </w:tblPrEx>
        <w:trPr>
          <w:trHeight w:val="340" w:hRule="atLeast"/>
          <w:tblHeader/>
        </w:trPr>
        <w:tc>
          <w:tcPr>
            <w:tcW w:w="9468" w:type="dxa"/>
            <w:gridSpan w:val="15"/>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vAlign w:val="center"/>
          </w:tcPr>
          <w:p>
            <w:pPr>
              <w:snapToGrid w:val="0"/>
              <w:jc w:val="center"/>
              <w:rPr>
                <w:rFonts w:eastAsia="宋体"/>
                <w:b/>
                <w:bCs/>
                <w:color w:val="000000"/>
                <w:sz w:val="21"/>
                <w:szCs w:val="21"/>
                <w:u w:val="single"/>
              </w:rPr>
            </w:pPr>
            <w:r>
              <w:rPr>
                <w:rFonts w:eastAsia="宋体"/>
                <w:b/>
                <w:bCs/>
                <w:color w:val="000000"/>
                <w:sz w:val="21"/>
                <w:szCs w:val="21"/>
                <w:u w:val="single"/>
              </w:rPr>
              <w:t>组织和行政要素清单</w:t>
            </w:r>
          </w:p>
          <w:p>
            <w:pPr>
              <w:snapToGrid w:val="0"/>
              <w:jc w:val="center"/>
              <w:rPr>
                <w:rFonts w:eastAsia="宋体"/>
                <w:sz w:val="21"/>
                <w:szCs w:val="21"/>
              </w:rPr>
            </w:pPr>
            <w:r>
              <w:rPr>
                <w:rFonts w:eastAsia="宋体"/>
                <w:b/>
                <w:bCs/>
                <w:color w:val="000000"/>
                <w:sz w:val="21"/>
                <w:szCs w:val="21"/>
              </w:rPr>
              <w:t>（21 CFR 814.20，除非另有说明）</w:t>
            </w:r>
          </w:p>
        </w:tc>
      </w:tr>
      <w:tr>
        <w:tblPrEx>
          <w:tblCellMar>
            <w:top w:w="57" w:type="dxa"/>
            <w:left w:w="57" w:type="dxa"/>
            <w:bottom w:w="57" w:type="dxa"/>
            <w:right w:w="57" w:type="dxa"/>
          </w:tblCellMar>
        </w:tblPrEx>
        <w:trPr>
          <w:trHeight w:val="340" w:hRule="atLeast"/>
          <w:tblHeader/>
        </w:trPr>
        <w:tc>
          <w:tcPr>
            <w:tcW w:w="9468" w:type="dxa"/>
            <w:gridSpan w:val="15"/>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pPr>
              <w:snapToGrid w:val="0"/>
              <w:jc w:val="both"/>
              <w:rPr>
                <w:rFonts w:eastAsia="宋体"/>
                <w:sz w:val="21"/>
                <w:szCs w:val="21"/>
              </w:rPr>
            </w:pPr>
            <w:r>
              <w:rPr>
                <w:rFonts w:eastAsia="宋体"/>
                <w:b/>
                <w:bCs/>
                <w:color w:val="000000"/>
                <w:sz w:val="21"/>
                <w:szCs w:val="21"/>
              </w:rPr>
              <w:t>如果项目存在，请勾选</w:t>
            </w:r>
            <w:r>
              <w:rPr>
                <w:rFonts w:ascii="宋体" w:hAnsi="宋体" w:eastAsia="宋体"/>
                <w:b/>
                <w:bCs/>
                <w:color w:val="000000"/>
                <w:sz w:val="21"/>
                <w:szCs w:val="21"/>
              </w:rPr>
              <w:t>“</w:t>
            </w:r>
            <w:r>
              <w:rPr>
                <w:rFonts w:eastAsia="宋体"/>
                <w:b/>
                <w:bCs/>
                <w:color w:val="000000"/>
                <w:sz w:val="21"/>
                <w:szCs w:val="21"/>
              </w:rPr>
              <w:t>是</w:t>
            </w:r>
            <w:r>
              <w:rPr>
                <w:rFonts w:ascii="宋体" w:hAnsi="宋体" w:eastAsia="宋体"/>
                <w:b/>
                <w:bCs/>
                <w:color w:val="000000"/>
                <w:sz w:val="21"/>
                <w:szCs w:val="21"/>
              </w:rPr>
              <w:t>”</w:t>
            </w:r>
            <w:r>
              <w:rPr>
                <w:rFonts w:eastAsia="宋体"/>
                <w:b/>
                <w:bCs/>
                <w:color w:val="000000"/>
                <w:sz w:val="21"/>
                <w:szCs w:val="21"/>
              </w:rPr>
              <w:t>；如果不需要，请勾选</w:t>
            </w:r>
            <w:r>
              <w:rPr>
                <w:rFonts w:ascii="宋体" w:hAnsi="宋体" w:eastAsia="宋体"/>
                <w:b/>
                <w:bCs/>
                <w:color w:val="000000"/>
                <w:sz w:val="21"/>
                <w:szCs w:val="21"/>
              </w:rPr>
              <w:t>“</w:t>
            </w:r>
            <w:r>
              <w:rPr>
                <w:rFonts w:eastAsia="宋体"/>
                <w:b/>
                <w:bCs/>
                <w:color w:val="000000"/>
                <w:sz w:val="21"/>
                <w:szCs w:val="21"/>
              </w:rPr>
              <w:t>不适用</w:t>
            </w:r>
            <w:r>
              <w:rPr>
                <w:rFonts w:ascii="宋体" w:hAnsi="宋体" w:eastAsia="宋体"/>
                <w:b/>
                <w:bCs/>
                <w:color w:val="000000"/>
                <w:sz w:val="21"/>
                <w:szCs w:val="21"/>
              </w:rPr>
              <w:t>”</w:t>
            </w:r>
            <w:r>
              <w:rPr>
                <w:rFonts w:eastAsia="宋体"/>
                <w:b/>
                <w:bCs/>
                <w:color w:val="000000"/>
                <w:sz w:val="21"/>
                <w:szCs w:val="21"/>
              </w:rPr>
              <w:t>；如果不包括但需要，请勾选</w:t>
            </w:r>
            <w:r>
              <w:rPr>
                <w:rFonts w:ascii="宋体" w:hAnsi="宋体" w:eastAsia="宋体"/>
                <w:b/>
                <w:bCs/>
                <w:color w:val="000000"/>
                <w:sz w:val="21"/>
                <w:szCs w:val="21"/>
              </w:rPr>
              <w:t>“</w:t>
            </w:r>
            <w:r>
              <w:rPr>
                <w:rFonts w:eastAsia="宋体"/>
                <w:b/>
                <w:bCs/>
                <w:color w:val="000000"/>
                <w:sz w:val="21"/>
                <w:szCs w:val="21"/>
              </w:rPr>
              <w:t>不存在</w:t>
            </w:r>
            <w:r>
              <w:rPr>
                <w:rFonts w:ascii="宋体" w:hAnsi="宋体" w:eastAsia="宋体"/>
                <w:b/>
                <w:bCs/>
                <w:color w:val="000000"/>
                <w:sz w:val="21"/>
                <w:szCs w:val="21"/>
              </w:rPr>
              <w:t>”</w:t>
            </w:r>
            <w:r>
              <w:rPr>
                <w:rFonts w:eastAsia="宋体"/>
                <w:b/>
                <w:bCs/>
                <w:color w:val="000000"/>
                <w:sz w:val="21"/>
                <w:szCs w:val="21"/>
              </w:rPr>
              <w:t>。</w:t>
            </w:r>
          </w:p>
        </w:tc>
      </w:tr>
      <w:tr>
        <w:tblPrEx>
          <w:tblCellMar>
            <w:top w:w="57" w:type="dxa"/>
            <w:left w:w="57" w:type="dxa"/>
            <w:bottom w:w="57" w:type="dxa"/>
            <w:right w:w="57" w:type="dxa"/>
          </w:tblCellMar>
        </w:tblPrEx>
        <w:trPr>
          <w:trHeight w:val="340" w:hRule="atLeast"/>
          <w:tblHeader/>
        </w:trPr>
        <w:tc>
          <w:tcPr>
            <w:tcW w:w="494" w:type="dxa"/>
            <w:tcBorders>
              <w:top w:val="single" w:color="auto" w:sz="6" w:space="0"/>
              <w:left w:val="single" w:color="auto" w:sz="6" w:space="0"/>
              <w:right w:val="single" w:color="auto" w:sz="6" w:space="0"/>
            </w:tcBorders>
            <w:shd w:val="clear" w:color="auto" w:fill="99CBFE"/>
            <w:tcMar>
              <w:left w:w="57" w:type="dxa"/>
              <w:right w:w="57" w:type="dxa"/>
            </w:tcMar>
          </w:tcPr>
          <w:p>
            <w:pPr>
              <w:snapToGrid w:val="0"/>
              <w:jc w:val="both"/>
              <w:rPr>
                <w:rFonts w:eastAsia="宋体"/>
                <w:sz w:val="21"/>
                <w:szCs w:val="21"/>
              </w:rPr>
            </w:pPr>
          </w:p>
        </w:tc>
        <w:tc>
          <w:tcPr>
            <w:tcW w:w="6828" w:type="dxa"/>
            <w:gridSpan w:val="11"/>
            <w:vMerge w:val="restart"/>
            <w:tcBorders>
              <w:top w:val="single" w:color="auto" w:sz="6" w:space="0"/>
              <w:left w:val="single" w:color="auto" w:sz="6" w:space="0"/>
              <w:right w:val="single" w:color="auto" w:sz="6" w:space="0"/>
            </w:tcBorders>
            <w:shd w:val="clear" w:color="auto" w:fill="99CBFE"/>
            <w:tcMar>
              <w:left w:w="57" w:type="dxa"/>
              <w:right w:w="57" w:type="dxa"/>
            </w:tcMar>
          </w:tcPr>
          <w:p>
            <w:pPr>
              <w:pStyle w:val="23"/>
              <w:numPr>
                <w:ilvl w:val="0"/>
                <w:numId w:val="2"/>
              </w:numPr>
              <w:tabs>
                <w:tab w:val="left" w:pos="602"/>
              </w:tabs>
              <w:snapToGrid w:val="0"/>
              <w:ind w:left="601" w:hanging="300" w:firstLineChars="0"/>
              <w:jc w:val="both"/>
              <w:rPr>
                <w:rFonts w:eastAsia="宋体"/>
                <w:sz w:val="21"/>
                <w:szCs w:val="21"/>
              </w:rPr>
            </w:pPr>
            <w:r>
              <w:rPr>
                <w:rFonts w:eastAsia="宋体"/>
                <w:color w:val="000000"/>
                <w:sz w:val="21"/>
                <w:szCs w:val="21"/>
              </w:rPr>
              <w:t>任何</w:t>
            </w:r>
            <w:r>
              <w:rPr>
                <w:rFonts w:ascii="宋体" w:hAnsi="宋体" w:eastAsia="宋体"/>
                <w:color w:val="000000"/>
                <w:sz w:val="21"/>
                <w:szCs w:val="21"/>
              </w:rPr>
              <w:t>“</w:t>
            </w:r>
            <w:r>
              <w:rPr>
                <w:rFonts w:eastAsia="宋体"/>
                <w:color w:val="000000"/>
                <w:sz w:val="21"/>
                <w:szCs w:val="21"/>
              </w:rPr>
              <w:t>不</w:t>
            </w:r>
            <w:r>
              <w:rPr>
                <w:rFonts w:hint="eastAsia" w:eastAsia="宋体"/>
                <w:color w:val="000000"/>
                <w:sz w:val="21"/>
                <w:szCs w:val="21"/>
              </w:rPr>
              <w:t>存在</w:t>
            </w:r>
            <w:r>
              <w:rPr>
                <w:rFonts w:hint="eastAsia" w:ascii="宋体" w:hAnsi="宋体" w:eastAsia="宋体"/>
                <w:color w:val="000000"/>
                <w:sz w:val="21"/>
                <w:szCs w:val="21"/>
              </w:rPr>
              <w:t>”</w:t>
            </w:r>
            <w:r>
              <w:rPr>
                <w:rFonts w:eastAsia="宋体"/>
                <w:color w:val="000000"/>
                <w:sz w:val="21"/>
                <w:szCs w:val="21"/>
              </w:rPr>
              <w:t>的回答都将导致</w:t>
            </w:r>
            <w:r>
              <w:rPr>
                <w:rFonts w:ascii="宋体" w:hAnsi="宋体" w:eastAsia="宋体"/>
                <w:color w:val="000000"/>
                <w:sz w:val="21"/>
                <w:szCs w:val="21"/>
              </w:rPr>
              <w:t>“</w:t>
            </w:r>
            <w:r>
              <w:rPr>
                <w:rFonts w:eastAsia="宋体"/>
                <w:color w:val="000000"/>
                <w:sz w:val="21"/>
                <w:szCs w:val="21"/>
              </w:rPr>
              <w:t>拒绝</w:t>
            </w:r>
            <w:r>
              <w:rPr>
                <w:rFonts w:hint="eastAsia" w:eastAsia="宋体"/>
                <w:color w:val="000000"/>
                <w:sz w:val="21"/>
                <w:szCs w:val="21"/>
              </w:rPr>
              <w:t>验收</w:t>
            </w:r>
            <w:r>
              <w:rPr>
                <w:rFonts w:hint="eastAsia" w:ascii="宋体" w:hAnsi="宋体" w:eastAsia="宋体"/>
                <w:color w:val="000000"/>
                <w:sz w:val="21"/>
                <w:szCs w:val="21"/>
              </w:rPr>
              <w:t>”</w:t>
            </w:r>
            <w:r>
              <w:rPr>
                <w:rFonts w:eastAsia="宋体"/>
                <w:color w:val="000000"/>
                <w:sz w:val="21"/>
                <w:szCs w:val="21"/>
              </w:rPr>
              <w:t>的决定。</w:t>
            </w:r>
          </w:p>
          <w:p>
            <w:pPr>
              <w:pStyle w:val="23"/>
              <w:numPr>
                <w:ilvl w:val="0"/>
                <w:numId w:val="2"/>
              </w:numPr>
              <w:tabs>
                <w:tab w:val="left" w:pos="602"/>
              </w:tabs>
              <w:snapToGrid w:val="0"/>
              <w:ind w:left="601" w:hanging="300" w:firstLineChars="0"/>
              <w:jc w:val="both"/>
              <w:rPr>
                <w:rFonts w:eastAsia="宋体"/>
                <w:sz w:val="21"/>
                <w:szCs w:val="21"/>
              </w:rPr>
            </w:pPr>
            <w:r>
              <w:rPr>
                <w:rFonts w:hint="eastAsia" w:eastAsia="宋体"/>
                <w:color w:val="000000"/>
                <w:sz w:val="21"/>
                <w:szCs w:val="21"/>
              </w:rPr>
              <w:t>检查</w:t>
            </w:r>
            <w:r>
              <w:rPr>
                <w:rFonts w:eastAsia="宋体"/>
                <w:color w:val="000000"/>
                <w:sz w:val="21"/>
                <w:szCs w:val="21"/>
              </w:rPr>
              <w:t>表上的每一项</w:t>
            </w:r>
            <w:r>
              <w:rPr>
                <w:rFonts w:hint="eastAsia" w:eastAsia="宋体"/>
                <w:color w:val="000000"/>
                <w:sz w:val="21"/>
                <w:szCs w:val="21"/>
              </w:rPr>
              <w:t>内容</w:t>
            </w:r>
            <w:r>
              <w:rPr>
                <w:rFonts w:eastAsia="宋体"/>
                <w:color w:val="000000"/>
                <w:sz w:val="21"/>
                <w:szCs w:val="21"/>
              </w:rPr>
              <w:t>都应在申请中得到解决。申请人可以为任何被认为不适用的标准提供省略的理由。如果提供了理由，则认为该标准是存在的（</w:t>
            </w:r>
            <w:r>
              <w:rPr>
                <w:rFonts w:ascii="宋体" w:hAnsi="宋体" w:eastAsia="宋体"/>
                <w:color w:val="000000"/>
                <w:sz w:val="21"/>
                <w:szCs w:val="21"/>
              </w:rPr>
              <w:t>“</w:t>
            </w:r>
            <w:r>
              <w:rPr>
                <w:rFonts w:eastAsia="宋体"/>
                <w:color w:val="000000"/>
                <w:sz w:val="21"/>
                <w:szCs w:val="21"/>
              </w:rPr>
              <w:t>是</w:t>
            </w:r>
            <w:r>
              <w:rPr>
                <w:rFonts w:hint="eastAsia" w:ascii="宋体" w:hAnsi="宋体" w:eastAsia="宋体"/>
                <w:color w:val="000000"/>
                <w:sz w:val="21"/>
                <w:szCs w:val="21"/>
              </w:rPr>
              <w:t>”</w:t>
            </w:r>
            <w:r>
              <w:rPr>
                <w:rFonts w:eastAsia="宋体"/>
                <w:color w:val="000000"/>
                <w:sz w:val="21"/>
                <w:szCs w:val="21"/>
              </w:rPr>
              <w:t>）。在审评申请时，将考虑对理由的评估。</w:t>
            </w:r>
          </w:p>
        </w:tc>
        <w:tc>
          <w:tcPr>
            <w:tcW w:w="1162" w:type="dxa"/>
            <w:gridSpan w:val="2"/>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pPr>
              <w:snapToGrid w:val="0"/>
              <w:jc w:val="center"/>
              <w:rPr>
                <w:rFonts w:eastAsia="宋体"/>
                <w:sz w:val="21"/>
                <w:szCs w:val="21"/>
              </w:rPr>
            </w:pPr>
            <w:r>
              <w:rPr>
                <w:rFonts w:hint="eastAsia" w:eastAsia="宋体"/>
                <w:b/>
                <w:bCs/>
                <w:color w:val="000000"/>
                <w:sz w:val="21"/>
                <w:szCs w:val="21"/>
              </w:rPr>
              <w:t>存</w:t>
            </w:r>
            <w:r>
              <w:rPr>
                <w:rFonts w:eastAsia="宋体"/>
                <w:b/>
                <w:bCs/>
                <w:color w:val="000000"/>
                <w:sz w:val="21"/>
                <w:szCs w:val="21"/>
              </w:rPr>
              <w:t>在</w:t>
            </w:r>
          </w:p>
        </w:tc>
        <w:tc>
          <w:tcPr>
            <w:tcW w:w="984" w:type="dxa"/>
            <w:vMerge w:val="restart"/>
            <w:tcBorders>
              <w:top w:val="single" w:color="auto" w:sz="6" w:space="0"/>
              <w:left w:val="single" w:color="auto" w:sz="6" w:space="0"/>
              <w:right w:val="single" w:color="auto" w:sz="6" w:space="0"/>
            </w:tcBorders>
            <w:shd w:val="clear" w:color="auto" w:fill="99CBFE"/>
            <w:tcMar>
              <w:left w:w="57" w:type="dxa"/>
              <w:right w:w="57" w:type="dxa"/>
            </w:tcMar>
          </w:tcPr>
          <w:p>
            <w:pPr>
              <w:snapToGrid w:val="0"/>
              <w:jc w:val="center"/>
              <w:rPr>
                <w:rFonts w:eastAsia="宋体"/>
                <w:b/>
                <w:bCs/>
                <w:color w:val="000000"/>
                <w:sz w:val="21"/>
                <w:szCs w:val="21"/>
              </w:rPr>
            </w:pPr>
            <w:r>
              <w:rPr>
                <w:rFonts w:eastAsia="宋体"/>
                <w:b/>
                <w:bCs/>
                <w:color w:val="000000"/>
                <w:sz w:val="21"/>
                <w:szCs w:val="21"/>
              </w:rPr>
              <w:t>不存在</w:t>
            </w:r>
          </w:p>
          <w:p>
            <w:pPr>
              <w:snapToGrid w:val="0"/>
              <w:jc w:val="center"/>
              <w:rPr>
                <w:rFonts w:eastAsia="宋体"/>
                <w:sz w:val="21"/>
                <w:szCs w:val="21"/>
              </w:rPr>
            </w:pPr>
            <w:r>
              <w:rPr>
                <w:rFonts w:eastAsia="宋体"/>
                <w:b/>
                <w:bCs/>
                <w:color w:val="000000"/>
                <w:sz w:val="21"/>
                <w:szCs w:val="21"/>
              </w:rPr>
              <w:t>（否）</w:t>
            </w:r>
          </w:p>
        </w:tc>
      </w:tr>
      <w:tr>
        <w:tblPrEx>
          <w:tblCellMar>
            <w:top w:w="57" w:type="dxa"/>
            <w:left w:w="57" w:type="dxa"/>
            <w:bottom w:w="57" w:type="dxa"/>
            <w:right w:w="57" w:type="dxa"/>
          </w:tblCellMar>
        </w:tblPrEx>
        <w:trPr>
          <w:trHeight w:val="340" w:hRule="atLeast"/>
          <w:tblHeader/>
        </w:trPr>
        <w:tc>
          <w:tcPr>
            <w:tcW w:w="494" w:type="dxa"/>
            <w:tcBorders>
              <w:top w:val="nil"/>
              <w:left w:val="single" w:color="auto" w:sz="6" w:space="0"/>
              <w:bottom w:val="single" w:color="auto" w:sz="6" w:space="0"/>
              <w:right w:val="single" w:color="auto" w:sz="6" w:space="0"/>
            </w:tcBorders>
            <w:shd w:val="clear" w:color="auto" w:fill="99CBFE"/>
            <w:tcMar>
              <w:left w:w="57" w:type="dxa"/>
              <w:right w:w="57" w:type="dxa"/>
            </w:tcMar>
          </w:tcPr>
          <w:p>
            <w:pPr>
              <w:snapToGrid w:val="0"/>
              <w:jc w:val="both"/>
              <w:rPr>
                <w:rFonts w:eastAsia="宋体"/>
                <w:sz w:val="21"/>
                <w:szCs w:val="21"/>
              </w:rPr>
            </w:pPr>
          </w:p>
        </w:tc>
        <w:tc>
          <w:tcPr>
            <w:tcW w:w="6828" w:type="dxa"/>
            <w:gridSpan w:val="11"/>
            <w:vMerge w:val="continue"/>
            <w:tcBorders>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89" w:type="dxa"/>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pPr>
              <w:snapToGrid w:val="0"/>
              <w:jc w:val="center"/>
              <w:rPr>
                <w:rFonts w:eastAsia="宋体"/>
                <w:sz w:val="21"/>
                <w:szCs w:val="21"/>
              </w:rPr>
            </w:pPr>
            <w:r>
              <w:rPr>
                <w:rFonts w:eastAsia="宋体"/>
                <w:b/>
                <w:bCs/>
                <w:color w:val="000000"/>
                <w:sz w:val="21"/>
                <w:szCs w:val="21"/>
              </w:rPr>
              <w:t>是</w:t>
            </w:r>
          </w:p>
        </w:tc>
        <w:tc>
          <w:tcPr>
            <w:tcW w:w="673" w:type="dxa"/>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pPr>
              <w:snapToGrid w:val="0"/>
              <w:jc w:val="center"/>
              <w:rPr>
                <w:rFonts w:eastAsia="宋体"/>
                <w:sz w:val="21"/>
                <w:szCs w:val="21"/>
              </w:rPr>
            </w:pPr>
            <w:r>
              <w:rPr>
                <w:rFonts w:eastAsia="宋体"/>
                <w:b/>
                <w:bCs/>
                <w:color w:val="000000"/>
                <w:sz w:val="21"/>
                <w:szCs w:val="21"/>
              </w:rPr>
              <w:t>不适用</w:t>
            </w:r>
          </w:p>
        </w:tc>
        <w:tc>
          <w:tcPr>
            <w:tcW w:w="984" w:type="dxa"/>
            <w:vMerge w:val="continue"/>
            <w:tcBorders>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A.</w:t>
            </w:r>
          </w:p>
        </w:tc>
        <w:tc>
          <w:tcPr>
            <w:tcW w:w="6828" w:type="dxa"/>
            <w:gridSpan w:val="11"/>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PMA内容</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r>
      <w:tr>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1.</w:t>
            </w:r>
          </w:p>
        </w:tc>
        <w:tc>
          <w:tcPr>
            <w:tcW w:w="6335" w:type="dxa"/>
            <w:gridSpan w:val="8"/>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所有要求的部分是否都是英文，或附有英文翻译？</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2.</w:t>
            </w:r>
          </w:p>
        </w:tc>
        <w:tc>
          <w:tcPr>
            <w:tcW w:w="6335" w:type="dxa"/>
            <w:gridSpan w:val="8"/>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是否有一个目录？</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3.</w:t>
            </w:r>
          </w:p>
        </w:tc>
        <w:tc>
          <w:tcPr>
            <w:tcW w:w="6335" w:type="dxa"/>
            <w:gridSpan w:val="8"/>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是否提供参考书目？</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a.</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是否提供了关键文章的副本，并酌情包括英文译文？</w:t>
            </w:r>
          </w:p>
          <w:p>
            <w:pPr>
              <w:snapToGrid w:val="0"/>
              <w:jc w:val="both"/>
              <w:rPr>
                <w:rFonts w:eastAsia="宋体"/>
                <w:sz w:val="21"/>
                <w:szCs w:val="21"/>
              </w:rPr>
            </w:pPr>
            <w:r>
              <w:rPr>
                <w:rFonts w:eastAsia="宋体"/>
                <w:color w:val="000000"/>
                <w:sz w:val="21"/>
                <w:szCs w:val="21"/>
              </w:rPr>
              <w:t>如果申请人包括一项声明，即他们在搜索时未发现与他们的器械有关的文献，请勾选</w:t>
            </w:r>
            <w:r>
              <w:rPr>
                <w:rFonts w:ascii="宋体" w:hAnsi="宋体" w:eastAsia="宋体"/>
                <w:color w:val="000000"/>
                <w:sz w:val="21"/>
                <w:szCs w:val="21"/>
              </w:rPr>
              <w:t>“</w:t>
            </w:r>
            <w:r>
              <w:rPr>
                <w:rFonts w:eastAsia="宋体"/>
                <w:color w:val="000000"/>
                <w:sz w:val="21"/>
                <w:szCs w:val="21"/>
              </w:rPr>
              <w:t>不适用</w:t>
            </w:r>
            <w:r>
              <w:rPr>
                <w:rFonts w:ascii="宋体" w:hAnsi="宋体" w:eastAsia="宋体"/>
                <w:color w:val="000000"/>
                <w:sz w:val="21"/>
                <w:szCs w:val="21"/>
              </w:rPr>
              <w:t>”</w:t>
            </w:r>
            <w:r>
              <w:rPr>
                <w:rFonts w:eastAsia="宋体"/>
                <w:color w:val="000000"/>
                <w:sz w:val="21"/>
                <w:szCs w:val="21"/>
              </w:rPr>
              <w:t>。</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4.</w:t>
            </w:r>
          </w:p>
        </w:tc>
        <w:tc>
          <w:tcPr>
            <w:tcW w:w="6335" w:type="dxa"/>
            <w:gridSpan w:val="8"/>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如果FDA要求提供器械样本，是否已经提供，或者如果不可能提交，申请人是否提供了替代方案，让FDA工作人员查看或访问器械？</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5.</w:t>
            </w:r>
          </w:p>
        </w:tc>
        <w:tc>
          <w:tcPr>
            <w:tcW w:w="6335" w:type="dxa"/>
            <w:gridSpan w:val="8"/>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是否有一份PMA内容的摘要？</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6.</w:t>
            </w:r>
          </w:p>
        </w:tc>
        <w:tc>
          <w:tcPr>
            <w:tcW w:w="6335" w:type="dxa"/>
            <w:gridSpan w:val="8"/>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器械特征</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8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a.</w:t>
            </w:r>
          </w:p>
        </w:tc>
        <w:tc>
          <w:tcPr>
            <w:tcW w:w="5852" w:type="dxa"/>
            <w:gridSpan w:val="7"/>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是否包括器械的描述？</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8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8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i.</w:t>
            </w:r>
          </w:p>
        </w:tc>
        <w:tc>
          <w:tcPr>
            <w:tcW w:w="5366" w:type="dxa"/>
            <w:gridSpan w:val="5"/>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hint="eastAsia" w:eastAsia="宋体"/>
                <w:color w:val="000000"/>
                <w:sz w:val="21"/>
                <w:szCs w:val="21"/>
                <w:highlight w:val="none"/>
              </w:rPr>
              <w:t>图像表示？</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8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8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ii.</w:t>
            </w:r>
          </w:p>
        </w:tc>
        <w:tc>
          <w:tcPr>
            <w:tcW w:w="5366" w:type="dxa"/>
            <w:gridSpan w:val="5"/>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材料规格？</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8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8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523" w:type="dxa"/>
            <w:gridSpan w:val="4"/>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w:t>
            </w:r>
          </w:p>
        </w:tc>
        <w:tc>
          <w:tcPr>
            <w:tcW w:w="484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如果有颜色添加剂存在。</w:t>
            </w:r>
          </w:p>
          <w:p>
            <w:pPr>
              <w:snapToGrid w:val="0"/>
              <w:ind w:left="315"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color w:val="000000"/>
                <w:sz w:val="21"/>
                <w:szCs w:val="21"/>
              </w:rPr>
              <w:t>该颜色添加剂是否已按通用名称和化学名称进行了鉴定，以及</w:t>
            </w:r>
          </w:p>
          <w:p>
            <w:pPr>
              <w:snapToGrid w:val="0"/>
              <w:ind w:left="315"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color w:val="000000"/>
                <w:sz w:val="21"/>
                <w:szCs w:val="21"/>
              </w:rPr>
              <w:t>是否提供了配方中每种颜色添加剂在有色成分中的重量百分比和器械中的总用量（例如，µg，ppm）？</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pageBreakBefore/>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8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b.</w:t>
            </w:r>
          </w:p>
        </w:tc>
        <w:tc>
          <w:tcPr>
            <w:tcW w:w="5852" w:type="dxa"/>
            <w:gridSpan w:val="7"/>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是否有对器械（包括</w:t>
            </w:r>
            <w:r>
              <w:rPr>
                <w:rFonts w:hint="eastAsia" w:eastAsia="宋体"/>
                <w:color w:val="000000"/>
                <w:sz w:val="21"/>
                <w:szCs w:val="21"/>
              </w:rPr>
              <w:t>组</w:t>
            </w:r>
            <w:r>
              <w:rPr>
                <w:rFonts w:eastAsia="宋体"/>
                <w:color w:val="000000"/>
                <w:sz w:val="21"/>
                <w:szCs w:val="21"/>
              </w:rPr>
              <w:t>件）的操作原理和与临床功能相关的特性的描述？</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7.</w:t>
            </w:r>
          </w:p>
        </w:tc>
        <w:tc>
          <w:tcPr>
            <w:tcW w:w="6335" w:type="dxa"/>
            <w:gridSpan w:val="8"/>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是否包括器械制造部分？（见题为</w:t>
            </w:r>
            <w:r>
              <w:rPr>
                <w:rFonts w:ascii="宋体" w:hAnsi="宋体" w:eastAsia="宋体"/>
                <w:color w:val="000000"/>
                <w:sz w:val="21"/>
                <w:szCs w:val="21"/>
              </w:rPr>
              <w:t>“</w:t>
            </w:r>
            <w:r>
              <w:rPr>
                <w:rFonts w:eastAsia="宋体"/>
                <w:color w:val="0000FF"/>
                <w:sz w:val="21"/>
                <w:szCs w:val="21"/>
                <w:u w:val="single"/>
              </w:rPr>
              <w:t>某些上市前申请审评的质量体系信息</w:t>
            </w:r>
            <w:r>
              <w:rPr>
                <w:rFonts w:hint="eastAsia" w:eastAsia="宋体"/>
                <w:color w:val="000000" w:themeColor="text1"/>
                <w:sz w:val="21"/>
                <w:szCs w:val="21"/>
              </w:rPr>
              <w:t>，</w:t>
            </w:r>
            <w:r>
              <w:rPr>
                <w:rFonts w:hint="eastAsia" w:ascii="宋体" w:hAnsi="宋体" w:eastAsia="宋体"/>
                <w:color w:val="000000"/>
                <w:sz w:val="21"/>
                <w:szCs w:val="21"/>
              </w:rPr>
              <w:t>”</w:t>
            </w:r>
            <w:r>
              <w:rPr>
                <w:rFonts w:eastAsia="宋体"/>
                <w:color w:val="000000"/>
                <w:sz w:val="21"/>
                <w:szCs w:val="21"/>
              </w:rPr>
              <w:t>的指南，获取地址</w:t>
            </w:r>
            <w:r>
              <w:rPr>
                <w:rFonts w:eastAsia="宋体"/>
                <w:color w:val="0000FF"/>
                <w:sz w:val="21"/>
                <w:szCs w:val="21"/>
                <w:u w:val="single"/>
              </w:rPr>
              <w:t>https://www.fda.gov/regulatory-information/</w:t>
            </w:r>
            <w:r>
              <w:rPr>
                <w:rFonts w:hint="eastAsia" w:eastAsia="宋体"/>
                <w:color w:val="0000FF"/>
                <w:sz w:val="21"/>
                <w:szCs w:val="21"/>
                <w:u w:val="single"/>
              </w:rPr>
              <w:t xml:space="preserve"> </w:t>
            </w:r>
            <w:r>
              <w:rPr>
                <w:rFonts w:eastAsia="宋体"/>
                <w:color w:val="0000FF"/>
                <w:sz w:val="21"/>
                <w:szCs w:val="21"/>
                <w:u w:val="single"/>
              </w:rPr>
              <w:t>search-fda-guidance-documents/quality-system-information-certain-premarket-application-reviews</w:t>
            </w:r>
            <w:r>
              <w:rPr>
                <w:rFonts w:eastAsia="宋体"/>
                <w:color w:val="000000"/>
                <w:sz w:val="21"/>
                <w:szCs w:val="21"/>
              </w:rPr>
              <w:t>）。</w:t>
            </w:r>
          </w:p>
          <w:p>
            <w:pPr>
              <w:snapToGrid w:val="0"/>
              <w:jc w:val="both"/>
              <w:rPr>
                <w:rFonts w:eastAsia="宋体"/>
                <w:sz w:val="21"/>
                <w:szCs w:val="21"/>
              </w:rPr>
            </w:pPr>
            <w:r>
              <w:rPr>
                <w:rFonts w:eastAsia="宋体"/>
                <w:color w:val="000000"/>
                <w:sz w:val="21"/>
                <w:szCs w:val="21"/>
              </w:rPr>
              <w:t>对于原始PMA或具有新的制造地点或实质上不同的制造程序的</w:t>
            </w:r>
            <w:r>
              <w:rPr>
                <w:rFonts w:hint="eastAsia" w:eastAsia="宋体"/>
                <w:color w:val="000000"/>
                <w:sz w:val="21"/>
                <w:szCs w:val="21"/>
              </w:rPr>
              <w:t>专题讨论小组</w:t>
            </w:r>
            <w:r>
              <w:rPr>
                <w:rFonts w:hint="eastAsia" w:eastAsia="宋体"/>
                <w:color w:val="000000"/>
                <w:sz w:val="21"/>
                <w:szCs w:val="21"/>
                <w:highlight w:val="none"/>
              </w:rPr>
              <w:t>跟踪</w:t>
            </w:r>
            <w:r>
              <w:rPr>
                <w:rFonts w:eastAsia="宋体"/>
                <w:color w:val="000000"/>
                <w:sz w:val="21"/>
                <w:szCs w:val="21"/>
              </w:rPr>
              <w:t>补充。</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a.</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是否提供了关于器械制造、加工、包装、储存和安装过程中使用的方法、设施和控制的描述？</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8.</w:t>
            </w:r>
          </w:p>
        </w:tc>
        <w:tc>
          <w:tcPr>
            <w:tcW w:w="6335" w:type="dxa"/>
            <w:gridSpan w:val="8"/>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是否提供非临床实验室研究的摘要和完整的测试报告*？</w:t>
            </w:r>
          </w:p>
          <w:p>
            <w:pPr>
              <w:snapToGrid w:val="0"/>
              <w:jc w:val="both"/>
              <w:rPr>
                <w:rFonts w:eastAsia="宋体"/>
                <w:sz w:val="21"/>
                <w:szCs w:val="21"/>
              </w:rPr>
            </w:pPr>
            <w:r>
              <w:rPr>
                <w:rFonts w:eastAsia="宋体"/>
                <w:color w:val="000000"/>
                <w:sz w:val="21"/>
                <w:szCs w:val="21"/>
              </w:rPr>
              <w:t>注意：申请人可以参考位于其他材料中的数据。</w:t>
            </w:r>
          </w:p>
          <w:p>
            <w:pPr>
              <w:snapToGrid w:val="0"/>
              <w:jc w:val="both"/>
              <w:rPr>
                <w:rFonts w:eastAsia="宋体"/>
                <w:sz w:val="21"/>
                <w:szCs w:val="21"/>
              </w:rPr>
            </w:pPr>
            <w:r>
              <w:rPr>
                <w:rFonts w:eastAsia="宋体"/>
                <w:color w:val="000000"/>
                <w:sz w:val="21"/>
                <w:szCs w:val="21"/>
              </w:rPr>
              <w:t>如果当前</w:t>
            </w:r>
            <w:r>
              <w:rPr>
                <w:rFonts w:hint="eastAsia" w:eastAsia="宋体"/>
                <w:color w:val="000000"/>
                <w:sz w:val="21"/>
                <w:szCs w:val="21"/>
              </w:rPr>
              <w:t>申请</w:t>
            </w:r>
            <w:r>
              <w:rPr>
                <w:rFonts w:eastAsia="宋体"/>
                <w:color w:val="000000"/>
                <w:sz w:val="21"/>
                <w:szCs w:val="21"/>
              </w:rPr>
              <w:t>中未提供非临床数据，但在另一份文件中发现，请勾选</w:t>
            </w:r>
            <w:r>
              <w:rPr>
                <w:rFonts w:ascii="宋体" w:hAnsi="宋体" w:eastAsia="宋体"/>
                <w:color w:val="000000"/>
                <w:sz w:val="21"/>
                <w:szCs w:val="21"/>
              </w:rPr>
              <w:t>“</w:t>
            </w:r>
            <w:r>
              <w:rPr>
                <w:rFonts w:eastAsia="宋体"/>
                <w:color w:val="000000"/>
                <w:sz w:val="21"/>
                <w:szCs w:val="21"/>
              </w:rPr>
              <w:t>是</w:t>
            </w:r>
            <w:r>
              <w:rPr>
                <w:rFonts w:ascii="宋体" w:hAnsi="宋体" w:eastAsia="宋体"/>
                <w:color w:val="000000"/>
                <w:sz w:val="21"/>
                <w:szCs w:val="21"/>
              </w:rPr>
              <w:t>”</w:t>
            </w:r>
            <w:r>
              <w:rPr>
                <w:rFonts w:eastAsia="宋体"/>
                <w:color w:val="000000"/>
                <w:sz w:val="21"/>
                <w:szCs w:val="21"/>
              </w:rPr>
              <w:t>。说明数据是在哪里提供的（例如，模块</w:t>
            </w:r>
            <w:r>
              <w:rPr>
                <w:rFonts w:hint="eastAsia" w:eastAsia="宋体"/>
                <w:color w:val="000000"/>
                <w:sz w:val="21"/>
                <w:szCs w:val="21"/>
              </w:rPr>
              <w:t>化</w:t>
            </w:r>
            <w:r>
              <w:rPr>
                <w:rFonts w:eastAsia="宋体"/>
                <w:color w:val="000000"/>
                <w:sz w:val="21"/>
                <w:szCs w:val="21"/>
              </w:rPr>
              <w:t>申请、许可PMA）。</w:t>
            </w:r>
          </w:p>
          <w:p>
            <w:pPr>
              <w:snapToGrid w:val="0"/>
              <w:jc w:val="both"/>
              <w:rPr>
                <w:rFonts w:eastAsia="宋体"/>
                <w:sz w:val="21"/>
                <w:szCs w:val="21"/>
              </w:rPr>
            </w:pPr>
            <w:r>
              <w:rPr>
                <w:rFonts w:eastAsia="宋体"/>
                <w:color w:val="000000"/>
                <w:sz w:val="21"/>
                <w:szCs w:val="21"/>
              </w:rPr>
              <w:t>*完整的测试报告包括测试目标、测试方法和程序的描述、研究终点、预先确定的合格/不合格标准、结果总结、结论讨论）</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a.</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灭菌</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b.</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生物学/微生物学</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c.</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免疫学</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d.</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毒理学/生物相容性</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e.</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工程（</w:t>
            </w:r>
            <w:r>
              <w:rPr>
                <w:rFonts w:hint="eastAsia" w:eastAsia="宋体"/>
                <w:color w:val="000000"/>
                <w:sz w:val="21"/>
                <w:szCs w:val="21"/>
              </w:rPr>
              <w:t>应力</w:t>
            </w:r>
            <w:r>
              <w:rPr>
                <w:rFonts w:eastAsia="宋体"/>
                <w:color w:val="000000"/>
                <w:sz w:val="21"/>
                <w:szCs w:val="21"/>
              </w:rPr>
              <w:t>、磨损等）。</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f.</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化学/分析（通常用于IVD）。</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pageBreakBefore/>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g.</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货架有效期</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h.</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动物研究</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i.</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其他基本的实验室</w:t>
            </w:r>
            <w:r>
              <w:rPr>
                <w:rFonts w:hint="eastAsia" w:eastAsia="宋体"/>
                <w:color w:val="000000"/>
                <w:sz w:val="21"/>
                <w:szCs w:val="21"/>
              </w:rPr>
              <w:t>测试</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9.</w:t>
            </w:r>
          </w:p>
        </w:tc>
        <w:tc>
          <w:tcPr>
            <w:tcW w:w="6335" w:type="dxa"/>
            <w:gridSpan w:val="8"/>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是否提供了临床调查和结果的摘要？</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a.</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是否包括临床方案的最终版本？（如果在IDE下进行，这些应该是FDA批准的临床方案的最终版本，包括任何修改通知）。</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b.</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是否提供了研究人群的人口统计学描述？</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c.</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是否对不良事件（如不良反应、投诉、</w:t>
            </w:r>
            <w:r>
              <w:rPr>
                <w:rFonts w:hint="eastAsia" w:eastAsia="宋体"/>
                <w:color w:val="000000"/>
                <w:sz w:val="21"/>
                <w:szCs w:val="21"/>
                <w:highlight w:val="none"/>
              </w:rPr>
              <w:t>停药</w:t>
            </w:r>
            <w:r>
              <w:rPr>
                <w:rFonts w:eastAsia="宋体"/>
                <w:color w:val="000000"/>
                <w:sz w:val="21"/>
                <w:szCs w:val="21"/>
              </w:rPr>
              <w:t>、失败、替换）进行了描述？</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d.</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是否提供了死亡或未完成调查的患者的报告表（即解决潜在的</w:t>
            </w:r>
            <w:r>
              <w:rPr>
                <w:rFonts w:hint="eastAsia" w:eastAsia="宋体"/>
                <w:color w:val="000000"/>
                <w:sz w:val="21"/>
                <w:szCs w:val="21"/>
              </w:rPr>
              <w:t>偏见</w:t>
            </w:r>
            <w:r>
              <w:rPr>
                <w:rFonts w:eastAsia="宋体"/>
                <w:color w:val="000000"/>
                <w:sz w:val="21"/>
                <w:szCs w:val="21"/>
              </w:rPr>
              <w:t>）？只有在无患者死亡或中止治疗的情况下才勾选</w:t>
            </w:r>
            <w:r>
              <w:rPr>
                <w:rFonts w:ascii="宋体" w:hAnsi="宋体" w:eastAsia="宋体"/>
                <w:color w:val="000000"/>
                <w:sz w:val="21"/>
                <w:szCs w:val="21"/>
              </w:rPr>
              <w:t>“</w:t>
            </w:r>
            <w:r>
              <w:rPr>
                <w:rFonts w:eastAsia="宋体"/>
                <w:color w:val="000000"/>
                <w:sz w:val="21"/>
                <w:szCs w:val="21"/>
              </w:rPr>
              <w:t>不适用</w:t>
            </w:r>
            <w:r>
              <w:rPr>
                <w:rFonts w:ascii="宋体" w:hAnsi="宋体" w:eastAsia="宋体"/>
                <w:color w:val="000000"/>
                <w:sz w:val="21"/>
                <w:szCs w:val="21"/>
              </w:rPr>
              <w:t>”</w:t>
            </w:r>
            <w:r>
              <w:rPr>
                <w:rFonts w:eastAsia="宋体"/>
                <w:color w:val="000000"/>
                <w:sz w:val="21"/>
                <w:szCs w:val="21"/>
              </w:rPr>
              <w:t>。</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10.</w:t>
            </w:r>
          </w:p>
        </w:tc>
        <w:tc>
          <w:tcPr>
            <w:tcW w:w="6335" w:type="dxa"/>
            <w:gridSpan w:val="8"/>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是否提供临床调查的统计分析？</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a.</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是否提供方案中确定的所有分析结果？</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11.</w:t>
            </w:r>
          </w:p>
        </w:tc>
        <w:tc>
          <w:tcPr>
            <w:tcW w:w="6335" w:type="dxa"/>
            <w:gridSpan w:val="8"/>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是否已经提交了适当的标签草案？</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a.</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医生标签</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8"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i.</w:t>
            </w:r>
          </w:p>
        </w:tc>
        <w:tc>
          <w:tcPr>
            <w:tcW w:w="5341"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是否包括使用适应症？</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8"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ii.</w:t>
            </w:r>
          </w:p>
        </w:tc>
        <w:tc>
          <w:tcPr>
            <w:tcW w:w="5341"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是否包括禁忌症、警告和预防措施？</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8"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iii.</w:t>
            </w:r>
          </w:p>
        </w:tc>
        <w:tc>
          <w:tcPr>
            <w:tcW w:w="5341"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是否包括使用说明？</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b.</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患者标签</w:t>
            </w:r>
          </w:p>
          <w:p>
            <w:pPr>
              <w:snapToGrid w:val="0"/>
              <w:jc w:val="both"/>
              <w:rPr>
                <w:rFonts w:eastAsia="宋体"/>
                <w:sz w:val="21"/>
                <w:szCs w:val="21"/>
              </w:rPr>
            </w:pPr>
            <w:r>
              <w:rPr>
                <w:rFonts w:eastAsia="宋体"/>
                <w:color w:val="000000"/>
                <w:sz w:val="21"/>
                <w:szCs w:val="21"/>
              </w:rPr>
              <w:t>只有在CDRH指出不需要患者标签的情况下，才</w:t>
            </w:r>
            <w:r>
              <w:rPr>
                <w:rFonts w:hint="eastAsia" w:eastAsia="宋体"/>
                <w:color w:val="000000"/>
                <w:sz w:val="21"/>
                <w:szCs w:val="21"/>
              </w:rPr>
              <w:t>勾选</w:t>
            </w:r>
            <w:r>
              <w:rPr>
                <w:rFonts w:ascii="宋体" w:hAnsi="宋体" w:eastAsia="宋体"/>
                <w:color w:val="000000"/>
                <w:sz w:val="21"/>
                <w:szCs w:val="21"/>
              </w:rPr>
              <w:t>“</w:t>
            </w:r>
            <w:r>
              <w:rPr>
                <w:rFonts w:eastAsia="宋体"/>
                <w:color w:val="000000"/>
                <w:sz w:val="21"/>
                <w:szCs w:val="21"/>
              </w:rPr>
              <w:t>不适用</w:t>
            </w:r>
            <w:r>
              <w:rPr>
                <w:rFonts w:ascii="宋体" w:hAnsi="宋体" w:eastAsia="宋体"/>
                <w:color w:val="000000"/>
                <w:sz w:val="21"/>
                <w:szCs w:val="21"/>
              </w:rPr>
              <w:t>”</w:t>
            </w:r>
            <w:r>
              <w:rPr>
                <w:rFonts w:eastAsia="宋体"/>
                <w:color w:val="000000"/>
                <w:sz w:val="21"/>
                <w:szCs w:val="21"/>
              </w:rPr>
              <w:t>。</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pageBreakBefore/>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c.</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技术/操作手册</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12.</w:t>
            </w:r>
          </w:p>
        </w:tc>
        <w:tc>
          <w:tcPr>
            <w:tcW w:w="6335" w:type="dxa"/>
            <w:gridSpan w:val="8"/>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声明/认证/符合性声明</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a.</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该申请是否利用了自愿性的共识标准（参见《FD&amp;C法案》第514（c）</w:t>
            </w:r>
            <w:r>
              <w:rPr>
                <w:rFonts w:hint="eastAsia" w:eastAsia="宋体"/>
                <w:color w:val="000000"/>
                <w:sz w:val="21"/>
                <w:szCs w:val="21"/>
              </w:rPr>
              <w:t>节</w:t>
            </w:r>
            <w:r>
              <w:rPr>
                <w:rFonts w:eastAsia="宋体"/>
                <w:color w:val="000000"/>
                <w:sz w:val="21"/>
                <w:szCs w:val="21"/>
              </w:rPr>
              <w:t>）。</w:t>
            </w:r>
            <w:r>
              <w:rPr>
                <w:rFonts w:eastAsia="宋体"/>
                <w:i/>
                <w:iCs/>
                <w:color w:val="000000"/>
                <w:sz w:val="21"/>
                <w:szCs w:val="21"/>
              </w:rPr>
              <w:t>这包括FDA认可的和不认可的共识标准。如果</w:t>
            </w:r>
            <w:r>
              <w:rPr>
                <w:rFonts w:hint="eastAsia" w:eastAsia="宋体"/>
                <w:i/>
                <w:iCs/>
                <w:color w:val="000000"/>
                <w:sz w:val="21"/>
                <w:szCs w:val="21"/>
              </w:rPr>
              <w:t>申请</w:t>
            </w:r>
            <w:r>
              <w:rPr>
                <w:rFonts w:eastAsia="宋体"/>
                <w:i/>
                <w:iCs/>
                <w:color w:val="000000"/>
                <w:sz w:val="21"/>
                <w:szCs w:val="21"/>
              </w:rPr>
              <w:t>不采用自愿性共识标准，请选择</w:t>
            </w:r>
            <w:r>
              <w:rPr>
                <w:rFonts w:ascii="宋体" w:hAnsi="宋体" w:eastAsia="宋体"/>
                <w:i/>
                <w:iCs/>
                <w:color w:val="000000"/>
                <w:sz w:val="21"/>
                <w:szCs w:val="21"/>
              </w:rPr>
              <w:t>“</w:t>
            </w:r>
            <w:r>
              <w:rPr>
                <w:rFonts w:eastAsia="宋体"/>
                <w:i/>
                <w:iCs/>
                <w:color w:val="000000"/>
                <w:sz w:val="21"/>
                <w:szCs w:val="21"/>
              </w:rPr>
              <w:t>不适用</w:t>
            </w:r>
            <w:r>
              <w:rPr>
                <w:rFonts w:ascii="宋体" w:hAnsi="宋体" w:eastAsia="宋体"/>
                <w:i/>
                <w:iCs/>
                <w:color w:val="000000"/>
                <w:sz w:val="21"/>
                <w:szCs w:val="21"/>
              </w:rPr>
              <w:t>”</w:t>
            </w:r>
            <w:r>
              <w:rPr>
                <w:rFonts w:eastAsia="宋体"/>
                <w:i/>
                <w:iCs/>
                <w:color w:val="000000"/>
                <w:sz w:val="21"/>
                <w:szCs w:val="21"/>
              </w:rPr>
              <w:t>。</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r>
      <w:tr>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84"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i.</w:t>
            </w:r>
          </w:p>
        </w:tc>
        <w:tc>
          <w:tcPr>
            <w:tcW w:w="5355" w:type="dxa"/>
            <w:gridSpan w:val="4"/>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color w:val="000000"/>
                <w:sz w:val="21"/>
                <w:szCs w:val="21"/>
              </w:rPr>
            </w:pPr>
            <w:r>
              <w:rPr>
                <w:rFonts w:eastAsia="宋体"/>
                <w:color w:val="000000"/>
                <w:sz w:val="21"/>
                <w:szCs w:val="21"/>
              </w:rPr>
              <w:t>如果申请引用FDA认可的自愿共识标准，申请是否包括：</w:t>
            </w:r>
          </w:p>
          <w:p>
            <w:pPr>
              <w:snapToGrid w:val="0"/>
              <w:jc w:val="both"/>
              <w:rPr>
                <w:rFonts w:eastAsia="宋体"/>
                <w:sz w:val="21"/>
                <w:szCs w:val="21"/>
              </w:rPr>
            </w:pPr>
          </w:p>
          <w:p>
            <w:pPr>
              <w:snapToGrid w:val="0"/>
              <w:jc w:val="both"/>
              <w:rPr>
                <w:rFonts w:eastAsia="宋体"/>
                <w:sz w:val="21"/>
                <w:szCs w:val="21"/>
              </w:rPr>
            </w:pPr>
            <w:r>
              <w:rPr>
                <w:rFonts w:eastAsia="宋体"/>
                <w:b/>
                <w:bCs/>
                <w:color w:val="000000"/>
                <w:sz w:val="21"/>
                <w:szCs w:val="21"/>
              </w:rPr>
              <w:t>符合</w:t>
            </w:r>
            <w:r>
              <w:rPr>
                <w:rFonts w:eastAsia="宋体"/>
                <w:color w:val="000000"/>
                <w:sz w:val="21"/>
                <w:szCs w:val="21"/>
              </w:rPr>
              <w:t>性声明（DOC），如FDA指南</w:t>
            </w:r>
            <w:r>
              <w:rPr>
                <w:rFonts w:ascii="宋体" w:hAnsi="宋体" w:eastAsia="宋体"/>
                <w:color w:val="000000"/>
                <w:sz w:val="21"/>
                <w:szCs w:val="21"/>
              </w:rPr>
              <w:t>“</w:t>
            </w:r>
            <w:r>
              <w:rPr>
                <w:rFonts w:eastAsia="宋体"/>
                <w:color w:val="0000FF"/>
                <w:sz w:val="21"/>
                <w:szCs w:val="21"/>
                <w:u w:val="single"/>
              </w:rPr>
              <w:t>在医疗器械上市前提交中适当使用自愿性共识标准</w:t>
            </w:r>
            <w:r>
              <w:rPr>
                <w:rFonts w:ascii="宋体" w:hAnsi="宋体" w:eastAsia="宋体"/>
                <w:color w:val="000000"/>
                <w:sz w:val="21"/>
                <w:szCs w:val="21"/>
              </w:rPr>
              <w:t>”</w:t>
            </w:r>
            <w:r>
              <w:rPr>
                <w:rFonts w:eastAsia="宋体"/>
                <w:color w:val="000000"/>
                <w:sz w:val="21"/>
                <w:szCs w:val="21"/>
              </w:rPr>
              <w:t>中所述，获取地址</w:t>
            </w:r>
            <w:r>
              <w:rPr>
                <w:rFonts w:eastAsia="宋体"/>
                <w:color w:val="0000FF"/>
                <w:sz w:val="21"/>
                <w:szCs w:val="21"/>
                <w:u w:val="single"/>
              </w:rPr>
              <w:t>https://www.fda.gov/regulatory-information/search-fda-guidance-documents/appropriate-use-voluntary-consensus-standards-premarket-submissions-medical-devices</w:t>
            </w:r>
            <w:r>
              <w:rPr>
                <w:rFonts w:eastAsia="宋体"/>
                <w:b/>
                <w:bCs/>
                <w:color w:val="000000" w:themeColor="text1"/>
                <w:sz w:val="21"/>
                <w:szCs w:val="21"/>
              </w:rPr>
              <w:t>或</w:t>
            </w:r>
          </w:p>
          <w:p>
            <w:pPr>
              <w:snapToGrid w:val="0"/>
              <w:jc w:val="both"/>
              <w:rPr>
                <w:rFonts w:eastAsia="宋体"/>
                <w:sz w:val="21"/>
                <w:szCs w:val="21"/>
              </w:rPr>
            </w:pPr>
            <w:r>
              <w:rPr>
                <w:rFonts w:eastAsia="宋体"/>
                <w:color w:val="000000"/>
                <w:sz w:val="21"/>
                <w:szCs w:val="21"/>
              </w:rPr>
              <w:t>如果引用标准的一般使用，则包括这种使用的依据以及支持如何使用该标准的基本信息或数据？</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84"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ii.</w:t>
            </w:r>
          </w:p>
        </w:tc>
        <w:tc>
          <w:tcPr>
            <w:tcW w:w="5355" w:type="dxa"/>
            <w:gridSpan w:val="4"/>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如果申请引用了非FDA认可的自愿性共识标准，那么申请是否包括使用的依据以及支持如何使用该标准的基本信息或数据？</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b.</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申请人是否提供文件证明其遵循了适用的FDA指南/准则中的建议，或以其他方式满足适用的法定或监管标准？</w:t>
            </w:r>
          </w:p>
          <w:p>
            <w:pPr>
              <w:snapToGrid w:val="0"/>
              <w:jc w:val="both"/>
              <w:rPr>
                <w:rFonts w:eastAsia="宋体"/>
                <w:sz w:val="21"/>
                <w:szCs w:val="21"/>
              </w:rPr>
            </w:pPr>
            <w:r>
              <w:rPr>
                <w:rFonts w:eastAsia="宋体"/>
                <w:color w:val="000000"/>
                <w:sz w:val="21"/>
                <w:szCs w:val="21"/>
              </w:rPr>
              <w:t>只有在不使用指</w:t>
            </w:r>
            <w:r>
              <w:rPr>
                <w:rFonts w:hint="eastAsia" w:eastAsia="宋体"/>
                <w:color w:val="000000"/>
                <w:sz w:val="21"/>
                <w:szCs w:val="21"/>
              </w:rPr>
              <w:t>南</w:t>
            </w:r>
            <w:r>
              <w:rPr>
                <w:rFonts w:eastAsia="宋体"/>
                <w:color w:val="000000"/>
                <w:sz w:val="21"/>
                <w:szCs w:val="21"/>
              </w:rPr>
              <w:t>/准则的情况下才勾选</w:t>
            </w:r>
            <w:r>
              <w:rPr>
                <w:rFonts w:ascii="宋体" w:hAnsi="宋体" w:eastAsia="宋体"/>
                <w:color w:val="000000"/>
                <w:sz w:val="21"/>
                <w:szCs w:val="21"/>
              </w:rPr>
              <w:t>“</w:t>
            </w:r>
            <w:r>
              <w:rPr>
                <w:rFonts w:eastAsia="宋体"/>
                <w:color w:val="000000"/>
                <w:sz w:val="21"/>
                <w:szCs w:val="21"/>
              </w:rPr>
              <w:t>不适用</w:t>
            </w:r>
            <w:r>
              <w:rPr>
                <w:rFonts w:ascii="宋体" w:hAnsi="宋体" w:eastAsia="宋体"/>
                <w:color w:val="000000"/>
                <w:sz w:val="21"/>
                <w:szCs w:val="21"/>
              </w:rPr>
              <w:t>”</w:t>
            </w:r>
            <w:r>
              <w:rPr>
                <w:rFonts w:eastAsia="宋体"/>
                <w:color w:val="000000"/>
                <w:sz w:val="21"/>
                <w:szCs w:val="21"/>
              </w:rPr>
              <w:t>。</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nil"/>
              <w:right w:val="single" w:color="auto" w:sz="6" w:space="0"/>
            </w:tcBorders>
            <w:shd w:val="clear" w:color="auto" w:fill="FFFFFF"/>
            <w:tcMar>
              <w:left w:w="57" w:type="dxa"/>
              <w:right w:w="57" w:type="dxa"/>
            </w:tcMar>
          </w:tcPr>
          <w:p>
            <w:pPr>
              <w:pageBreakBefore/>
              <w:snapToGrid w:val="0"/>
              <w:jc w:val="both"/>
              <w:rPr>
                <w:rFonts w:eastAsia="宋体"/>
                <w:sz w:val="21"/>
                <w:szCs w:val="21"/>
              </w:rPr>
            </w:pPr>
          </w:p>
        </w:tc>
        <w:tc>
          <w:tcPr>
            <w:tcW w:w="493" w:type="dxa"/>
            <w:gridSpan w:val="3"/>
            <w:tcBorders>
              <w:top w:val="single" w:color="auto" w:sz="6" w:space="0"/>
              <w:left w:val="single" w:color="auto" w:sz="6" w:space="0"/>
              <w:bottom w:val="nil"/>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6" w:type="dxa"/>
            <w:gridSpan w:val="2"/>
            <w:tcBorders>
              <w:top w:val="single" w:color="auto" w:sz="6" w:space="0"/>
              <w:left w:val="single" w:color="auto" w:sz="6" w:space="0"/>
              <w:bottom w:val="nil"/>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c.</w:t>
            </w:r>
          </w:p>
        </w:tc>
        <w:tc>
          <w:tcPr>
            <w:tcW w:w="5839" w:type="dxa"/>
            <w:gridSpan w:val="6"/>
            <w:vMerge w:val="restart"/>
            <w:tcBorders>
              <w:top w:val="single" w:color="auto" w:sz="6" w:space="0"/>
              <w:left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研究者财务披露</w:t>
            </w:r>
          </w:p>
          <w:p>
            <w:pPr>
              <w:snapToGrid w:val="0"/>
              <w:jc w:val="both"/>
              <w:rPr>
                <w:rFonts w:eastAsia="宋体"/>
                <w:sz w:val="21"/>
                <w:szCs w:val="21"/>
              </w:rPr>
            </w:pPr>
            <w:r>
              <w:rPr>
                <w:rFonts w:eastAsia="宋体"/>
                <w:color w:val="000000"/>
                <w:sz w:val="21"/>
                <w:szCs w:val="21"/>
              </w:rPr>
              <w:t>更多信息请参考指</w:t>
            </w:r>
            <w:r>
              <w:rPr>
                <w:rFonts w:hint="eastAsia" w:eastAsia="宋体"/>
                <w:color w:val="000000"/>
                <w:sz w:val="21"/>
                <w:szCs w:val="21"/>
              </w:rPr>
              <w:t>南</w:t>
            </w:r>
            <w:r>
              <w:rPr>
                <w:rFonts w:eastAsia="宋体"/>
                <w:color w:val="000000"/>
                <w:sz w:val="21"/>
                <w:szCs w:val="21"/>
              </w:rPr>
              <w:t>文件</w:t>
            </w:r>
            <w:r>
              <w:rPr>
                <w:rFonts w:ascii="宋体" w:hAnsi="宋体" w:eastAsia="宋体"/>
                <w:color w:val="000000"/>
                <w:sz w:val="21"/>
                <w:szCs w:val="21"/>
              </w:rPr>
              <w:t>“</w:t>
            </w:r>
            <w:r>
              <w:rPr>
                <w:rFonts w:eastAsia="宋体"/>
                <w:color w:val="0000FF"/>
                <w:sz w:val="21"/>
                <w:szCs w:val="21"/>
                <w:u w:val="single"/>
              </w:rPr>
              <w:t>临床研究人员的财务披露</w:t>
            </w:r>
            <w:r>
              <w:rPr>
                <w:rFonts w:ascii="宋体" w:hAnsi="宋体" w:eastAsia="宋体"/>
                <w:color w:val="000000"/>
                <w:sz w:val="21"/>
                <w:szCs w:val="21"/>
              </w:rPr>
              <w:t>”</w:t>
            </w:r>
            <w:r>
              <w:rPr>
                <w:rFonts w:eastAsia="宋体"/>
                <w:color w:val="000000"/>
                <w:sz w:val="21"/>
                <w:szCs w:val="21"/>
              </w:rPr>
              <w:t>，获取地址</w:t>
            </w:r>
            <w:r>
              <w:rPr>
                <w:rFonts w:eastAsia="宋体"/>
                <w:color w:val="0000FF"/>
                <w:sz w:val="21"/>
                <w:szCs w:val="21"/>
                <w:u w:val="single"/>
              </w:rPr>
              <w:t>https://www.fda.gov/regulatory-information/search-fda-</w:t>
            </w:r>
            <w:r>
              <w:rPr>
                <w:rFonts w:hint="eastAsia" w:eastAsia="宋体"/>
                <w:color w:val="0000FF"/>
                <w:sz w:val="21"/>
                <w:szCs w:val="21"/>
                <w:u w:val="single"/>
              </w:rPr>
              <w:t xml:space="preserve"> </w:t>
            </w:r>
            <w:r>
              <w:rPr>
                <w:rFonts w:eastAsia="宋体"/>
                <w:color w:val="0000FF"/>
                <w:sz w:val="21"/>
                <w:szCs w:val="21"/>
                <w:u w:val="single"/>
              </w:rPr>
              <w:t>guidance</w:t>
            </w:r>
            <w:r>
              <w:rPr>
                <w:rFonts w:eastAsia="宋体"/>
                <w:color w:val="0000FF"/>
                <w:sz w:val="21"/>
                <w:szCs w:val="21"/>
              </w:rPr>
              <w:t>-</w:t>
            </w:r>
            <w:r>
              <w:rPr>
                <w:rFonts w:eastAsia="宋体"/>
                <w:color w:val="0000FF"/>
                <w:sz w:val="21"/>
                <w:szCs w:val="21"/>
                <w:u w:val="single"/>
              </w:rPr>
              <w:t>documents/financial-disclosure-clinical-investigators</w:t>
            </w:r>
            <w:r>
              <w:rPr>
                <w:rFonts w:eastAsia="宋体"/>
                <w:color w:val="000000"/>
                <w:sz w:val="21"/>
                <w:szCs w:val="21"/>
              </w:rPr>
              <w:t>。</w:t>
            </w:r>
          </w:p>
          <w:p>
            <w:pPr>
              <w:snapToGrid w:val="0"/>
              <w:jc w:val="both"/>
              <w:rPr>
                <w:rFonts w:eastAsia="宋体"/>
                <w:color w:val="000000"/>
                <w:sz w:val="21"/>
                <w:szCs w:val="21"/>
              </w:rPr>
            </w:pPr>
          </w:p>
          <w:p>
            <w:pPr>
              <w:snapToGrid w:val="0"/>
              <w:jc w:val="both"/>
              <w:rPr>
                <w:rFonts w:eastAsia="宋体"/>
                <w:sz w:val="21"/>
                <w:szCs w:val="21"/>
              </w:rPr>
            </w:pPr>
            <w:r>
              <w:rPr>
                <w:rFonts w:eastAsia="宋体"/>
                <w:color w:val="000000"/>
                <w:sz w:val="21"/>
                <w:szCs w:val="21"/>
              </w:rPr>
              <w:t>按照《美国联邦法典》第21章第54部分的要求，申请人是否提交了以下材料之一：</w:t>
            </w:r>
          </w:p>
        </w:tc>
        <w:tc>
          <w:tcPr>
            <w:tcW w:w="489" w:type="dxa"/>
            <w:tcBorders>
              <w:top w:val="single" w:color="auto" w:sz="6" w:space="0"/>
              <w:left w:val="single" w:color="auto" w:sz="6" w:space="0"/>
              <w:bottom w:val="nil"/>
              <w:right w:val="single" w:color="auto" w:sz="6" w:space="0"/>
            </w:tcBorders>
            <w:shd w:val="clear" w:color="auto" w:fill="FFFFFF"/>
            <w:tcMar>
              <w:left w:w="57" w:type="dxa"/>
              <w:right w:w="57" w:type="dxa"/>
            </w:tcMar>
          </w:tcPr>
          <w:p>
            <w:pPr>
              <w:snapToGrid w:val="0"/>
              <w:jc w:val="both"/>
              <w:rPr>
                <w:rFonts w:eastAsia="宋体"/>
                <w:sz w:val="21"/>
                <w:szCs w:val="21"/>
              </w:rPr>
            </w:pPr>
          </w:p>
        </w:tc>
        <w:tc>
          <w:tcPr>
            <w:tcW w:w="673" w:type="dxa"/>
            <w:tcBorders>
              <w:top w:val="single" w:color="auto" w:sz="6" w:space="0"/>
              <w:left w:val="single" w:color="auto" w:sz="6" w:space="0"/>
              <w:bottom w:val="nil"/>
              <w:right w:val="single" w:color="auto" w:sz="6" w:space="0"/>
            </w:tcBorders>
            <w:shd w:val="clear" w:color="auto" w:fill="FFFFFF"/>
            <w:tcMar>
              <w:left w:w="57" w:type="dxa"/>
              <w:right w:w="57" w:type="dxa"/>
            </w:tcMar>
          </w:tcPr>
          <w:p>
            <w:pPr>
              <w:snapToGrid w:val="0"/>
              <w:jc w:val="both"/>
              <w:rPr>
                <w:rFonts w:eastAsia="宋体"/>
                <w:sz w:val="21"/>
                <w:szCs w:val="21"/>
              </w:rPr>
            </w:pPr>
          </w:p>
        </w:tc>
        <w:tc>
          <w:tcPr>
            <w:tcW w:w="984" w:type="dxa"/>
            <w:tcBorders>
              <w:top w:val="single" w:color="auto" w:sz="6" w:space="0"/>
              <w:left w:val="single" w:color="auto" w:sz="6" w:space="0"/>
              <w:bottom w:val="nil"/>
              <w:right w:val="single" w:color="auto" w:sz="6" w:space="0"/>
            </w:tcBorders>
            <w:shd w:val="clear" w:color="auto" w:fill="FFFFFF"/>
            <w:tcMar>
              <w:left w:w="57" w:type="dxa"/>
              <w:right w:w="57" w:type="dxa"/>
            </w:tcMar>
          </w:tcPr>
          <w:p>
            <w:pPr>
              <w:snapToGrid w:val="0"/>
              <w:jc w:val="both"/>
              <w:rPr>
                <w:rFonts w:eastAsia="宋体"/>
                <w:sz w:val="21"/>
                <w:szCs w:val="21"/>
              </w:rPr>
            </w:pPr>
          </w:p>
        </w:tc>
      </w:tr>
      <w:tr>
        <w:tblPrEx>
          <w:tblCellMar>
            <w:top w:w="57" w:type="dxa"/>
            <w:left w:w="57" w:type="dxa"/>
            <w:bottom w:w="57" w:type="dxa"/>
            <w:right w:w="57" w:type="dxa"/>
          </w:tblCellMar>
        </w:tblPrEx>
        <w:trPr>
          <w:trHeight w:val="340" w:hRule="atLeast"/>
        </w:trPr>
        <w:tc>
          <w:tcPr>
            <w:tcW w:w="494" w:type="dxa"/>
            <w:tcBorders>
              <w:top w:val="nil"/>
              <w:left w:val="single" w:color="auto" w:sz="6" w:space="0"/>
              <w:bottom w:val="nil"/>
              <w:right w:val="single" w:color="auto" w:sz="6" w:space="0"/>
            </w:tcBorders>
            <w:shd w:val="clear" w:color="auto" w:fill="FFFFFF"/>
            <w:tcMar>
              <w:left w:w="57" w:type="dxa"/>
              <w:right w:w="57" w:type="dxa"/>
            </w:tcMar>
          </w:tcPr>
          <w:p>
            <w:pPr>
              <w:snapToGrid w:val="0"/>
              <w:jc w:val="both"/>
              <w:rPr>
                <w:rFonts w:eastAsia="宋体"/>
                <w:sz w:val="21"/>
                <w:szCs w:val="21"/>
              </w:rPr>
            </w:pPr>
          </w:p>
          <w:p>
            <w:pPr>
              <w:snapToGrid w:val="0"/>
              <w:jc w:val="both"/>
              <w:rPr>
                <w:rFonts w:eastAsia="宋体"/>
                <w:sz w:val="21"/>
                <w:szCs w:val="21"/>
              </w:rPr>
            </w:pPr>
          </w:p>
        </w:tc>
        <w:tc>
          <w:tcPr>
            <w:tcW w:w="493" w:type="dxa"/>
            <w:gridSpan w:val="3"/>
            <w:tcBorders>
              <w:top w:val="nil"/>
              <w:left w:val="single" w:color="auto" w:sz="6" w:space="0"/>
              <w:bottom w:val="nil"/>
              <w:right w:val="single" w:color="auto" w:sz="6" w:space="0"/>
            </w:tcBorders>
            <w:shd w:val="clear" w:color="auto" w:fill="FFFFFF"/>
            <w:tcMar>
              <w:left w:w="57" w:type="dxa"/>
              <w:right w:w="57" w:type="dxa"/>
            </w:tcMar>
          </w:tcPr>
          <w:p>
            <w:pPr>
              <w:snapToGrid w:val="0"/>
              <w:jc w:val="both"/>
              <w:rPr>
                <w:rFonts w:eastAsia="宋体"/>
                <w:sz w:val="21"/>
                <w:szCs w:val="21"/>
              </w:rPr>
            </w:pPr>
          </w:p>
          <w:p>
            <w:pPr>
              <w:snapToGrid w:val="0"/>
              <w:jc w:val="both"/>
              <w:rPr>
                <w:rFonts w:eastAsia="宋体"/>
                <w:sz w:val="21"/>
                <w:szCs w:val="21"/>
              </w:rPr>
            </w:pPr>
          </w:p>
        </w:tc>
        <w:tc>
          <w:tcPr>
            <w:tcW w:w="496" w:type="dxa"/>
            <w:gridSpan w:val="2"/>
            <w:tcBorders>
              <w:top w:val="nil"/>
              <w:left w:val="single" w:color="auto" w:sz="6" w:space="0"/>
              <w:bottom w:val="nil"/>
              <w:right w:val="single" w:color="auto" w:sz="6" w:space="0"/>
            </w:tcBorders>
            <w:shd w:val="clear" w:color="auto" w:fill="FFFFFF"/>
            <w:tcMar>
              <w:left w:w="57" w:type="dxa"/>
              <w:right w:w="57" w:type="dxa"/>
            </w:tcMar>
          </w:tcPr>
          <w:p>
            <w:pPr>
              <w:snapToGrid w:val="0"/>
              <w:jc w:val="both"/>
              <w:rPr>
                <w:rFonts w:eastAsia="宋体"/>
                <w:sz w:val="21"/>
                <w:szCs w:val="21"/>
              </w:rPr>
            </w:pPr>
          </w:p>
          <w:p>
            <w:pPr>
              <w:snapToGrid w:val="0"/>
              <w:jc w:val="both"/>
              <w:rPr>
                <w:rFonts w:eastAsia="宋体"/>
                <w:sz w:val="21"/>
                <w:szCs w:val="21"/>
              </w:rPr>
            </w:pPr>
          </w:p>
        </w:tc>
        <w:tc>
          <w:tcPr>
            <w:tcW w:w="5839" w:type="dxa"/>
            <w:gridSpan w:val="6"/>
            <w:vMerge w:val="continue"/>
            <w:tcBorders>
              <w:left w:val="single" w:color="auto" w:sz="6" w:space="0"/>
              <w:bottom w:val="nil"/>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89" w:type="dxa"/>
            <w:tcBorders>
              <w:top w:val="nil"/>
              <w:left w:val="single" w:color="auto" w:sz="6" w:space="0"/>
              <w:bottom w:val="nil"/>
              <w:right w:val="single" w:color="auto" w:sz="6" w:space="0"/>
            </w:tcBorders>
            <w:shd w:val="clear" w:color="auto" w:fill="FFFFFF"/>
            <w:tcMar>
              <w:left w:w="57" w:type="dxa"/>
              <w:right w:w="57" w:type="dxa"/>
            </w:tcMar>
          </w:tcPr>
          <w:p>
            <w:pPr>
              <w:snapToGrid w:val="0"/>
              <w:jc w:val="center"/>
              <w:rPr>
                <w:rFonts w:eastAsia="宋体"/>
                <w:sz w:val="21"/>
                <w:szCs w:val="21"/>
              </w:rPr>
            </w:pPr>
          </w:p>
          <w:p>
            <w:pPr>
              <w:snapToGrid w:val="0"/>
              <w:jc w:val="center"/>
              <w:rPr>
                <w:rFonts w:eastAsia="宋体"/>
                <w:sz w:val="21"/>
                <w:szCs w:val="21"/>
              </w:rPr>
            </w:pPr>
          </w:p>
        </w:tc>
        <w:tc>
          <w:tcPr>
            <w:tcW w:w="673" w:type="dxa"/>
            <w:tcBorders>
              <w:top w:val="nil"/>
              <w:left w:val="single" w:color="auto" w:sz="6" w:space="0"/>
              <w:bottom w:val="nil"/>
              <w:right w:val="single" w:color="auto" w:sz="6" w:space="0"/>
            </w:tcBorders>
            <w:shd w:val="clear" w:color="auto" w:fill="FFFFFF"/>
            <w:tcMar>
              <w:left w:w="57" w:type="dxa"/>
              <w:right w:w="57" w:type="dxa"/>
            </w:tcMar>
          </w:tcPr>
          <w:p>
            <w:pPr>
              <w:snapToGrid w:val="0"/>
              <w:jc w:val="center"/>
              <w:rPr>
                <w:rFonts w:eastAsia="宋体"/>
                <w:sz w:val="21"/>
                <w:szCs w:val="21"/>
              </w:rPr>
            </w:pPr>
          </w:p>
          <w:p>
            <w:pPr>
              <w:snapToGrid w:val="0"/>
              <w:jc w:val="center"/>
              <w:rPr>
                <w:rFonts w:eastAsia="宋体"/>
                <w:sz w:val="21"/>
                <w:szCs w:val="21"/>
              </w:rPr>
            </w:pPr>
          </w:p>
        </w:tc>
        <w:tc>
          <w:tcPr>
            <w:tcW w:w="984" w:type="dxa"/>
            <w:tcBorders>
              <w:top w:val="nil"/>
              <w:left w:val="single" w:color="auto" w:sz="6" w:space="0"/>
              <w:bottom w:val="nil"/>
              <w:right w:val="single" w:color="auto" w:sz="6" w:space="0"/>
            </w:tcBorders>
            <w:shd w:val="clear" w:color="auto" w:fill="FFFFFF"/>
            <w:tcMar>
              <w:left w:w="57" w:type="dxa"/>
              <w:right w:w="57" w:type="dxa"/>
            </w:tcMar>
          </w:tcPr>
          <w:p>
            <w:pPr>
              <w:snapToGrid w:val="0"/>
              <w:jc w:val="center"/>
              <w:rPr>
                <w:rFonts w:eastAsia="宋体"/>
                <w:sz w:val="21"/>
                <w:szCs w:val="21"/>
              </w:rPr>
            </w:pPr>
          </w:p>
          <w:p>
            <w:pPr>
              <w:snapToGrid w:val="0"/>
              <w:jc w:val="center"/>
              <w:rPr>
                <w:rFonts w:eastAsia="宋体"/>
                <w:sz w:val="21"/>
                <w:szCs w:val="21"/>
              </w:rPr>
            </w:pPr>
          </w:p>
        </w:tc>
      </w:tr>
      <w:tr>
        <w:tblPrEx>
          <w:tblCellMar>
            <w:top w:w="57" w:type="dxa"/>
            <w:left w:w="57" w:type="dxa"/>
            <w:bottom w:w="57" w:type="dxa"/>
            <w:right w:w="57" w:type="dxa"/>
          </w:tblCellMar>
        </w:tblPrEx>
        <w:trPr>
          <w:trHeight w:val="340" w:hRule="atLeast"/>
        </w:trPr>
        <w:tc>
          <w:tcPr>
            <w:tcW w:w="494" w:type="dxa"/>
            <w:tcBorders>
              <w:top w:val="nil"/>
              <w:left w:val="single" w:color="auto" w:sz="6" w:space="0"/>
              <w:bottom w:val="nil"/>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3" w:type="dxa"/>
            <w:gridSpan w:val="3"/>
            <w:tcBorders>
              <w:top w:val="nil"/>
              <w:left w:val="single" w:color="auto" w:sz="6" w:space="0"/>
              <w:bottom w:val="nil"/>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6" w:type="dxa"/>
            <w:gridSpan w:val="2"/>
            <w:tcBorders>
              <w:top w:val="nil"/>
              <w:left w:val="single" w:color="auto" w:sz="6" w:space="0"/>
              <w:bottom w:val="nil"/>
              <w:right w:val="single" w:color="auto" w:sz="6" w:space="0"/>
            </w:tcBorders>
            <w:shd w:val="clear" w:color="auto" w:fill="FFFFFF"/>
            <w:tcMar>
              <w:left w:w="57" w:type="dxa"/>
              <w:right w:w="57" w:type="dxa"/>
            </w:tcMar>
          </w:tcPr>
          <w:p>
            <w:pPr>
              <w:snapToGrid w:val="0"/>
              <w:jc w:val="both"/>
              <w:rPr>
                <w:rFonts w:eastAsia="宋体"/>
                <w:sz w:val="21"/>
                <w:szCs w:val="21"/>
              </w:rPr>
            </w:pPr>
          </w:p>
        </w:tc>
        <w:tc>
          <w:tcPr>
            <w:tcW w:w="5839" w:type="dxa"/>
            <w:gridSpan w:val="6"/>
            <w:tcBorders>
              <w:top w:val="nil"/>
              <w:left w:val="single" w:color="auto" w:sz="6" w:space="0"/>
              <w:bottom w:val="nil"/>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1.签署并注明日期的</w:t>
            </w:r>
            <w:r>
              <w:rPr>
                <w:rFonts w:hint="eastAsia" w:eastAsia="宋体"/>
                <w:color w:val="000000"/>
                <w:sz w:val="21"/>
                <w:szCs w:val="21"/>
              </w:rPr>
              <w:t>认证</w:t>
            </w:r>
            <w:r>
              <w:rPr>
                <w:rFonts w:eastAsia="宋体"/>
                <w:color w:val="000000"/>
                <w:sz w:val="21"/>
                <w:szCs w:val="21"/>
              </w:rPr>
              <w:t>表（3454）或</w:t>
            </w:r>
          </w:p>
        </w:tc>
        <w:tc>
          <w:tcPr>
            <w:tcW w:w="489" w:type="dxa"/>
            <w:tcBorders>
              <w:top w:val="nil"/>
              <w:left w:val="single" w:color="auto" w:sz="6" w:space="0"/>
              <w:bottom w:val="nil"/>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nil"/>
              <w:left w:val="single" w:color="auto" w:sz="6" w:space="0"/>
              <w:bottom w:val="nil"/>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984" w:type="dxa"/>
            <w:tcBorders>
              <w:top w:val="nil"/>
              <w:left w:val="single" w:color="auto" w:sz="6" w:space="0"/>
              <w:bottom w:val="nil"/>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rPr>
          <w:trHeight w:val="340" w:hRule="atLeast"/>
        </w:trPr>
        <w:tc>
          <w:tcPr>
            <w:tcW w:w="494" w:type="dxa"/>
            <w:tcBorders>
              <w:top w:val="nil"/>
              <w:left w:val="single" w:color="auto" w:sz="6" w:space="0"/>
              <w:bottom w:val="nil"/>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3" w:type="dxa"/>
            <w:gridSpan w:val="3"/>
            <w:tcBorders>
              <w:top w:val="nil"/>
              <w:left w:val="single" w:color="auto" w:sz="6" w:space="0"/>
              <w:bottom w:val="nil"/>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6" w:type="dxa"/>
            <w:gridSpan w:val="2"/>
            <w:tcBorders>
              <w:top w:val="nil"/>
              <w:left w:val="single" w:color="auto" w:sz="6" w:space="0"/>
              <w:bottom w:val="nil"/>
              <w:right w:val="single" w:color="auto" w:sz="6" w:space="0"/>
            </w:tcBorders>
            <w:shd w:val="clear" w:color="auto" w:fill="FFFFFF"/>
            <w:tcMar>
              <w:left w:w="57" w:type="dxa"/>
              <w:right w:w="57" w:type="dxa"/>
            </w:tcMar>
          </w:tcPr>
          <w:p>
            <w:pPr>
              <w:snapToGrid w:val="0"/>
              <w:jc w:val="both"/>
              <w:rPr>
                <w:rFonts w:eastAsia="宋体"/>
                <w:sz w:val="21"/>
                <w:szCs w:val="21"/>
              </w:rPr>
            </w:pPr>
          </w:p>
        </w:tc>
        <w:tc>
          <w:tcPr>
            <w:tcW w:w="5839" w:type="dxa"/>
            <w:gridSpan w:val="6"/>
            <w:tcBorders>
              <w:top w:val="nil"/>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color w:val="000000"/>
                <w:sz w:val="21"/>
                <w:szCs w:val="21"/>
              </w:rPr>
            </w:pPr>
          </w:p>
          <w:p>
            <w:pPr>
              <w:snapToGrid w:val="0"/>
              <w:jc w:val="both"/>
              <w:rPr>
                <w:rFonts w:eastAsia="宋体"/>
                <w:color w:val="000000"/>
                <w:sz w:val="21"/>
                <w:szCs w:val="21"/>
              </w:rPr>
            </w:pPr>
            <w:r>
              <w:rPr>
                <w:rFonts w:eastAsia="宋体"/>
                <w:color w:val="000000"/>
                <w:sz w:val="21"/>
                <w:szCs w:val="21"/>
              </w:rPr>
              <w:t>2.签署并注明日期的披露表（3455）。</w:t>
            </w:r>
          </w:p>
          <w:p>
            <w:pPr>
              <w:snapToGrid w:val="0"/>
              <w:jc w:val="both"/>
              <w:rPr>
                <w:rFonts w:eastAsia="宋体"/>
                <w:sz w:val="21"/>
                <w:szCs w:val="21"/>
              </w:rPr>
            </w:pPr>
          </w:p>
          <w:p>
            <w:pPr>
              <w:snapToGrid w:val="0"/>
              <w:jc w:val="both"/>
              <w:rPr>
                <w:rFonts w:eastAsia="宋体"/>
                <w:sz w:val="21"/>
                <w:szCs w:val="21"/>
              </w:rPr>
            </w:pPr>
            <w:r>
              <w:rPr>
                <w:rFonts w:eastAsia="宋体"/>
                <w:color w:val="000000"/>
                <w:sz w:val="21"/>
                <w:szCs w:val="21"/>
              </w:rPr>
              <w:t>备注：签名应来自负责的公司官员或申请人的代表。</w:t>
            </w:r>
          </w:p>
        </w:tc>
        <w:tc>
          <w:tcPr>
            <w:tcW w:w="489" w:type="dxa"/>
            <w:tcBorders>
              <w:top w:val="nil"/>
              <w:left w:val="single" w:color="auto" w:sz="6" w:space="0"/>
              <w:bottom w:val="single" w:color="auto" w:sz="6" w:space="0"/>
              <w:right w:val="single" w:color="auto" w:sz="6" w:space="0"/>
            </w:tcBorders>
            <w:shd w:val="clear" w:color="auto" w:fill="FFFFFF"/>
            <w:tcMar>
              <w:left w:w="57" w:type="dxa"/>
              <w:right w:w="57" w:type="dxa"/>
            </w:tcMar>
            <w:vAlign w:val="cente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nil"/>
              <w:left w:val="single" w:color="auto" w:sz="6" w:space="0"/>
              <w:bottom w:val="single" w:color="auto" w:sz="6" w:space="0"/>
              <w:right w:val="single" w:color="auto" w:sz="6" w:space="0"/>
            </w:tcBorders>
            <w:shd w:val="clear" w:color="auto" w:fill="FFFFFF"/>
            <w:tcMar>
              <w:left w:w="57" w:type="dxa"/>
              <w:right w:w="57" w:type="dxa"/>
            </w:tcMar>
            <w:vAlign w:val="center"/>
          </w:tcPr>
          <w:p>
            <w:pPr>
              <w:snapToGrid w:val="0"/>
              <w:jc w:val="center"/>
              <w:rPr>
                <w:rFonts w:eastAsia="宋体"/>
                <w:sz w:val="21"/>
                <w:szCs w:val="21"/>
              </w:rPr>
            </w:pPr>
            <w:r>
              <w:rPr>
                <w:rFonts w:eastAsia="宋体"/>
                <w:color w:val="000000"/>
                <w:sz w:val="21"/>
                <w:szCs w:val="21"/>
              </w:rPr>
              <w:sym w:font="Wingdings 2" w:char="F0A3"/>
            </w:r>
          </w:p>
        </w:tc>
        <w:tc>
          <w:tcPr>
            <w:tcW w:w="984" w:type="dxa"/>
            <w:tcBorders>
              <w:top w:val="nil"/>
              <w:left w:val="single" w:color="auto" w:sz="6" w:space="0"/>
              <w:bottom w:val="single" w:color="auto" w:sz="6" w:space="0"/>
              <w:right w:val="single" w:color="auto" w:sz="6" w:space="0"/>
            </w:tcBorders>
            <w:shd w:val="clear" w:color="auto" w:fill="FFFFFF"/>
            <w:tcMar>
              <w:left w:w="57" w:type="dxa"/>
              <w:right w:w="57" w:type="dxa"/>
            </w:tcMar>
            <w:vAlign w:val="cente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rPr>
          <w:trHeight w:val="340" w:hRule="atLeast"/>
        </w:trPr>
        <w:tc>
          <w:tcPr>
            <w:tcW w:w="494" w:type="dxa"/>
            <w:tcBorders>
              <w:top w:val="nil"/>
              <w:left w:val="single" w:color="auto" w:sz="6" w:space="0"/>
              <w:bottom w:val="nil"/>
              <w:right w:val="single" w:color="auto" w:sz="6" w:space="0"/>
            </w:tcBorders>
            <w:shd w:val="clear" w:color="auto" w:fill="FFFFFF"/>
            <w:tcMar>
              <w:left w:w="57" w:type="dxa"/>
              <w:right w:w="57" w:type="dxa"/>
            </w:tcMar>
          </w:tcPr>
          <w:p>
            <w:pPr>
              <w:snapToGrid w:val="0"/>
              <w:jc w:val="both"/>
              <w:rPr>
                <w:rFonts w:eastAsia="宋体"/>
                <w:sz w:val="21"/>
                <w:szCs w:val="21"/>
              </w:rPr>
            </w:pPr>
          </w:p>
          <w:p>
            <w:pPr>
              <w:snapToGrid w:val="0"/>
              <w:jc w:val="both"/>
              <w:rPr>
                <w:rFonts w:eastAsia="宋体"/>
                <w:sz w:val="21"/>
                <w:szCs w:val="21"/>
              </w:rPr>
            </w:pPr>
          </w:p>
        </w:tc>
        <w:tc>
          <w:tcPr>
            <w:tcW w:w="493" w:type="dxa"/>
            <w:gridSpan w:val="3"/>
            <w:tcBorders>
              <w:top w:val="nil"/>
              <w:left w:val="single" w:color="auto" w:sz="6" w:space="0"/>
              <w:bottom w:val="nil"/>
              <w:right w:val="single" w:color="auto" w:sz="6" w:space="0"/>
            </w:tcBorders>
            <w:shd w:val="clear" w:color="auto" w:fill="FFFFFF"/>
            <w:tcMar>
              <w:left w:w="57" w:type="dxa"/>
              <w:right w:w="57" w:type="dxa"/>
            </w:tcMar>
          </w:tcPr>
          <w:p>
            <w:pPr>
              <w:snapToGrid w:val="0"/>
              <w:jc w:val="both"/>
              <w:rPr>
                <w:rFonts w:eastAsia="宋体"/>
                <w:sz w:val="21"/>
                <w:szCs w:val="21"/>
              </w:rPr>
            </w:pPr>
          </w:p>
          <w:p>
            <w:pPr>
              <w:snapToGrid w:val="0"/>
              <w:jc w:val="both"/>
              <w:rPr>
                <w:rFonts w:eastAsia="宋体"/>
                <w:sz w:val="21"/>
                <w:szCs w:val="21"/>
              </w:rPr>
            </w:pPr>
          </w:p>
        </w:tc>
        <w:tc>
          <w:tcPr>
            <w:tcW w:w="496" w:type="dxa"/>
            <w:gridSpan w:val="2"/>
            <w:tcBorders>
              <w:top w:val="nil"/>
              <w:left w:val="single" w:color="auto" w:sz="6" w:space="0"/>
              <w:bottom w:val="nil"/>
              <w:right w:val="single" w:color="auto" w:sz="6" w:space="0"/>
            </w:tcBorders>
            <w:shd w:val="clear" w:color="auto" w:fill="FFFFFF"/>
            <w:tcMar>
              <w:left w:w="57" w:type="dxa"/>
              <w:right w:w="57" w:type="dxa"/>
            </w:tcMar>
          </w:tcPr>
          <w:p>
            <w:pPr>
              <w:snapToGrid w:val="0"/>
              <w:jc w:val="both"/>
              <w:rPr>
                <w:rFonts w:eastAsia="宋体"/>
                <w:sz w:val="21"/>
                <w:szCs w:val="21"/>
              </w:rPr>
            </w:pPr>
          </w:p>
          <w:p>
            <w:pPr>
              <w:snapToGrid w:val="0"/>
              <w:jc w:val="both"/>
              <w:rPr>
                <w:rFonts w:eastAsia="宋体"/>
                <w:sz w:val="21"/>
                <w:szCs w:val="21"/>
              </w:rPr>
            </w:pPr>
          </w:p>
        </w:tc>
        <w:tc>
          <w:tcPr>
            <w:tcW w:w="498"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i.</w:t>
            </w:r>
          </w:p>
        </w:tc>
        <w:tc>
          <w:tcPr>
            <w:tcW w:w="5341"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对于认证表（3454）：表格中是否附有所有研究者和次级研究者的必要名单？</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rPr>
          <w:trHeight w:val="340" w:hRule="atLeast"/>
        </w:trPr>
        <w:tc>
          <w:tcPr>
            <w:tcW w:w="494" w:type="dxa"/>
            <w:tcBorders>
              <w:top w:val="nil"/>
              <w:left w:val="single" w:color="auto" w:sz="6" w:space="0"/>
              <w:bottom w:val="nil"/>
              <w:right w:val="single" w:color="auto" w:sz="6" w:space="0"/>
            </w:tcBorders>
            <w:shd w:val="clear" w:color="auto" w:fill="FFFFFF"/>
            <w:tcMar>
              <w:left w:w="57" w:type="dxa"/>
              <w:right w:w="57" w:type="dxa"/>
            </w:tcMar>
          </w:tcPr>
          <w:p>
            <w:pPr>
              <w:snapToGrid w:val="0"/>
              <w:jc w:val="both"/>
              <w:rPr>
                <w:rFonts w:eastAsia="宋体"/>
                <w:sz w:val="21"/>
                <w:szCs w:val="21"/>
              </w:rPr>
            </w:pPr>
          </w:p>
          <w:p>
            <w:pPr>
              <w:snapToGrid w:val="0"/>
              <w:jc w:val="both"/>
              <w:rPr>
                <w:rFonts w:eastAsia="宋体"/>
                <w:sz w:val="21"/>
                <w:szCs w:val="21"/>
              </w:rPr>
            </w:pPr>
          </w:p>
        </w:tc>
        <w:tc>
          <w:tcPr>
            <w:tcW w:w="493" w:type="dxa"/>
            <w:gridSpan w:val="3"/>
            <w:tcBorders>
              <w:top w:val="nil"/>
              <w:left w:val="single" w:color="auto" w:sz="6" w:space="0"/>
              <w:bottom w:val="nil"/>
              <w:right w:val="single" w:color="auto" w:sz="6" w:space="0"/>
            </w:tcBorders>
            <w:shd w:val="clear" w:color="auto" w:fill="FFFFFF"/>
            <w:tcMar>
              <w:left w:w="57" w:type="dxa"/>
              <w:right w:w="57" w:type="dxa"/>
            </w:tcMar>
          </w:tcPr>
          <w:p>
            <w:pPr>
              <w:snapToGrid w:val="0"/>
              <w:jc w:val="both"/>
              <w:rPr>
                <w:rFonts w:eastAsia="宋体"/>
                <w:sz w:val="21"/>
                <w:szCs w:val="21"/>
              </w:rPr>
            </w:pPr>
          </w:p>
          <w:p>
            <w:pPr>
              <w:snapToGrid w:val="0"/>
              <w:jc w:val="both"/>
              <w:rPr>
                <w:rFonts w:eastAsia="宋体"/>
                <w:sz w:val="21"/>
                <w:szCs w:val="21"/>
              </w:rPr>
            </w:pPr>
          </w:p>
        </w:tc>
        <w:tc>
          <w:tcPr>
            <w:tcW w:w="496" w:type="dxa"/>
            <w:gridSpan w:val="2"/>
            <w:tcBorders>
              <w:top w:val="nil"/>
              <w:left w:val="single" w:color="auto" w:sz="6" w:space="0"/>
              <w:bottom w:val="nil"/>
              <w:right w:val="single" w:color="auto" w:sz="6" w:space="0"/>
            </w:tcBorders>
            <w:shd w:val="clear" w:color="auto" w:fill="FFFFFF"/>
            <w:tcMar>
              <w:left w:w="57" w:type="dxa"/>
              <w:right w:w="57" w:type="dxa"/>
            </w:tcMar>
          </w:tcPr>
          <w:p>
            <w:pPr>
              <w:snapToGrid w:val="0"/>
              <w:jc w:val="both"/>
              <w:rPr>
                <w:rFonts w:eastAsia="宋体"/>
                <w:sz w:val="21"/>
                <w:szCs w:val="21"/>
              </w:rPr>
            </w:pPr>
          </w:p>
          <w:p>
            <w:pPr>
              <w:snapToGrid w:val="0"/>
              <w:jc w:val="both"/>
              <w:rPr>
                <w:rFonts w:eastAsia="宋体"/>
                <w:sz w:val="21"/>
                <w:szCs w:val="21"/>
              </w:rPr>
            </w:pPr>
          </w:p>
        </w:tc>
        <w:tc>
          <w:tcPr>
            <w:tcW w:w="498"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ii.</w:t>
            </w:r>
          </w:p>
        </w:tc>
        <w:tc>
          <w:tcPr>
            <w:tcW w:w="5341"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如果勾选方框3，该表是否包括一个附件，说明无法获得财务披露信息的原因？</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rPr>
          <w:trHeight w:val="340" w:hRule="atLeast"/>
        </w:trPr>
        <w:tc>
          <w:tcPr>
            <w:tcW w:w="494" w:type="dxa"/>
            <w:tcBorders>
              <w:top w:val="nil"/>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p>
            <w:pPr>
              <w:snapToGrid w:val="0"/>
              <w:jc w:val="both"/>
              <w:rPr>
                <w:rFonts w:eastAsia="宋体"/>
                <w:sz w:val="21"/>
                <w:szCs w:val="21"/>
              </w:rPr>
            </w:pPr>
          </w:p>
        </w:tc>
        <w:tc>
          <w:tcPr>
            <w:tcW w:w="493" w:type="dxa"/>
            <w:gridSpan w:val="3"/>
            <w:tcBorders>
              <w:top w:val="nil"/>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p>
            <w:pPr>
              <w:snapToGrid w:val="0"/>
              <w:jc w:val="both"/>
              <w:rPr>
                <w:rFonts w:eastAsia="宋体"/>
                <w:sz w:val="21"/>
                <w:szCs w:val="21"/>
              </w:rPr>
            </w:pPr>
          </w:p>
        </w:tc>
        <w:tc>
          <w:tcPr>
            <w:tcW w:w="496" w:type="dxa"/>
            <w:gridSpan w:val="2"/>
            <w:tcBorders>
              <w:top w:val="nil"/>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p>
            <w:pPr>
              <w:snapToGrid w:val="0"/>
              <w:jc w:val="both"/>
              <w:rPr>
                <w:rFonts w:eastAsia="宋体"/>
                <w:sz w:val="21"/>
                <w:szCs w:val="21"/>
              </w:rPr>
            </w:pPr>
          </w:p>
        </w:tc>
        <w:tc>
          <w:tcPr>
            <w:tcW w:w="498"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iii.</w:t>
            </w:r>
          </w:p>
        </w:tc>
        <w:tc>
          <w:tcPr>
            <w:tcW w:w="5341"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对于披露表（3455）：申请是否提供了研究者或次级研究者的财务安排和利益的细节，以及为尽量减少潜在</w:t>
            </w:r>
            <w:r>
              <w:rPr>
                <w:rFonts w:hint="eastAsia" w:eastAsia="宋体"/>
                <w:color w:val="000000"/>
                <w:sz w:val="21"/>
                <w:szCs w:val="21"/>
              </w:rPr>
              <w:t>偏见</w:t>
            </w:r>
            <w:r>
              <w:rPr>
                <w:rFonts w:eastAsia="宋体"/>
                <w:color w:val="000000"/>
                <w:sz w:val="21"/>
                <w:szCs w:val="21"/>
              </w:rPr>
              <w:t>而采取的任何步骤的说明？</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d.</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根据21 CFR 25.20（n）（（d）（i）或（ii））进行环境评估</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8"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i.</w:t>
            </w:r>
          </w:p>
        </w:tc>
        <w:tc>
          <w:tcPr>
            <w:tcW w:w="5341"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如果要求分类排除，请提供证明排除的信息，或</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8"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ii.</w:t>
            </w:r>
          </w:p>
        </w:tc>
        <w:tc>
          <w:tcPr>
            <w:tcW w:w="5341"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环境评估（</w:t>
            </w:r>
            <w:r>
              <w:rPr>
                <w:rFonts w:eastAsia="宋体"/>
                <w:color w:val="000000"/>
                <w:sz w:val="21"/>
                <w:szCs w:val="21"/>
                <w:u w:val="single"/>
              </w:rPr>
              <w:t>仅</w:t>
            </w:r>
            <w:r>
              <w:rPr>
                <w:rFonts w:eastAsia="宋体"/>
                <w:color w:val="000000"/>
                <w:sz w:val="21"/>
                <w:szCs w:val="21"/>
              </w:rPr>
              <w:t>要求对出现新的环境问题的器械进行评估）。</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pageBreakBefore/>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e.</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color w:val="000000"/>
                <w:sz w:val="21"/>
                <w:szCs w:val="21"/>
              </w:rPr>
            </w:pPr>
            <w:r>
              <w:rPr>
                <w:rFonts w:eastAsia="宋体"/>
                <w:color w:val="000000"/>
                <w:sz w:val="21"/>
                <w:szCs w:val="21"/>
              </w:rPr>
              <w:t>申请是否包括一份完整的FDA 3674表，即关于</w:t>
            </w:r>
            <w:r>
              <w:rPr>
                <w:rFonts w:eastAsia="宋体"/>
                <w:i/>
                <w:iCs/>
                <w:color w:val="000000"/>
                <w:sz w:val="21"/>
                <w:szCs w:val="21"/>
              </w:rPr>
              <w:t>ClinicalTrials.gov数据库要求的</w:t>
            </w:r>
            <w:r>
              <w:rPr>
                <w:rFonts w:hint="eastAsia" w:eastAsia="宋体"/>
                <w:i/>
                <w:iCs/>
                <w:color w:val="000000"/>
                <w:sz w:val="21"/>
                <w:szCs w:val="21"/>
              </w:rPr>
              <w:t>认证</w:t>
            </w:r>
            <w:r>
              <w:rPr>
                <w:rFonts w:eastAsia="宋体"/>
                <w:color w:val="000000"/>
                <w:sz w:val="21"/>
                <w:szCs w:val="21"/>
              </w:rPr>
              <w:t>？（42 U.S.C. 282（j）（5）（B））</w:t>
            </w:r>
          </w:p>
          <w:p>
            <w:pPr>
              <w:snapToGrid w:val="0"/>
              <w:jc w:val="both"/>
              <w:rPr>
                <w:rFonts w:eastAsia="宋体"/>
                <w:sz w:val="21"/>
                <w:szCs w:val="21"/>
              </w:rPr>
            </w:pPr>
          </w:p>
          <w:p>
            <w:pPr>
              <w:snapToGrid w:val="0"/>
              <w:jc w:val="both"/>
              <w:rPr>
                <w:rFonts w:eastAsia="宋体"/>
                <w:sz w:val="21"/>
                <w:szCs w:val="21"/>
              </w:rPr>
            </w:pPr>
            <w:r>
              <w:rPr>
                <w:rFonts w:eastAsia="宋体"/>
                <w:color w:val="000000"/>
                <w:sz w:val="21"/>
                <w:szCs w:val="21"/>
              </w:rPr>
              <w:t>备注：在CTS或其他监管跟踪数据库中输入NCT编号。</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来自FORM FDA 3674的数据（在适用的一项上标记</w:t>
            </w:r>
            <w:r>
              <w:rPr>
                <w:rFonts w:ascii="宋体" w:hAnsi="宋体" w:eastAsia="宋体"/>
                <w:color w:val="000000"/>
                <w:sz w:val="21"/>
                <w:szCs w:val="21"/>
              </w:rPr>
              <w:t>“</w:t>
            </w:r>
            <w:r>
              <w:rPr>
                <w:rFonts w:eastAsia="宋体"/>
                <w:color w:val="000000"/>
                <w:sz w:val="21"/>
                <w:szCs w:val="21"/>
              </w:rPr>
              <w:t>是</w:t>
            </w:r>
            <w:r>
              <w:rPr>
                <w:rFonts w:ascii="宋体" w:hAnsi="宋体" w:eastAsia="宋体"/>
                <w:color w:val="000000"/>
                <w:sz w:val="21"/>
                <w:szCs w:val="21"/>
              </w:rPr>
              <w:t>”</w:t>
            </w:r>
            <w:r>
              <w:rPr>
                <w:rFonts w:eastAsia="宋体"/>
                <w:color w:val="000000"/>
                <w:sz w:val="21"/>
                <w:szCs w:val="21"/>
              </w:rPr>
              <w:t>）：</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8"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i.</w:t>
            </w:r>
          </w:p>
        </w:tc>
        <w:tc>
          <w:tcPr>
            <w:tcW w:w="5341"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hint="eastAsia" w:eastAsia="宋体"/>
                <w:color w:val="000000"/>
                <w:sz w:val="21"/>
                <w:szCs w:val="21"/>
              </w:rPr>
              <w:t>申请</w:t>
            </w:r>
            <w:r>
              <w:rPr>
                <w:rFonts w:eastAsia="宋体"/>
                <w:color w:val="000000"/>
                <w:sz w:val="21"/>
                <w:szCs w:val="21"/>
              </w:rPr>
              <w:t>中没有提到临床试验。</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8"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ii.</w:t>
            </w:r>
          </w:p>
        </w:tc>
        <w:tc>
          <w:tcPr>
            <w:tcW w:w="5341"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要求不适用于参考的临床试验。</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r>
      <w:tr>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8"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iii.</w:t>
            </w:r>
          </w:p>
        </w:tc>
        <w:tc>
          <w:tcPr>
            <w:tcW w:w="5341"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要求是适用的，并已得到满足。</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f.</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color w:val="000000"/>
                <w:sz w:val="21"/>
                <w:szCs w:val="21"/>
              </w:rPr>
            </w:pPr>
            <w:r>
              <w:rPr>
                <w:rFonts w:eastAsia="宋体"/>
                <w:color w:val="000000"/>
                <w:sz w:val="21"/>
                <w:szCs w:val="21"/>
              </w:rPr>
              <w:t>临床调查的合规性声明</w:t>
            </w:r>
          </w:p>
          <w:p>
            <w:pPr>
              <w:snapToGrid w:val="0"/>
              <w:jc w:val="both"/>
              <w:rPr>
                <w:rFonts w:eastAsia="宋体"/>
                <w:sz w:val="21"/>
                <w:szCs w:val="21"/>
              </w:rPr>
            </w:pPr>
          </w:p>
          <w:p>
            <w:pPr>
              <w:snapToGrid w:val="0"/>
              <w:jc w:val="both"/>
              <w:rPr>
                <w:rFonts w:eastAsia="宋体"/>
                <w:color w:val="000000"/>
                <w:sz w:val="21"/>
                <w:szCs w:val="21"/>
              </w:rPr>
            </w:pPr>
            <w:r>
              <w:rPr>
                <w:rFonts w:eastAsia="宋体"/>
                <w:color w:val="000000"/>
                <w:sz w:val="21"/>
                <w:szCs w:val="21"/>
              </w:rPr>
              <w:t>如果申请中不包含任何调查的临床数据（如21 CFR 812.3（h）所定义的），以证明安全性和有效性的合理保证，请选择</w:t>
            </w:r>
            <w:r>
              <w:rPr>
                <w:rFonts w:ascii="宋体" w:hAnsi="宋体" w:eastAsia="宋体"/>
                <w:color w:val="000000"/>
                <w:sz w:val="21"/>
                <w:szCs w:val="21"/>
              </w:rPr>
              <w:t>“</w:t>
            </w:r>
            <w:r>
              <w:rPr>
                <w:rFonts w:eastAsia="宋体"/>
                <w:color w:val="000000"/>
                <w:sz w:val="21"/>
                <w:szCs w:val="21"/>
              </w:rPr>
              <w:t>不适用</w:t>
            </w:r>
            <w:r>
              <w:rPr>
                <w:rFonts w:ascii="宋体" w:hAnsi="宋体" w:eastAsia="宋体"/>
                <w:color w:val="000000"/>
                <w:sz w:val="21"/>
                <w:szCs w:val="21"/>
              </w:rPr>
              <w:t>”</w:t>
            </w:r>
            <w:r>
              <w:rPr>
                <w:rFonts w:eastAsia="宋体"/>
                <w:color w:val="000000"/>
                <w:sz w:val="21"/>
                <w:szCs w:val="21"/>
              </w:rPr>
              <w:t>。</w:t>
            </w:r>
          </w:p>
          <w:p>
            <w:pPr>
              <w:snapToGrid w:val="0"/>
              <w:jc w:val="both"/>
              <w:rPr>
                <w:rFonts w:eastAsia="宋体"/>
                <w:sz w:val="21"/>
                <w:szCs w:val="21"/>
              </w:rPr>
            </w:pPr>
          </w:p>
          <w:p>
            <w:pPr>
              <w:snapToGrid w:val="0"/>
              <w:jc w:val="both"/>
              <w:rPr>
                <w:rFonts w:eastAsia="宋体"/>
                <w:color w:val="000000"/>
                <w:sz w:val="21"/>
                <w:szCs w:val="21"/>
              </w:rPr>
            </w:pPr>
            <w:r>
              <w:rPr>
                <w:rFonts w:eastAsia="宋体"/>
                <w:color w:val="000000"/>
                <w:sz w:val="21"/>
                <w:szCs w:val="21"/>
              </w:rPr>
              <w:t>对于同时涉及美国（US）和美国以外（OUS）机构的多中心临床调查，第（i）部分应针对美国机构，第（ii）部分应针对OUS机构。21 CFR 812.28适用于所有在2019年2月21日或之后招募第一个受试者的OUS临床研究。</w:t>
            </w:r>
          </w:p>
          <w:p>
            <w:pPr>
              <w:snapToGrid w:val="0"/>
              <w:jc w:val="both"/>
              <w:rPr>
                <w:rFonts w:eastAsia="宋体"/>
                <w:sz w:val="21"/>
                <w:szCs w:val="21"/>
              </w:rPr>
            </w:pPr>
          </w:p>
          <w:p>
            <w:pPr>
              <w:snapToGrid w:val="0"/>
              <w:jc w:val="both"/>
              <w:rPr>
                <w:rFonts w:eastAsia="宋体"/>
                <w:sz w:val="21"/>
                <w:szCs w:val="21"/>
              </w:rPr>
            </w:pPr>
            <w:r>
              <w:rPr>
                <w:rFonts w:eastAsia="宋体"/>
                <w:color w:val="000000"/>
                <w:sz w:val="21"/>
                <w:szCs w:val="21"/>
              </w:rPr>
              <w:t>请参考题为</w:t>
            </w:r>
            <w:r>
              <w:rPr>
                <w:rFonts w:ascii="宋体" w:hAnsi="宋体" w:eastAsia="宋体"/>
                <w:color w:val="000000"/>
                <w:sz w:val="21"/>
                <w:szCs w:val="21"/>
              </w:rPr>
              <w:t>“</w:t>
            </w:r>
            <w:r>
              <w:rPr>
                <w:rFonts w:eastAsia="宋体"/>
                <w:i/>
                <w:iCs/>
                <w:color w:val="0000FF"/>
                <w:sz w:val="21"/>
                <w:szCs w:val="21"/>
                <w:u w:val="single"/>
              </w:rPr>
              <w:t>接受临床数据以支持医疗器械申请和提交-常见问题</w:t>
            </w:r>
            <w:r>
              <w:rPr>
                <w:rFonts w:ascii="宋体" w:hAnsi="宋体" w:eastAsia="宋体"/>
                <w:color w:val="000000"/>
                <w:sz w:val="21"/>
                <w:szCs w:val="21"/>
              </w:rPr>
              <w:t>”</w:t>
            </w:r>
            <w:r>
              <w:rPr>
                <w:rFonts w:eastAsia="宋体"/>
                <w:i/>
                <w:iCs/>
                <w:color w:val="000000"/>
                <w:sz w:val="21"/>
                <w:szCs w:val="21"/>
              </w:rPr>
              <w:t>的</w:t>
            </w:r>
            <w:r>
              <w:rPr>
                <w:rFonts w:eastAsia="宋体"/>
                <w:color w:val="000000"/>
                <w:sz w:val="21"/>
                <w:szCs w:val="21"/>
              </w:rPr>
              <w:t>指</w:t>
            </w:r>
            <w:r>
              <w:rPr>
                <w:rFonts w:hint="eastAsia" w:eastAsia="宋体"/>
                <w:color w:val="000000"/>
                <w:sz w:val="21"/>
                <w:szCs w:val="21"/>
              </w:rPr>
              <w:t>南</w:t>
            </w:r>
            <w:r>
              <w:rPr>
                <w:rFonts w:eastAsia="宋体"/>
                <w:color w:val="000000"/>
                <w:sz w:val="21"/>
                <w:szCs w:val="21"/>
              </w:rPr>
              <w:t>文件</w:t>
            </w:r>
            <w:r>
              <w:rPr>
                <w:rFonts w:eastAsia="宋体"/>
                <w:iCs/>
                <w:color w:val="000000"/>
                <w:sz w:val="21"/>
                <w:szCs w:val="21"/>
              </w:rPr>
              <w:t>，</w:t>
            </w:r>
            <w:r>
              <w:rPr>
                <w:rFonts w:eastAsia="宋体"/>
                <w:color w:val="000000"/>
                <w:sz w:val="21"/>
                <w:szCs w:val="21"/>
              </w:rPr>
              <w:t>获取地址</w:t>
            </w:r>
            <w:r>
              <w:rPr>
                <w:rFonts w:eastAsia="宋体"/>
                <w:color w:val="0000FF"/>
                <w:sz w:val="21"/>
                <w:szCs w:val="21"/>
                <w:u w:val="single"/>
              </w:rPr>
              <w:t>https://www.fda.gov/regulatory-</w:t>
            </w:r>
            <w:r>
              <w:rPr>
                <w:rFonts w:hint="eastAsia" w:eastAsia="宋体"/>
                <w:color w:val="0000FF"/>
                <w:sz w:val="21"/>
                <w:szCs w:val="21"/>
                <w:u w:val="single"/>
              </w:rPr>
              <w:t xml:space="preserve"> </w:t>
            </w:r>
            <w:r>
              <w:rPr>
                <w:rFonts w:eastAsia="宋体"/>
                <w:color w:val="0000FF"/>
                <w:sz w:val="21"/>
                <w:szCs w:val="21"/>
                <w:u w:val="single"/>
              </w:rPr>
              <w:t>information/search-fda-guidance-documents/acceptance-clinical-data-support-medical-device-applications-and-submissions-frequently-asked</w:t>
            </w:r>
            <w:r>
              <w:rPr>
                <w:rFonts w:eastAsia="宋体"/>
                <w:color w:val="000000"/>
                <w:sz w:val="21"/>
                <w:szCs w:val="21"/>
              </w:rPr>
              <w:t>，以了解更多信息。</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pageBreakBefore/>
              <w:snapToGrid w:val="0"/>
              <w:jc w:val="both"/>
              <w:rPr>
                <w:rFonts w:eastAsia="宋体"/>
                <w:sz w:val="21"/>
                <w:szCs w:val="21"/>
              </w:rPr>
            </w:pPr>
          </w:p>
        </w:tc>
        <w:tc>
          <w:tcPr>
            <w:tcW w:w="482"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4"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8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i.</w:t>
            </w:r>
          </w:p>
        </w:tc>
        <w:tc>
          <w:tcPr>
            <w:tcW w:w="5855"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对于在美国进行的所有临床调查，每项调查的申请都包括以下内容之一（</w:t>
            </w:r>
            <w:r>
              <w:rPr>
                <w:rFonts w:eastAsia="宋体"/>
                <w:i/>
                <w:iCs/>
                <w:color w:val="000000"/>
                <w:sz w:val="21"/>
                <w:szCs w:val="21"/>
              </w:rPr>
              <w:t>请勾选所有适用的内容</w:t>
            </w:r>
            <w:r>
              <w:rPr>
                <w:rFonts w:eastAsia="宋体"/>
                <w:color w:val="000000"/>
                <w:sz w:val="21"/>
                <w:szCs w:val="21"/>
              </w:rPr>
              <w:t>）：</w:t>
            </w:r>
          </w:p>
          <w:p>
            <w:pPr>
              <w:snapToGrid w:val="0"/>
              <w:jc w:val="both"/>
              <w:rPr>
                <w:rFonts w:eastAsia="宋体"/>
                <w:sz w:val="21"/>
                <w:szCs w:val="21"/>
              </w:rPr>
            </w:pPr>
            <w:r>
              <w:rPr>
                <w:rFonts w:hint="eastAsia" w:ascii="MS Mincho" w:hAnsi="MS Mincho" w:eastAsia="MS Mincho" w:cs="MS Mincho"/>
                <w:color w:val="000000"/>
                <w:sz w:val="21"/>
                <w:szCs w:val="21"/>
              </w:rPr>
              <w:t>☐</w:t>
            </w:r>
            <w:r>
              <w:rPr>
                <w:rFonts w:eastAsia="宋体"/>
                <w:color w:val="000000"/>
                <w:sz w:val="21"/>
                <w:szCs w:val="21"/>
              </w:rPr>
              <w:t xml:space="preserve"> 符合《美国联邦法规》第21篇第50部分、第56部分和第812部分规定的声明。</w:t>
            </w:r>
          </w:p>
          <w:p>
            <w:pPr>
              <w:snapToGrid w:val="0"/>
              <w:jc w:val="both"/>
              <w:rPr>
                <w:rFonts w:eastAsia="宋体"/>
                <w:sz w:val="21"/>
                <w:szCs w:val="21"/>
              </w:rPr>
            </w:pPr>
            <w:r>
              <w:rPr>
                <w:rFonts w:hint="eastAsia" w:ascii="MS Mincho" w:hAnsi="MS Mincho" w:eastAsia="MS Mincho" w:cs="MS Mincho"/>
                <w:color w:val="000000"/>
                <w:sz w:val="21"/>
                <w:szCs w:val="21"/>
              </w:rPr>
              <w:t>☐</w:t>
            </w:r>
            <w:r>
              <w:rPr>
                <w:rFonts w:eastAsia="宋体"/>
                <w:color w:val="000000"/>
                <w:sz w:val="21"/>
                <w:szCs w:val="21"/>
              </w:rPr>
              <w:t xml:space="preserve"> 简要说明不符合《美国联邦法规》第21篇第50部分、第56部分和第812部分规定的原因。</w:t>
            </w:r>
          </w:p>
          <w:p>
            <w:pPr>
              <w:snapToGrid w:val="0"/>
              <w:jc w:val="both"/>
              <w:rPr>
                <w:rFonts w:eastAsia="宋体"/>
                <w:sz w:val="21"/>
                <w:szCs w:val="21"/>
              </w:rPr>
            </w:pPr>
            <w:r>
              <w:rPr>
                <w:rFonts w:eastAsia="宋体"/>
                <w:i/>
                <w:iCs/>
                <w:color w:val="000000"/>
                <w:sz w:val="21"/>
                <w:szCs w:val="21"/>
              </w:rPr>
              <w:t>如果临床调查完全是在OUS进行，请选择</w:t>
            </w:r>
            <w:r>
              <w:rPr>
                <w:rFonts w:ascii="宋体" w:hAnsi="宋体" w:eastAsia="宋体"/>
                <w:i/>
                <w:iCs/>
                <w:color w:val="000000"/>
                <w:sz w:val="21"/>
                <w:szCs w:val="21"/>
              </w:rPr>
              <w:t>“</w:t>
            </w:r>
            <w:r>
              <w:rPr>
                <w:rFonts w:eastAsia="宋体"/>
                <w:i/>
                <w:iCs/>
                <w:color w:val="000000"/>
                <w:sz w:val="21"/>
                <w:szCs w:val="21"/>
              </w:rPr>
              <w:t>不适用</w:t>
            </w:r>
            <w:r>
              <w:rPr>
                <w:rFonts w:ascii="宋体" w:hAnsi="宋体" w:eastAsia="宋体"/>
                <w:i/>
                <w:iCs/>
                <w:color w:val="000000"/>
                <w:sz w:val="21"/>
                <w:szCs w:val="21"/>
              </w:rPr>
              <w:t>”</w:t>
            </w:r>
            <w:r>
              <w:rPr>
                <w:rFonts w:eastAsia="宋体"/>
                <w:i/>
                <w:iCs/>
                <w:color w:val="000000"/>
                <w:sz w:val="21"/>
                <w:szCs w:val="21"/>
              </w:rPr>
              <w:t>。</w:t>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82"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4"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8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ii.</w:t>
            </w:r>
          </w:p>
        </w:tc>
        <w:tc>
          <w:tcPr>
            <w:tcW w:w="5855"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对于所有在海外进行的临床调查，每项调查的申请都包括以下内容之一（</w:t>
            </w:r>
            <w:r>
              <w:rPr>
                <w:rFonts w:eastAsia="宋体"/>
                <w:i/>
                <w:iCs/>
                <w:color w:val="000000"/>
                <w:sz w:val="21"/>
                <w:szCs w:val="21"/>
              </w:rPr>
              <w:t>请勾选所有适用的内容</w:t>
            </w:r>
            <w:r>
              <w:rPr>
                <w:rFonts w:eastAsia="宋体"/>
                <w:color w:val="000000"/>
                <w:sz w:val="21"/>
                <w:szCs w:val="21"/>
              </w:rPr>
              <w:t>）。</w:t>
            </w:r>
          </w:p>
          <w:p>
            <w:pPr>
              <w:snapToGrid w:val="0"/>
              <w:jc w:val="both"/>
              <w:rPr>
                <w:rFonts w:eastAsia="宋体"/>
                <w:sz w:val="21"/>
                <w:szCs w:val="21"/>
              </w:rPr>
            </w:pPr>
            <w:r>
              <w:rPr>
                <w:rFonts w:hint="eastAsia" w:ascii="MS Mincho" w:hAnsi="MS Mincho" w:eastAsia="MS Mincho" w:cs="MS Mincho"/>
                <w:color w:val="000000"/>
                <w:sz w:val="21"/>
                <w:szCs w:val="21"/>
              </w:rPr>
              <w:t>☐</w:t>
            </w:r>
            <w:r>
              <w:rPr>
                <w:rFonts w:eastAsia="宋体"/>
                <w:color w:val="000000"/>
                <w:sz w:val="21"/>
                <w:szCs w:val="21"/>
              </w:rPr>
              <w:t xml:space="preserve"> 声明临床研究是按照21 CFR 812.28（a）（1）所述的良好临床实践（GCP）进行的。</w:t>
            </w:r>
          </w:p>
          <w:p>
            <w:pPr>
              <w:snapToGrid w:val="0"/>
              <w:jc w:val="both"/>
              <w:rPr>
                <w:rFonts w:eastAsia="宋体"/>
                <w:sz w:val="21"/>
                <w:szCs w:val="21"/>
              </w:rPr>
            </w:pPr>
            <w:r>
              <w:rPr>
                <w:rFonts w:hint="eastAsia" w:ascii="MS Mincho" w:hAnsi="MS Mincho" w:eastAsia="MS Mincho" w:cs="MS Mincho"/>
                <w:color w:val="000000"/>
                <w:sz w:val="21"/>
                <w:szCs w:val="21"/>
              </w:rPr>
              <w:t>☐</w:t>
            </w:r>
            <w:r>
              <w:rPr>
                <w:rFonts w:eastAsia="宋体"/>
                <w:color w:val="000000"/>
                <w:sz w:val="21"/>
                <w:szCs w:val="21"/>
              </w:rPr>
              <w:t xml:space="preserve"> 简要说明不按照GCP进行调查的原因，并说明为确保数据和结果的可信性和准确性以及受试者的权利、安全和福利得到充分保护而采取的措施。</w:t>
            </w:r>
          </w:p>
          <w:p>
            <w:pPr>
              <w:snapToGrid w:val="0"/>
              <w:jc w:val="both"/>
              <w:rPr>
                <w:rFonts w:eastAsia="宋体"/>
                <w:sz w:val="21"/>
                <w:szCs w:val="21"/>
              </w:rPr>
            </w:pPr>
            <w:r>
              <w:rPr>
                <w:rFonts w:hint="eastAsia" w:ascii="MS Mincho" w:hAnsi="MS Mincho" w:eastAsia="MS Mincho" w:cs="MS Mincho"/>
                <w:color w:val="000000"/>
                <w:sz w:val="21"/>
                <w:szCs w:val="21"/>
              </w:rPr>
              <w:t>☐</w:t>
            </w:r>
            <w:r>
              <w:rPr>
                <w:rFonts w:eastAsia="宋体"/>
                <w:color w:val="000000"/>
                <w:sz w:val="21"/>
                <w:szCs w:val="21"/>
              </w:rPr>
              <w:t xml:space="preserve"> 根据21 CFR 812.28（c）提出的豁免申请。</w:t>
            </w:r>
          </w:p>
          <w:p>
            <w:pPr>
              <w:snapToGrid w:val="0"/>
              <w:jc w:val="both"/>
              <w:rPr>
                <w:rFonts w:eastAsia="宋体"/>
                <w:sz w:val="21"/>
                <w:szCs w:val="21"/>
              </w:rPr>
            </w:pPr>
            <w:r>
              <w:rPr>
                <w:rFonts w:eastAsia="宋体"/>
                <w:i/>
                <w:iCs/>
                <w:color w:val="000000"/>
                <w:sz w:val="21"/>
                <w:szCs w:val="21"/>
              </w:rPr>
              <w:t>如果临床调查只在美国境内进行，请选择</w:t>
            </w:r>
            <w:r>
              <w:rPr>
                <w:rFonts w:ascii="宋体" w:hAnsi="宋体" w:eastAsia="宋体"/>
                <w:i/>
                <w:iCs/>
                <w:color w:val="000000"/>
                <w:sz w:val="21"/>
                <w:szCs w:val="21"/>
              </w:rPr>
              <w:t>“</w:t>
            </w:r>
            <w:r>
              <w:rPr>
                <w:rFonts w:eastAsia="宋体"/>
                <w:i/>
                <w:iCs/>
                <w:color w:val="000000"/>
                <w:sz w:val="21"/>
                <w:szCs w:val="21"/>
              </w:rPr>
              <w:t>不适用</w:t>
            </w:r>
            <w:r>
              <w:rPr>
                <w:rFonts w:ascii="宋体" w:hAnsi="宋体" w:eastAsia="宋体"/>
                <w:i/>
                <w:iCs/>
                <w:color w:val="000000"/>
                <w:sz w:val="21"/>
                <w:szCs w:val="21"/>
              </w:rPr>
              <w:t>”</w:t>
            </w:r>
            <w:r>
              <w:rPr>
                <w:rFonts w:eastAsia="宋体"/>
                <w:i/>
                <w:iCs/>
                <w:color w:val="000000"/>
                <w:sz w:val="21"/>
                <w:szCs w:val="21"/>
              </w:rPr>
              <w:t>。</w:t>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82"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13.</w:t>
            </w:r>
          </w:p>
        </w:tc>
        <w:tc>
          <w:tcPr>
            <w:tcW w:w="6346" w:type="dxa"/>
            <w:gridSpan w:val="9"/>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儿科用药</w:t>
            </w:r>
            <w:r>
              <w:rPr>
                <w:rFonts w:hint="eastAsia" w:eastAsia="宋体"/>
                <w:color w:val="000000"/>
                <w:sz w:val="21"/>
                <w:szCs w:val="21"/>
              </w:rPr>
              <w:t xml:space="preserve"> - </w:t>
            </w:r>
            <w:r>
              <w:rPr>
                <w:rFonts w:eastAsia="宋体"/>
                <w:color w:val="000000"/>
                <w:sz w:val="21"/>
                <w:szCs w:val="21"/>
              </w:rPr>
              <w:t>根据《FD&amp;C法案》的515A（a）（2），申请是否包括：</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82"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4"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a.</w:t>
            </w:r>
          </w:p>
        </w:tc>
        <w:tc>
          <w:tcPr>
            <w:tcW w:w="5852" w:type="dxa"/>
            <w:gridSpan w:val="7"/>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对患有该器械旨在治疗、诊断或治愈的疾病或病症的任何儿科亚群的描述，或对该器械旨在治疗的疾病或病症不存在儿科亚群的声明。该声明并不意味着该器械适用于治疗儿童患者。</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pageBreakBefore/>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b.</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受影响的儿科患者的数量。</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14.</w:t>
            </w:r>
          </w:p>
        </w:tc>
        <w:tc>
          <w:tcPr>
            <w:tcW w:w="6335" w:type="dxa"/>
            <w:gridSpan w:val="8"/>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组合产品规定-根据《FD&amp;C法案》的503（g）。如果产品不是组合产品，请选择</w:t>
            </w:r>
            <w:r>
              <w:rPr>
                <w:rFonts w:ascii="宋体" w:hAnsi="宋体" w:eastAsia="宋体"/>
                <w:color w:val="000000"/>
                <w:sz w:val="21"/>
                <w:szCs w:val="21"/>
              </w:rPr>
              <w:t>“</w:t>
            </w:r>
            <w:r>
              <w:rPr>
                <w:rFonts w:eastAsia="宋体"/>
                <w:color w:val="000000"/>
                <w:sz w:val="21"/>
                <w:szCs w:val="21"/>
              </w:rPr>
              <w:t>不适用</w:t>
            </w:r>
            <w:r>
              <w:rPr>
                <w:rFonts w:ascii="宋体" w:hAnsi="宋体" w:eastAsia="宋体"/>
                <w:color w:val="000000"/>
                <w:sz w:val="21"/>
                <w:szCs w:val="21"/>
              </w:rPr>
              <w:t>”</w:t>
            </w:r>
            <w:r>
              <w:rPr>
                <w:rFonts w:eastAsia="宋体"/>
                <w:color w:val="000000"/>
                <w:sz w:val="21"/>
                <w:szCs w:val="21"/>
              </w:rPr>
              <w:t>。21 CFR 3.2</w:t>
            </w:r>
            <w:r>
              <w:rPr>
                <w:rFonts w:hint="eastAsia" w:eastAsia="宋体"/>
                <w:color w:val="000000"/>
                <w:sz w:val="21"/>
                <w:szCs w:val="21"/>
              </w:rPr>
              <w:t>（</w:t>
            </w:r>
            <w:r>
              <w:rPr>
                <w:rFonts w:eastAsia="宋体"/>
                <w:color w:val="000000"/>
                <w:sz w:val="21"/>
                <w:szCs w:val="21"/>
              </w:rPr>
              <w:t>e</w:t>
            </w:r>
            <w:r>
              <w:rPr>
                <w:rFonts w:hint="eastAsia" w:eastAsia="宋体"/>
                <w:color w:val="000000"/>
                <w:sz w:val="21"/>
                <w:szCs w:val="21"/>
              </w:rPr>
              <w:t>）。</w:t>
            </w:r>
            <w:r>
              <w:rPr>
                <w:rFonts w:eastAsia="宋体"/>
                <w:color w:val="000000"/>
                <w:sz w:val="21"/>
                <w:szCs w:val="21"/>
              </w:rPr>
              <w:t>如果选择</w:t>
            </w:r>
            <w:r>
              <w:rPr>
                <w:rFonts w:ascii="宋体" w:hAnsi="宋体" w:eastAsia="宋体"/>
                <w:color w:val="000000"/>
                <w:sz w:val="21"/>
                <w:szCs w:val="21"/>
              </w:rPr>
              <w:t>“</w:t>
            </w:r>
            <w:r>
              <w:rPr>
                <w:rFonts w:eastAsia="宋体"/>
                <w:color w:val="000000"/>
                <w:sz w:val="21"/>
                <w:szCs w:val="21"/>
              </w:rPr>
              <w:t>不适用</w:t>
            </w:r>
            <w:r>
              <w:rPr>
                <w:rFonts w:ascii="宋体" w:hAnsi="宋体" w:eastAsia="宋体"/>
                <w:color w:val="000000"/>
                <w:sz w:val="21"/>
                <w:szCs w:val="21"/>
              </w:rPr>
              <w:t>”</w:t>
            </w:r>
            <w:r>
              <w:rPr>
                <w:rFonts w:eastAsia="宋体"/>
                <w:color w:val="000000"/>
                <w:sz w:val="21"/>
                <w:szCs w:val="21"/>
              </w:rPr>
              <w:t>，本节中的其余标准将从检查表中省略。如果您不确定该产品是否为组合产品，请咨询CDRH产品管辖官员或CBER产品管辖官员。</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a.</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申请书将该产品确定为组合产品。</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b.</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该组合产品的组成成分中含有《FD&amp;C法案》第503（g）（5）（B）</w:t>
            </w:r>
            <w:r>
              <w:rPr>
                <w:rFonts w:hint="eastAsia" w:eastAsia="宋体"/>
                <w:color w:val="000000"/>
                <w:sz w:val="21"/>
                <w:szCs w:val="21"/>
              </w:rPr>
              <w:t>节</w:t>
            </w:r>
            <w:r>
              <w:rPr>
                <w:rFonts w:eastAsia="宋体"/>
                <w:color w:val="000000"/>
                <w:sz w:val="21"/>
                <w:szCs w:val="21"/>
              </w:rPr>
              <w:t>规定的已批准的药物。如果组合产品的成分中不包含已批准的药物，请选择</w:t>
            </w:r>
            <w:r>
              <w:rPr>
                <w:rFonts w:ascii="宋体" w:hAnsi="宋体" w:eastAsia="宋体"/>
                <w:color w:val="000000"/>
                <w:sz w:val="21"/>
                <w:szCs w:val="21"/>
              </w:rPr>
              <w:t>“</w:t>
            </w:r>
            <w:r>
              <w:rPr>
                <w:rFonts w:eastAsia="宋体"/>
                <w:color w:val="000000"/>
                <w:sz w:val="21"/>
                <w:szCs w:val="21"/>
              </w:rPr>
              <w:t>不适用</w:t>
            </w:r>
            <w:r>
              <w:rPr>
                <w:rFonts w:ascii="宋体" w:hAnsi="宋体" w:eastAsia="宋体"/>
                <w:color w:val="000000"/>
                <w:sz w:val="21"/>
                <w:szCs w:val="21"/>
              </w:rPr>
              <w:t>”</w:t>
            </w:r>
            <w:r>
              <w:rPr>
                <w:rFonts w:eastAsia="宋体"/>
                <w:color w:val="000000"/>
                <w:sz w:val="21"/>
                <w:szCs w:val="21"/>
              </w:rPr>
              <w:t>。如果申请中包含药物成分部分的引用权或使用权，也请选择</w:t>
            </w:r>
            <w:r>
              <w:rPr>
                <w:rFonts w:ascii="宋体" w:hAnsi="宋体" w:eastAsia="宋体"/>
                <w:color w:val="000000"/>
                <w:sz w:val="21"/>
                <w:szCs w:val="21"/>
              </w:rPr>
              <w:t>“</w:t>
            </w:r>
            <w:r>
              <w:rPr>
                <w:rFonts w:eastAsia="宋体"/>
                <w:color w:val="000000"/>
                <w:sz w:val="21"/>
                <w:szCs w:val="21"/>
              </w:rPr>
              <w:t>不适用</w:t>
            </w:r>
            <w:r>
              <w:rPr>
                <w:rFonts w:ascii="宋体" w:hAnsi="宋体" w:eastAsia="宋体"/>
                <w:color w:val="000000"/>
                <w:sz w:val="21"/>
                <w:szCs w:val="21"/>
              </w:rPr>
              <w:t>”</w:t>
            </w:r>
            <w:r>
              <w:rPr>
                <w:rFonts w:eastAsia="宋体"/>
                <w:color w:val="000000"/>
                <w:sz w:val="21"/>
                <w:szCs w:val="21"/>
              </w:rPr>
              <w:t>。如果选择</w:t>
            </w:r>
            <w:r>
              <w:rPr>
                <w:rFonts w:ascii="宋体" w:hAnsi="宋体" w:eastAsia="宋体"/>
                <w:color w:val="000000"/>
                <w:sz w:val="21"/>
                <w:szCs w:val="21"/>
              </w:rPr>
              <w:t>“</w:t>
            </w:r>
            <w:r>
              <w:rPr>
                <w:rFonts w:eastAsia="宋体"/>
                <w:color w:val="000000"/>
                <w:sz w:val="21"/>
                <w:szCs w:val="21"/>
              </w:rPr>
              <w:t>不适用</w:t>
            </w:r>
            <w:r>
              <w:rPr>
                <w:rFonts w:ascii="宋体" w:hAnsi="宋体" w:eastAsia="宋体"/>
                <w:color w:val="000000"/>
                <w:sz w:val="21"/>
                <w:szCs w:val="21"/>
              </w:rPr>
              <w:t>”</w:t>
            </w:r>
            <w:r>
              <w:rPr>
                <w:rFonts w:eastAsia="宋体"/>
                <w:color w:val="000000"/>
                <w:sz w:val="21"/>
                <w:szCs w:val="21"/>
              </w:rPr>
              <w:t>，下面的a部分将从检查表中省略。</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3"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6"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498"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i.</w:t>
            </w:r>
          </w:p>
        </w:tc>
        <w:tc>
          <w:tcPr>
            <w:tcW w:w="5341" w:type="dxa"/>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申请书包括适当的专利声明或证明以及申请人将酌情发出通知的声明。见503（g）（5）（A）&amp;（C）。</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B.</w:t>
            </w:r>
          </w:p>
        </w:tc>
        <w:tc>
          <w:tcPr>
            <w:tcW w:w="6828" w:type="dxa"/>
            <w:gridSpan w:val="11"/>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PMA申请前FDA发现的问题-申请人对该器械的历史记录</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32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1.</w:t>
            </w:r>
          </w:p>
        </w:tc>
        <w:tc>
          <w:tcPr>
            <w:tcW w:w="6500" w:type="dxa"/>
            <w:gridSpan w:val="10"/>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申请人是否列出了以前的申请，或说明以前未</w:t>
            </w:r>
            <w:r>
              <w:rPr>
                <w:rFonts w:hint="eastAsia" w:eastAsia="宋体"/>
                <w:color w:val="000000"/>
                <w:sz w:val="21"/>
                <w:szCs w:val="21"/>
              </w:rPr>
              <w:t>申请</w:t>
            </w:r>
            <w:r>
              <w:rPr>
                <w:rFonts w:eastAsia="宋体"/>
                <w:color w:val="000000"/>
                <w:sz w:val="21"/>
                <w:szCs w:val="21"/>
              </w:rPr>
              <w:t>？</w:t>
            </w:r>
          </w:p>
          <w:p>
            <w:pPr>
              <w:snapToGrid w:val="0"/>
              <w:jc w:val="both"/>
              <w:rPr>
                <w:rFonts w:eastAsia="宋体"/>
                <w:color w:val="000000"/>
                <w:sz w:val="21"/>
                <w:szCs w:val="21"/>
              </w:rPr>
            </w:pPr>
            <w:r>
              <w:rPr>
                <w:rFonts w:eastAsia="宋体"/>
                <w:color w:val="000000"/>
                <w:sz w:val="21"/>
                <w:szCs w:val="21"/>
              </w:rPr>
              <w:t>（可在CDRH封面表格3514</w:t>
            </w:r>
            <w:r>
              <w:rPr>
                <w:rFonts w:hint="eastAsia" w:eastAsia="宋体"/>
                <w:color w:val="000000"/>
                <w:sz w:val="21"/>
                <w:szCs w:val="21"/>
              </w:rPr>
              <w:t>，第</w:t>
            </w:r>
            <w:r>
              <w:rPr>
                <w:rFonts w:eastAsia="宋体"/>
                <w:color w:val="000000"/>
                <w:sz w:val="21"/>
                <w:szCs w:val="21"/>
              </w:rPr>
              <w:t>F</w:t>
            </w:r>
            <w:r>
              <w:rPr>
                <w:rFonts w:hint="eastAsia" w:eastAsia="宋体"/>
                <w:color w:val="000000"/>
                <w:sz w:val="21"/>
                <w:szCs w:val="21"/>
              </w:rPr>
              <w:t>节</w:t>
            </w:r>
            <w:r>
              <w:rPr>
                <w:rFonts w:eastAsia="宋体"/>
                <w:color w:val="000000"/>
                <w:sz w:val="21"/>
                <w:szCs w:val="21"/>
              </w:rPr>
              <w:t>找到）</w:t>
            </w:r>
          </w:p>
          <w:p>
            <w:pPr>
              <w:snapToGrid w:val="0"/>
              <w:jc w:val="both"/>
              <w:rPr>
                <w:rFonts w:eastAsia="宋体"/>
                <w:sz w:val="21"/>
                <w:szCs w:val="21"/>
              </w:rPr>
            </w:pPr>
          </w:p>
          <w:p>
            <w:pPr>
              <w:snapToGrid w:val="0"/>
              <w:jc w:val="both"/>
              <w:rPr>
                <w:rFonts w:eastAsia="宋体"/>
                <w:sz w:val="21"/>
                <w:szCs w:val="21"/>
              </w:rPr>
            </w:pPr>
            <w:r>
              <w:rPr>
                <w:rFonts w:eastAsia="宋体"/>
                <w:color w:val="000000"/>
                <w:sz w:val="21"/>
                <w:szCs w:val="21"/>
              </w:rPr>
              <w:t>如果申请人列出了以前</w:t>
            </w:r>
            <w:r>
              <w:rPr>
                <w:rFonts w:hint="eastAsia" w:eastAsia="宋体"/>
                <w:color w:val="000000"/>
                <w:sz w:val="21"/>
                <w:szCs w:val="21"/>
              </w:rPr>
              <w:t>的</w:t>
            </w:r>
            <w:r>
              <w:rPr>
                <w:rFonts w:eastAsia="宋体"/>
                <w:color w:val="000000"/>
                <w:sz w:val="21"/>
                <w:szCs w:val="21"/>
              </w:rPr>
              <w:t>申请，请回答下面的适用问题：</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32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661" w:type="dxa"/>
            <w:gridSpan w:val="4"/>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a.</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510(k)编号______________________________________</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pageBreakBefore/>
              <w:snapToGrid w:val="0"/>
              <w:jc w:val="both"/>
              <w:rPr>
                <w:rFonts w:eastAsia="宋体"/>
                <w:sz w:val="21"/>
                <w:szCs w:val="21"/>
              </w:rPr>
            </w:pPr>
          </w:p>
        </w:tc>
        <w:tc>
          <w:tcPr>
            <w:tcW w:w="32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661" w:type="dxa"/>
            <w:gridSpan w:val="4"/>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652" w:type="dxa"/>
            <w:gridSpan w:val="4"/>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i.</w:t>
            </w:r>
          </w:p>
        </w:tc>
        <w:tc>
          <w:tcPr>
            <w:tcW w:w="5187"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如果该器械是NSE决定的</w:t>
            </w:r>
            <w:r>
              <w:rPr>
                <w:rFonts w:hint="eastAsia" w:eastAsia="宋体"/>
                <w:color w:val="000000"/>
                <w:sz w:val="21"/>
                <w:szCs w:val="21"/>
                <w:highlight w:val="none"/>
              </w:rPr>
              <w:t>申报器械</w:t>
            </w:r>
            <w:r>
              <w:rPr>
                <w:rFonts w:eastAsia="宋体"/>
                <w:color w:val="000000"/>
                <w:sz w:val="21"/>
                <w:szCs w:val="21"/>
              </w:rPr>
              <w:t>，PMA是否涉及任何与安全性或有效性有关的问题？</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32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661" w:type="dxa"/>
            <w:gridSpan w:val="4"/>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b.</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IDE编号________________________________________</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32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661" w:type="dxa"/>
            <w:gridSpan w:val="4"/>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652" w:type="dxa"/>
            <w:gridSpan w:val="4"/>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i.</w:t>
            </w:r>
          </w:p>
        </w:tc>
        <w:tc>
          <w:tcPr>
            <w:tcW w:w="5187"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PMA中提出的数据是否考虑到了之前通过IDE信函告知的任何安全性或有效性问题（例如，</w:t>
            </w:r>
            <w:r>
              <w:rPr>
                <w:rFonts w:ascii="宋体" w:hAnsi="宋体" w:eastAsia="宋体"/>
                <w:color w:val="000000"/>
                <w:sz w:val="21"/>
                <w:szCs w:val="21"/>
              </w:rPr>
              <w:t>“</w:t>
            </w:r>
            <w:r>
              <w:rPr>
                <w:rFonts w:eastAsia="宋体"/>
                <w:color w:val="000000"/>
                <w:sz w:val="21"/>
                <w:szCs w:val="21"/>
              </w:rPr>
              <w:t>未来考虑</w:t>
            </w:r>
            <w:r>
              <w:rPr>
                <w:rFonts w:ascii="宋体" w:hAnsi="宋体" w:eastAsia="宋体"/>
                <w:color w:val="000000"/>
                <w:sz w:val="21"/>
                <w:szCs w:val="21"/>
              </w:rPr>
              <w:t>“</w:t>
            </w:r>
            <w:r>
              <w:rPr>
                <w:rFonts w:eastAsia="宋体"/>
                <w:color w:val="000000"/>
                <w:sz w:val="21"/>
                <w:szCs w:val="21"/>
              </w:rPr>
              <w:t>）？</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32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661" w:type="dxa"/>
            <w:gridSpan w:val="4"/>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c.</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PMA编号________________________________________</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32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661" w:type="dxa"/>
            <w:gridSpan w:val="4"/>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652" w:type="dxa"/>
            <w:gridSpan w:val="4"/>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i.</w:t>
            </w:r>
          </w:p>
        </w:tc>
        <w:tc>
          <w:tcPr>
            <w:tcW w:w="5187"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如果以前提交的该器械的PMA被撤销，目前的PMA是否解决了在审评以前的PMA时提出的与安全性或有效性有关的任何问题？</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32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661" w:type="dxa"/>
            <w:gridSpan w:val="4"/>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d.</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tabs>
                <w:tab w:val="left" w:leader="underscore" w:pos="5506"/>
              </w:tabs>
              <w:snapToGrid w:val="0"/>
              <w:jc w:val="both"/>
              <w:rPr>
                <w:rFonts w:eastAsia="宋体"/>
                <w:sz w:val="21"/>
                <w:szCs w:val="21"/>
              </w:rPr>
            </w:pPr>
            <w:r>
              <w:rPr>
                <w:rFonts w:eastAsia="宋体"/>
                <w:color w:val="000000"/>
                <w:sz w:val="21"/>
                <w:szCs w:val="21"/>
              </w:rPr>
              <w:t>模块化PMA编号______________________________</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r>
      <w:tr>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32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661" w:type="dxa"/>
            <w:gridSpan w:val="4"/>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652" w:type="dxa"/>
            <w:gridSpan w:val="4"/>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i.</w:t>
            </w:r>
          </w:p>
        </w:tc>
        <w:tc>
          <w:tcPr>
            <w:tcW w:w="5187"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tabs>
                <w:tab w:val="left" w:leader="underscore" w:pos="5496"/>
              </w:tabs>
              <w:snapToGrid w:val="0"/>
              <w:jc w:val="both"/>
              <w:rPr>
                <w:rFonts w:eastAsia="宋体"/>
                <w:color w:val="000000"/>
                <w:sz w:val="21"/>
                <w:szCs w:val="21"/>
              </w:rPr>
            </w:pPr>
            <w:r>
              <w:rPr>
                <w:rFonts w:eastAsia="宋体"/>
                <w:color w:val="000000"/>
                <w:sz w:val="21"/>
                <w:szCs w:val="21"/>
              </w:rPr>
              <w:t>如</w:t>
            </w:r>
            <w:r>
              <w:rPr>
                <w:rFonts w:ascii="宋体" w:hAnsi="宋体" w:eastAsia="宋体"/>
                <w:color w:val="000000"/>
                <w:sz w:val="21"/>
                <w:szCs w:val="21"/>
              </w:rPr>
              <w:t>“</w:t>
            </w:r>
            <w:r>
              <w:rPr>
                <w:rFonts w:eastAsia="宋体"/>
                <w:color w:val="000000"/>
                <w:sz w:val="21"/>
                <w:szCs w:val="21"/>
              </w:rPr>
              <w:t>是</w:t>
            </w:r>
            <w:r>
              <w:rPr>
                <w:rFonts w:ascii="宋体" w:hAnsi="宋体" w:eastAsia="宋体"/>
                <w:color w:val="000000"/>
                <w:sz w:val="21"/>
                <w:szCs w:val="21"/>
              </w:rPr>
              <w:t>”</w:t>
            </w:r>
            <w:r>
              <w:rPr>
                <w:rFonts w:eastAsia="宋体"/>
                <w:color w:val="000000"/>
                <w:sz w:val="21"/>
                <w:szCs w:val="21"/>
              </w:rPr>
              <w:t>，提交了多少个模块？__________</w:t>
            </w:r>
          </w:p>
          <w:p>
            <w:pPr>
              <w:tabs>
                <w:tab w:val="left" w:leader="underscore" w:pos="5496"/>
              </w:tabs>
              <w:snapToGrid w:val="0"/>
              <w:jc w:val="both"/>
              <w:rPr>
                <w:rFonts w:eastAsia="宋体"/>
                <w:sz w:val="21"/>
                <w:szCs w:val="21"/>
              </w:rPr>
            </w:pPr>
          </w:p>
          <w:p>
            <w:pPr>
              <w:tabs>
                <w:tab w:val="left" w:leader="underscore" w:pos="5174"/>
              </w:tabs>
              <w:snapToGrid w:val="0"/>
              <w:jc w:val="both"/>
              <w:rPr>
                <w:rFonts w:eastAsia="宋体"/>
                <w:sz w:val="21"/>
                <w:szCs w:val="21"/>
              </w:rPr>
            </w:pPr>
            <w:r>
              <w:rPr>
                <w:rFonts w:eastAsia="宋体"/>
                <w:color w:val="000000"/>
                <w:sz w:val="21"/>
                <w:szCs w:val="21"/>
              </w:rPr>
              <w:t>有多少模块被关闭？__________</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32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661" w:type="dxa"/>
            <w:gridSpan w:val="4"/>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652" w:type="dxa"/>
            <w:gridSpan w:val="4"/>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ii.</w:t>
            </w:r>
          </w:p>
        </w:tc>
        <w:tc>
          <w:tcPr>
            <w:tcW w:w="5187" w:type="dxa"/>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如果有一些模块被搁置，PMA是否解决了未解决的缺陷？</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32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2.</w:t>
            </w:r>
          </w:p>
        </w:tc>
        <w:tc>
          <w:tcPr>
            <w:tcW w:w="6500" w:type="dxa"/>
            <w:gridSpan w:val="10"/>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color w:val="000000"/>
                <w:sz w:val="21"/>
                <w:szCs w:val="21"/>
              </w:rPr>
            </w:pPr>
            <w:r>
              <w:rPr>
                <w:rFonts w:eastAsia="宋体"/>
                <w:color w:val="000000"/>
                <w:sz w:val="21"/>
                <w:szCs w:val="21"/>
              </w:rPr>
              <w:t>申请人是否列出了关于器械或本申请的Q-</w:t>
            </w:r>
            <w:r>
              <w:rPr>
                <w:rFonts w:hint="eastAsia" w:eastAsia="宋体"/>
                <w:color w:val="000000"/>
                <w:sz w:val="21"/>
                <w:szCs w:val="21"/>
              </w:rPr>
              <w:t>申请</w:t>
            </w:r>
            <w:r>
              <w:rPr>
                <w:rFonts w:eastAsia="宋体"/>
                <w:color w:val="000000"/>
                <w:sz w:val="21"/>
                <w:szCs w:val="21"/>
              </w:rPr>
              <w:t>，其中FDA对PMA中与安全性和/或有效性有关的数据或信息的反馈是通过电子邮件或会议（当面或电话）提供的，或者说明以前没有与FDA就本申请进行Q-</w:t>
            </w:r>
            <w:r>
              <w:rPr>
                <w:rFonts w:hint="eastAsia" w:eastAsia="宋体"/>
                <w:color w:val="000000"/>
                <w:sz w:val="21"/>
                <w:szCs w:val="21"/>
              </w:rPr>
              <w:t>申请</w:t>
            </w:r>
            <w:r>
              <w:rPr>
                <w:rFonts w:eastAsia="宋体"/>
                <w:color w:val="000000"/>
                <w:sz w:val="21"/>
                <w:szCs w:val="21"/>
              </w:rPr>
              <w:t>互动？</w:t>
            </w:r>
          </w:p>
          <w:p>
            <w:pPr>
              <w:snapToGrid w:val="0"/>
              <w:jc w:val="both"/>
              <w:rPr>
                <w:rFonts w:eastAsia="宋体"/>
                <w:sz w:val="21"/>
                <w:szCs w:val="21"/>
              </w:rPr>
            </w:pPr>
          </w:p>
          <w:p>
            <w:pPr>
              <w:snapToGrid w:val="0"/>
              <w:jc w:val="both"/>
              <w:rPr>
                <w:rFonts w:eastAsia="宋体"/>
                <w:sz w:val="21"/>
                <w:szCs w:val="21"/>
              </w:rPr>
            </w:pPr>
            <w:r>
              <w:rPr>
                <w:rFonts w:eastAsia="宋体"/>
                <w:color w:val="000000"/>
                <w:sz w:val="21"/>
                <w:szCs w:val="21"/>
              </w:rPr>
              <w:t>如果申请人列出了Q-</w:t>
            </w:r>
            <w:r>
              <w:rPr>
                <w:rFonts w:hint="eastAsia" w:eastAsia="宋体"/>
                <w:color w:val="000000"/>
                <w:sz w:val="21"/>
                <w:szCs w:val="21"/>
              </w:rPr>
              <w:t>申请</w:t>
            </w:r>
            <w:r>
              <w:rPr>
                <w:rFonts w:eastAsia="宋体"/>
                <w:color w:val="000000"/>
                <w:sz w:val="21"/>
                <w:szCs w:val="21"/>
              </w:rPr>
              <w:t>，请回答</w:t>
            </w:r>
            <w:r>
              <w:rPr>
                <w:rFonts w:hint="eastAsia" w:eastAsia="宋体"/>
                <w:color w:val="000000"/>
                <w:sz w:val="21"/>
                <w:szCs w:val="21"/>
              </w:rPr>
              <w:t>下面的</w:t>
            </w:r>
            <w:r>
              <w:rPr>
                <w:rFonts w:eastAsia="宋体"/>
                <w:color w:val="000000"/>
                <w:sz w:val="21"/>
                <w:szCs w:val="21"/>
              </w:rPr>
              <w:t>适用问题。</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pageBreakBefore/>
              <w:snapToGrid w:val="0"/>
              <w:jc w:val="both"/>
              <w:rPr>
                <w:rFonts w:eastAsia="宋体"/>
                <w:sz w:val="21"/>
                <w:szCs w:val="21"/>
              </w:rPr>
            </w:pPr>
          </w:p>
        </w:tc>
        <w:tc>
          <w:tcPr>
            <w:tcW w:w="32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661" w:type="dxa"/>
            <w:gridSpan w:val="4"/>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a.</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tabs>
                <w:tab w:val="left" w:leader="underscore" w:pos="4027"/>
              </w:tabs>
              <w:snapToGrid w:val="0"/>
              <w:jc w:val="both"/>
              <w:rPr>
                <w:rFonts w:eastAsia="宋体"/>
                <w:sz w:val="21"/>
                <w:szCs w:val="21"/>
              </w:rPr>
            </w:pPr>
            <w:r>
              <w:rPr>
                <w:rFonts w:eastAsia="宋体"/>
                <w:color w:val="000000"/>
                <w:sz w:val="21"/>
                <w:szCs w:val="21"/>
              </w:rPr>
              <w:t>Q-</w:t>
            </w:r>
            <w:r>
              <w:rPr>
                <w:rFonts w:hint="eastAsia" w:eastAsia="宋体"/>
                <w:color w:val="000000"/>
                <w:sz w:val="21"/>
                <w:szCs w:val="21"/>
              </w:rPr>
              <w:t>申请</w:t>
            </w:r>
            <w:r>
              <w:rPr>
                <w:rFonts w:eastAsia="宋体"/>
                <w:color w:val="000000"/>
                <w:sz w:val="21"/>
                <w:szCs w:val="21"/>
              </w:rPr>
              <w:t>编号____________________</w:t>
            </w:r>
          </w:p>
          <w:p>
            <w:pPr>
              <w:tabs>
                <w:tab w:val="left" w:leader="underscore" w:pos="6384"/>
              </w:tabs>
              <w:snapToGrid w:val="0"/>
              <w:jc w:val="both"/>
              <w:rPr>
                <w:rFonts w:eastAsia="宋体"/>
                <w:sz w:val="21"/>
                <w:szCs w:val="21"/>
              </w:rPr>
            </w:pPr>
            <w:r>
              <w:rPr>
                <w:rFonts w:eastAsia="宋体"/>
                <w:color w:val="000000"/>
                <w:sz w:val="21"/>
                <w:szCs w:val="21"/>
              </w:rPr>
              <w:t>会议日期（如适用）___________________________</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32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661" w:type="dxa"/>
            <w:gridSpan w:val="4"/>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b.</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每次会议的记录副本或其他书面反馈？</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rPr>
          <w:trHeight w:val="340" w:hRule="atLeast"/>
        </w:trPr>
        <w:tc>
          <w:tcPr>
            <w:tcW w:w="49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328"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661" w:type="dxa"/>
            <w:gridSpan w:val="4"/>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c.</w:t>
            </w:r>
          </w:p>
        </w:tc>
        <w:tc>
          <w:tcPr>
            <w:tcW w:w="5839" w:type="dxa"/>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所有工作人员先前在Q-</w:t>
            </w:r>
            <w:r>
              <w:rPr>
                <w:rFonts w:hint="eastAsia" w:eastAsia="宋体"/>
                <w:color w:val="000000"/>
                <w:sz w:val="21"/>
                <w:szCs w:val="21"/>
              </w:rPr>
              <w:t>申请</w:t>
            </w:r>
            <w:r>
              <w:rPr>
                <w:rFonts w:eastAsia="宋体"/>
                <w:color w:val="000000"/>
                <w:sz w:val="21"/>
                <w:szCs w:val="21"/>
              </w:rPr>
              <w:t>会议记录中向申请人提出的</w:t>
            </w:r>
            <w:r>
              <w:rPr>
                <w:rFonts w:hint="eastAsia" w:eastAsia="宋体"/>
                <w:color w:val="000000"/>
                <w:sz w:val="21"/>
                <w:szCs w:val="21"/>
              </w:rPr>
              <w:t>关切</w:t>
            </w:r>
            <w:r>
              <w:rPr>
                <w:rFonts w:eastAsia="宋体"/>
                <w:color w:val="000000"/>
                <w:sz w:val="21"/>
                <w:szCs w:val="21"/>
              </w:rPr>
              <w:t>或行动项目或反馈意见是否在PMA中得到解决，或者申请人是否为</w:t>
            </w:r>
            <w:r>
              <w:rPr>
                <w:rFonts w:hint="eastAsia" w:eastAsia="宋体"/>
                <w:color w:val="000000"/>
                <w:sz w:val="21"/>
                <w:szCs w:val="21"/>
              </w:rPr>
              <w:t>替代</w:t>
            </w:r>
            <w:r>
              <w:rPr>
                <w:rFonts w:eastAsia="宋体"/>
                <w:color w:val="000000"/>
                <w:sz w:val="21"/>
                <w:szCs w:val="21"/>
              </w:rPr>
              <w:t>方法提供了详细的科学或临床理由？</w:t>
            </w:r>
          </w:p>
        </w:tc>
        <w:tc>
          <w:tcPr>
            <w:tcW w:w="48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67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98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bl>
    <w:p>
      <w:pPr>
        <w:snapToGrid w:val="0"/>
        <w:spacing w:after="240" w:afterLines="100"/>
        <w:jc w:val="both"/>
        <w:rPr>
          <w:rFonts w:eastAsia="宋体"/>
          <w:sz w:val="21"/>
          <w:szCs w:val="21"/>
        </w:rPr>
        <w:sectPr>
          <w:pgSz w:w="11906" w:h="16838"/>
          <w:pgMar w:top="1134" w:right="1134" w:bottom="1134" w:left="1418" w:header="567" w:footer="567" w:gutter="0"/>
          <w:cols w:space="60" w:num="1"/>
          <w:docGrid w:linePitch="272" w:charSpace="0"/>
        </w:sectPr>
      </w:pPr>
    </w:p>
    <w:tbl>
      <w:tblPr>
        <w:tblStyle w:val="9"/>
        <w:tblW w:w="5000" w:type="pct"/>
        <w:tblInd w:w="0" w:type="dxa"/>
        <w:tblLayout w:type="autofit"/>
        <w:tblCellMar>
          <w:top w:w="57" w:type="dxa"/>
          <w:left w:w="57" w:type="dxa"/>
          <w:bottom w:w="57" w:type="dxa"/>
          <w:right w:w="57" w:type="dxa"/>
        </w:tblCellMar>
      </w:tblPr>
      <w:tblGrid>
        <w:gridCol w:w="1214"/>
        <w:gridCol w:w="7205"/>
        <w:gridCol w:w="523"/>
        <w:gridCol w:w="526"/>
      </w:tblGrid>
      <w:tr>
        <w:tc>
          <w:tcPr>
            <w:tcW w:w="5000" w:type="pct"/>
            <w:gridSpan w:val="4"/>
            <w:tcBorders>
              <w:top w:val="single" w:color="auto" w:sz="4" w:space="0"/>
              <w:left w:val="single" w:color="auto" w:sz="4" w:space="0"/>
              <w:bottom w:val="single" w:color="auto" w:sz="4" w:space="0"/>
              <w:right w:val="single" w:color="auto" w:sz="4" w:space="0"/>
            </w:tcBorders>
            <w:shd w:val="clear" w:color="auto" w:fill="99CBFE"/>
            <w:tcMar>
              <w:left w:w="57" w:type="dxa"/>
              <w:right w:w="57" w:type="dxa"/>
            </w:tcMar>
            <w:vAlign w:val="center"/>
          </w:tcPr>
          <w:p>
            <w:pPr>
              <w:snapToGrid w:val="0"/>
              <w:jc w:val="center"/>
              <w:rPr>
                <w:rFonts w:eastAsia="宋体"/>
                <w:sz w:val="21"/>
                <w:szCs w:val="21"/>
                <w:u w:val="single"/>
              </w:rPr>
            </w:pPr>
            <w:r>
              <w:rPr>
                <w:rFonts w:hint="eastAsia" w:eastAsia="宋体"/>
                <w:b/>
                <w:bCs/>
                <w:color w:val="000000"/>
                <w:sz w:val="21"/>
                <w:szCs w:val="21"/>
                <w:u w:val="single"/>
              </w:rPr>
              <w:t>验收</w:t>
            </w:r>
            <w:r>
              <w:rPr>
                <w:rFonts w:eastAsia="宋体"/>
                <w:b/>
                <w:bCs/>
                <w:color w:val="000000"/>
                <w:sz w:val="21"/>
                <w:szCs w:val="21"/>
                <w:u w:val="single"/>
              </w:rPr>
              <w:t>决定问题</w:t>
            </w:r>
          </w:p>
        </w:tc>
      </w:tr>
      <w:tr>
        <w:tblPrEx>
          <w:tblCellMar>
            <w:top w:w="57" w:type="dxa"/>
            <w:left w:w="57" w:type="dxa"/>
            <w:bottom w:w="57" w:type="dxa"/>
            <w:right w:w="57" w:type="dxa"/>
          </w:tblCellMar>
        </w:tblPrEx>
        <w:tc>
          <w:tcPr>
            <w:tcW w:w="5000" w:type="pct"/>
            <w:gridSpan w:val="4"/>
            <w:tcBorders>
              <w:top w:val="single" w:color="auto" w:sz="4" w:space="0"/>
              <w:left w:val="single" w:color="auto" w:sz="6" w:space="0"/>
              <w:bottom w:val="single" w:color="auto" w:sz="6" w:space="0"/>
              <w:right w:val="single" w:color="auto" w:sz="6" w:space="0"/>
            </w:tcBorders>
            <w:shd w:val="clear" w:color="auto" w:fill="99CBFE"/>
            <w:tcMar>
              <w:left w:w="57" w:type="dxa"/>
              <w:right w:w="57" w:type="dxa"/>
            </w:tcMar>
          </w:tcPr>
          <w:p>
            <w:pPr>
              <w:snapToGrid w:val="0"/>
              <w:jc w:val="both"/>
              <w:rPr>
                <w:rFonts w:eastAsia="宋体"/>
                <w:sz w:val="21"/>
                <w:szCs w:val="21"/>
              </w:rPr>
            </w:pPr>
            <w:r>
              <w:rPr>
                <w:rFonts w:eastAsia="宋体"/>
                <w:b/>
                <w:bCs/>
                <w:color w:val="000000"/>
                <w:sz w:val="21"/>
                <w:szCs w:val="21"/>
              </w:rPr>
              <w:t>回答</w:t>
            </w:r>
            <w:r>
              <w:rPr>
                <w:rFonts w:ascii="宋体" w:hAnsi="宋体" w:eastAsia="宋体"/>
                <w:b/>
                <w:bCs/>
                <w:color w:val="000000"/>
                <w:sz w:val="21"/>
                <w:szCs w:val="21"/>
              </w:rPr>
              <w:t>“</w:t>
            </w:r>
            <w:r>
              <w:rPr>
                <w:rFonts w:eastAsia="宋体"/>
                <w:b/>
                <w:bCs/>
                <w:color w:val="000000"/>
                <w:sz w:val="21"/>
                <w:szCs w:val="21"/>
              </w:rPr>
              <w:t>否</w:t>
            </w:r>
            <w:r>
              <w:rPr>
                <w:rFonts w:hint="eastAsia" w:ascii="宋体" w:hAnsi="宋体" w:eastAsia="宋体"/>
                <w:b/>
                <w:bCs/>
                <w:color w:val="000000"/>
                <w:sz w:val="21"/>
                <w:szCs w:val="21"/>
              </w:rPr>
              <w:t>”</w:t>
            </w:r>
            <w:r>
              <w:rPr>
                <w:rFonts w:hint="eastAsia" w:eastAsia="宋体"/>
                <w:b/>
                <w:bCs/>
                <w:color w:val="000000"/>
                <w:sz w:val="21"/>
                <w:szCs w:val="21"/>
              </w:rPr>
              <w:t>会</w:t>
            </w:r>
            <w:r>
              <w:rPr>
                <w:rFonts w:eastAsia="宋体"/>
                <w:b/>
                <w:bCs/>
                <w:color w:val="000000"/>
                <w:sz w:val="21"/>
                <w:szCs w:val="21"/>
              </w:rPr>
              <w:t>导致RTA决定。</w:t>
            </w:r>
          </w:p>
        </w:tc>
      </w:tr>
      <w:tr>
        <w:tblPrEx>
          <w:tblCellMar>
            <w:top w:w="57" w:type="dxa"/>
            <w:left w:w="57" w:type="dxa"/>
            <w:bottom w:w="57" w:type="dxa"/>
            <w:right w:w="57" w:type="dxa"/>
          </w:tblCellMar>
        </w:tblPrEx>
        <w:tc>
          <w:tcPr>
            <w:tcW w:w="641" w:type="pct"/>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pPr>
              <w:snapToGrid w:val="0"/>
              <w:jc w:val="both"/>
              <w:rPr>
                <w:rFonts w:eastAsia="宋体"/>
                <w:sz w:val="21"/>
                <w:szCs w:val="21"/>
              </w:rPr>
            </w:pPr>
          </w:p>
        </w:tc>
        <w:tc>
          <w:tcPr>
            <w:tcW w:w="3805" w:type="pct"/>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pPr>
              <w:snapToGrid w:val="0"/>
              <w:jc w:val="both"/>
              <w:rPr>
                <w:rFonts w:eastAsia="宋体"/>
                <w:sz w:val="21"/>
                <w:szCs w:val="21"/>
              </w:rPr>
            </w:pPr>
          </w:p>
        </w:tc>
        <w:tc>
          <w:tcPr>
            <w:tcW w:w="276" w:type="pct"/>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pPr>
              <w:snapToGrid w:val="0"/>
              <w:jc w:val="center"/>
              <w:rPr>
                <w:rFonts w:eastAsia="宋体"/>
                <w:sz w:val="21"/>
                <w:szCs w:val="21"/>
              </w:rPr>
            </w:pPr>
            <w:r>
              <w:rPr>
                <w:rFonts w:eastAsia="宋体"/>
                <w:b/>
                <w:bCs/>
                <w:color w:val="000000"/>
                <w:sz w:val="21"/>
                <w:szCs w:val="21"/>
              </w:rPr>
              <w:t>是</w:t>
            </w:r>
          </w:p>
        </w:tc>
        <w:tc>
          <w:tcPr>
            <w:tcW w:w="278" w:type="pct"/>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pPr>
              <w:snapToGrid w:val="0"/>
              <w:jc w:val="center"/>
              <w:rPr>
                <w:rFonts w:eastAsia="宋体"/>
                <w:sz w:val="21"/>
                <w:szCs w:val="21"/>
              </w:rPr>
            </w:pPr>
            <w:r>
              <w:rPr>
                <w:rFonts w:eastAsia="宋体"/>
                <w:b/>
                <w:bCs/>
                <w:color w:val="000000"/>
                <w:sz w:val="21"/>
                <w:szCs w:val="21"/>
              </w:rPr>
              <w:t>否</w:t>
            </w:r>
          </w:p>
        </w:tc>
      </w:tr>
      <w:tr>
        <w:tblPrEx>
          <w:tblCellMar>
            <w:top w:w="57" w:type="dxa"/>
            <w:left w:w="57" w:type="dxa"/>
            <w:bottom w:w="57" w:type="dxa"/>
            <w:right w:w="57" w:type="dxa"/>
          </w:tblCellMar>
        </w:tblPrEx>
        <w:tc>
          <w:tcPr>
            <w:tcW w:w="641"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b/>
                <w:bCs/>
                <w:color w:val="000000"/>
                <w:sz w:val="21"/>
                <w:szCs w:val="21"/>
              </w:rPr>
              <w:t>决定1</w:t>
            </w:r>
          </w:p>
        </w:tc>
        <w:tc>
          <w:tcPr>
            <w:tcW w:w="3805"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b/>
                <w:bCs/>
                <w:color w:val="000000"/>
                <w:sz w:val="21"/>
                <w:szCs w:val="21"/>
              </w:rPr>
            </w:pPr>
            <w:r>
              <w:rPr>
                <w:rFonts w:eastAsia="宋体"/>
                <w:b/>
                <w:bCs/>
                <w:color w:val="000000"/>
                <w:sz w:val="21"/>
                <w:szCs w:val="21"/>
              </w:rPr>
              <w:t>PMA是否完整？</w:t>
            </w:r>
          </w:p>
          <w:p>
            <w:pPr>
              <w:snapToGrid w:val="0"/>
              <w:jc w:val="both"/>
              <w:rPr>
                <w:rFonts w:eastAsia="宋体"/>
                <w:sz w:val="21"/>
                <w:szCs w:val="21"/>
              </w:rPr>
            </w:pPr>
          </w:p>
          <w:p>
            <w:pPr>
              <w:snapToGrid w:val="0"/>
              <w:jc w:val="both"/>
              <w:rPr>
                <w:rFonts w:eastAsia="宋体"/>
                <w:sz w:val="21"/>
                <w:szCs w:val="21"/>
              </w:rPr>
            </w:pPr>
            <w:r>
              <w:rPr>
                <w:rFonts w:eastAsia="宋体"/>
                <w:b/>
                <w:bCs/>
                <w:color w:val="000000"/>
                <w:sz w:val="21"/>
                <w:szCs w:val="21"/>
              </w:rPr>
              <w:t>如果从表面上看，PMA缺少一个或多个所需的要素（以上确定），请回答</w:t>
            </w:r>
            <w:r>
              <w:rPr>
                <w:rFonts w:ascii="宋体" w:hAnsi="宋体" w:eastAsia="宋体"/>
                <w:b/>
                <w:bCs/>
                <w:color w:val="000000"/>
                <w:sz w:val="21"/>
                <w:szCs w:val="21"/>
              </w:rPr>
              <w:t>“</w:t>
            </w:r>
            <w:r>
              <w:rPr>
                <w:rFonts w:eastAsia="宋体"/>
                <w:b/>
                <w:bCs/>
                <w:color w:val="000000"/>
                <w:sz w:val="21"/>
                <w:szCs w:val="21"/>
              </w:rPr>
              <w:t>否</w:t>
            </w:r>
            <w:r>
              <w:rPr>
                <w:rFonts w:ascii="宋体" w:hAnsi="宋体" w:eastAsia="宋体"/>
                <w:b/>
                <w:bCs/>
                <w:color w:val="000000"/>
                <w:sz w:val="21"/>
                <w:szCs w:val="21"/>
              </w:rPr>
              <w:t>”</w:t>
            </w:r>
            <w:r>
              <w:rPr>
                <w:rFonts w:eastAsia="宋体"/>
                <w:b/>
                <w:bCs/>
                <w:color w:val="000000"/>
                <w:sz w:val="21"/>
                <w:szCs w:val="21"/>
              </w:rPr>
              <w:t>。</w:t>
            </w:r>
          </w:p>
        </w:tc>
        <w:tc>
          <w:tcPr>
            <w:tcW w:w="276"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278"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c>
          <w:tcPr>
            <w:tcW w:w="641"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b/>
                <w:bCs/>
                <w:color w:val="000000"/>
                <w:sz w:val="21"/>
                <w:szCs w:val="21"/>
              </w:rPr>
              <w:t>决定2</w:t>
            </w:r>
          </w:p>
        </w:tc>
        <w:tc>
          <w:tcPr>
            <w:tcW w:w="3805"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b/>
                <w:bCs/>
                <w:color w:val="000000"/>
                <w:sz w:val="21"/>
                <w:szCs w:val="21"/>
              </w:rPr>
            </w:pPr>
            <w:r>
              <w:rPr>
                <w:rFonts w:eastAsia="宋体"/>
                <w:b/>
                <w:bCs/>
                <w:color w:val="000000"/>
                <w:sz w:val="21"/>
                <w:szCs w:val="21"/>
              </w:rPr>
              <w:t>仅从行政审评来看，PMA是否包括似乎构成有效科学证据的信息？</w:t>
            </w:r>
          </w:p>
          <w:p>
            <w:pPr>
              <w:snapToGrid w:val="0"/>
              <w:jc w:val="both"/>
              <w:rPr>
                <w:rFonts w:eastAsia="宋体"/>
                <w:sz w:val="21"/>
                <w:szCs w:val="21"/>
              </w:rPr>
            </w:pPr>
          </w:p>
          <w:p>
            <w:pPr>
              <w:snapToGrid w:val="0"/>
              <w:jc w:val="both"/>
              <w:rPr>
                <w:rFonts w:eastAsia="宋体"/>
                <w:sz w:val="21"/>
                <w:szCs w:val="21"/>
              </w:rPr>
            </w:pPr>
            <w:r>
              <w:rPr>
                <w:rFonts w:eastAsia="宋体"/>
                <w:b/>
                <w:bCs/>
                <w:color w:val="000000"/>
                <w:sz w:val="21"/>
                <w:szCs w:val="21"/>
              </w:rPr>
              <w:t>只有在明确PMA仅由21 CFR 860.7确定的不构成有效科学证据的信息支持时才回答</w:t>
            </w:r>
            <w:r>
              <w:rPr>
                <w:rFonts w:ascii="宋体" w:hAnsi="宋体" w:eastAsia="宋体"/>
                <w:b/>
                <w:bCs/>
                <w:color w:val="000000"/>
                <w:sz w:val="21"/>
                <w:szCs w:val="21"/>
              </w:rPr>
              <w:t>“</w:t>
            </w:r>
            <w:r>
              <w:rPr>
                <w:rFonts w:eastAsia="宋体"/>
                <w:b/>
                <w:bCs/>
                <w:color w:val="000000"/>
                <w:sz w:val="21"/>
                <w:szCs w:val="21"/>
              </w:rPr>
              <w:t>否</w:t>
            </w:r>
            <w:r>
              <w:rPr>
                <w:rFonts w:ascii="宋体" w:hAnsi="宋体" w:eastAsia="宋体"/>
                <w:b/>
                <w:bCs/>
                <w:color w:val="000000"/>
                <w:sz w:val="21"/>
                <w:szCs w:val="21"/>
              </w:rPr>
              <w:t>”</w:t>
            </w:r>
            <w:r>
              <w:rPr>
                <w:rFonts w:eastAsia="宋体"/>
                <w:b/>
                <w:bCs/>
                <w:color w:val="000000"/>
                <w:sz w:val="21"/>
                <w:szCs w:val="21"/>
              </w:rPr>
              <w:t>。</w:t>
            </w:r>
          </w:p>
          <w:p>
            <w:pPr>
              <w:snapToGrid w:val="0"/>
              <w:ind w:left="410" w:leftChars="100" w:hanging="210" w:hangingChars="10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孤立的病例报告</w:t>
            </w:r>
          </w:p>
          <w:p>
            <w:pPr>
              <w:snapToGrid w:val="0"/>
              <w:ind w:left="410" w:leftChars="100" w:hanging="210" w:hangingChars="10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随机经验</w:t>
            </w:r>
          </w:p>
          <w:p>
            <w:pPr>
              <w:snapToGrid w:val="0"/>
              <w:ind w:left="410" w:leftChars="100" w:hanging="210" w:hangingChars="10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报告缺乏足够的细节，无法进行科学评</w:t>
            </w:r>
            <w:r>
              <w:rPr>
                <w:rFonts w:hint="eastAsia" w:eastAsia="宋体"/>
                <w:b/>
                <w:bCs/>
                <w:color w:val="000000"/>
                <w:sz w:val="21"/>
                <w:szCs w:val="21"/>
              </w:rPr>
              <w:t>价</w:t>
            </w:r>
          </w:p>
          <w:p>
            <w:pPr>
              <w:snapToGrid w:val="0"/>
              <w:ind w:left="410" w:leftChars="100" w:hanging="210" w:hangingChars="10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b/>
                <w:bCs/>
                <w:color w:val="000000"/>
                <w:sz w:val="21"/>
                <w:szCs w:val="21"/>
              </w:rPr>
              <w:t>未经证实的意见</w:t>
            </w:r>
          </w:p>
          <w:p>
            <w:pPr>
              <w:snapToGrid w:val="0"/>
              <w:jc w:val="both"/>
              <w:rPr>
                <w:rFonts w:eastAsia="宋体"/>
                <w:b/>
                <w:bCs/>
                <w:color w:val="000000"/>
                <w:sz w:val="21"/>
                <w:szCs w:val="21"/>
              </w:rPr>
            </w:pPr>
          </w:p>
          <w:p>
            <w:pPr>
              <w:snapToGrid w:val="0"/>
              <w:jc w:val="both"/>
              <w:rPr>
                <w:rFonts w:eastAsia="宋体"/>
                <w:b/>
                <w:bCs/>
                <w:color w:val="000000"/>
                <w:sz w:val="21"/>
                <w:szCs w:val="21"/>
              </w:rPr>
            </w:pPr>
            <w:r>
              <w:rPr>
                <w:rFonts w:eastAsia="宋体"/>
                <w:b/>
                <w:bCs/>
                <w:color w:val="000000"/>
                <w:sz w:val="21"/>
                <w:szCs w:val="21"/>
              </w:rPr>
              <w:t>意见：</w:t>
            </w:r>
          </w:p>
          <w:p>
            <w:pPr>
              <w:snapToGrid w:val="0"/>
              <w:jc w:val="both"/>
              <w:rPr>
                <w:rFonts w:eastAsia="宋体"/>
                <w:sz w:val="21"/>
                <w:szCs w:val="21"/>
              </w:rPr>
            </w:pPr>
          </w:p>
        </w:tc>
        <w:tc>
          <w:tcPr>
            <w:tcW w:w="276"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278"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c>
          <w:tcPr>
            <w:tcW w:w="641" w:type="pct"/>
            <w:tcBorders>
              <w:top w:val="single" w:color="auto" w:sz="6" w:space="0"/>
              <w:left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b/>
                <w:bCs/>
                <w:color w:val="000000"/>
                <w:sz w:val="21"/>
                <w:szCs w:val="21"/>
              </w:rPr>
              <w:t>决定3</w:t>
            </w:r>
          </w:p>
        </w:tc>
        <w:tc>
          <w:tcPr>
            <w:tcW w:w="3805" w:type="pct"/>
            <w:tcBorders>
              <w:top w:val="single" w:color="auto" w:sz="6" w:space="0"/>
              <w:left w:val="single" w:color="auto" w:sz="6" w:space="0"/>
              <w:right w:val="single" w:color="auto" w:sz="6" w:space="0"/>
            </w:tcBorders>
            <w:shd w:val="clear" w:color="auto" w:fill="FFFFFF"/>
            <w:tcMar>
              <w:left w:w="57" w:type="dxa"/>
              <w:right w:w="57" w:type="dxa"/>
            </w:tcMar>
          </w:tcPr>
          <w:p>
            <w:pPr>
              <w:snapToGrid w:val="0"/>
              <w:jc w:val="both"/>
              <w:rPr>
                <w:rFonts w:eastAsia="宋体"/>
                <w:b/>
                <w:bCs/>
                <w:color w:val="000000"/>
                <w:sz w:val="21"/>
                <w:szCs w:val="21"/>
              </w:rPr>
            </w:pPr>
            <w:r>
              <w:rPr>
                <w:rFonts w:eastAsia="宋体"/>
                <w:b/>
                <w:bCs/>
                <w:color w:val="000000"/>
                <w:sz w:val="21"/>
                <w:szCs w:val="21"/>
              </w:rPr>
              <w:t>在提交PMA申请前</w:t>
            </w:r>
            <w:r>
              <w:rPr>
                <w:rFonts w:hint="eastAsia" w:eastAsia="宋体"/>
                <w:b/>
                <w:bCs/>
                <w:color w:val="000000"/>
                <w:sz w:val="21"/>
                <w:szCs w:val="21"/>
              </w:rPr>
              <w:t>，</w:t>
            </w:r>
            <w:r>
              <w:rPr>
                <w:rFonts w:eastAsia="宋体"/>
                <w:b/>
                <w:bCs/>
                <w:color w:val="000000"/>
                <w:sz w:val="21"/>
                <w:szCs w:val="21"/>
              </w:rPr>
              <w:t>PMA是否解决了FDA确定的关键非临床和临床问题？</w:t>
            </w:r>
          </w:p>
          <w:p>
            <w:pPr>
              <w:snapToGrid w:val="0"/>
              <w:jc w:val="both"/>
              <w:rPr>
                <w:rFonts w:eastAsia="宋体"/>
                <w:sz w:val="21"/>
                <w:szCs w:val="21"/>
              </w:rPr>
            </w:pPr>
          </w:p>
          <w:p>
            <w:pPr>
              <w:snapToGrid w:val="0"/>
              <w:jc w:val="both"/>
              <w:rPr>
                <w:rFonts w:eastAsia="宋体"/>
                <w:sz w:val="21"/>
                <w:szCs w:val="21"/>
              </w:rPr>
            </w:pPr>
            <w:r>
              <w:rPr>
                <w:rFonts w:eastAsia="宋体"/>
                <w:b/>
                <w:bCs/>
                <w:color w:val="000000"/>
                <w:sz w:val="21"/>
                <w:szCs w:val="21"/>
              </w:rPr>
              <w:t>或</w:t>
            </w:r>
          </w:p>
          <w:p>
            <w:pPr>
              <w:snapToGrid w:val="0"/>
              <w:jc w:val="both"/>
              <w:rPr>
                <w:rFonts w:eastAsia="宋体"/>
                <w:sz w:val="21"/>
                <w:szCs w:val="21"/>
              </w:rPr>
            </w:pPr>
          </w:p>
        </w:tc>
        <w:tc>
          <w:tcPr>
            <w:tcW w:w="276" w:type="pct"/>
            <w:tcBorders>
              <w:top w:val="single" w:color="auto" w:sz="6" w:space="0"/>
              <w:left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278" w:type="pct"/>
            <w:tcBorders>
              <w:top w:val="single" w:color="auto" w:sz="6" w:space="0"/>
              <w:left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c>
          <w:tcPr>
            <w:tcW w:w="641" w:type="pct"/>
            <w:tcBorders>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b/>
                <w:bCs/>
                <w:color w:val="000000"/>
                <w:sz w:val="21"/>
                <w:szCs w:val="21"/>
              </w:rPr>
            </w:pPr>
          </w:p>
        </w:tc>
        <w:tc>
          <w:tcPr>
            <w:tcW w:w="3805" w:type="pct"/>
            <w:tcBorders>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b/>
                <w:bCs/>
                <w:color w:val="000000"/>
                <w:sz w:val="21"/>
                <w:szCs w:val="21"/>
              </w:rPr>
            </w:pPr>
            <w:r>
              <w:rPr>
                <w:rFonts w:eastAsia="宋体"/>
                <w:b/>
                <w:bCs/>
                <w:color w:val="000000"/>
                <w:sz w:val="21"/>
                <w:szCs w:val="21"/>
              </w:rPr>
              <w:t>申请人是否为该替代方法提供了详细的科学或临床理由？</w:t>
            </w:r>
          </w:p>
          <w:p>
            <w:pPr>
              <w:snapToGrid w:val="0"/>
              <w:jc w:val="both"/>
              <w:rPr>
                <w:rFonts w:eastAsia="宋体"/>
                <w:sz w:val="21"/>
                <w:szCs w:val="21"/>
              </w:rPr>
            </w:pPr>
          </w:p>
          <w:p>
            <w:pPr>
              <w:snapToGrid w:val="0"/>
              <w:jc w:val="both"/>
              <w:rPr>
                <w:rFonts w:eastAsia="宋体"/>
                <w:b/>
                <w:bCs/>
                <w:i/>
                <w:iCs/>
                <w:color w:val="000000"/>
                <w:sz w:val="21"/>
                <w:szCs w:val="21"/>
              </w:rPr>
            </w:pPr>
            <w:r>
              <w:rPr>
                <w:rFonts w:eastAsia="宋体"/>
                <w:b/>
                <w:bCs/>
                <w:i/>
                <w:iCs/>
                <w:color w:val="000000"/>
                <w:sz w:val="21"/>
                <w:szCs w:val="21"/>
              </w:rPr>
              <w:t>对这一标准的解释参见指</w:t>
            </w:r>
            <w:r>
              <w:rPr>
                <w:rFonts w:hint="eastAsia" w:eastAsia="宋体"/>
                <w:b/>
                <w:bCs/>
                <w:i/>
                <w:iCs/>
                <w:color w:val="000000"/>
                <w:sz w:val="21"/>
                <w:szCs w:val="21"/>
              </w:rPr>
              <w:t>南</w:t>
            </w:r>
            <w:r>
              <w:rPr>
                <w:rFonts w:eastAsia="宋体"/>
                <w:b/>
                <w:bCs/>
                <w:i/>
                <w:iCs/>
                <w:color w:val="000000"/>
                <w:sz w:val="21"/>
                <w:szCs w:val="21"/>
              </w:rPr>
              <w:t>文件（</w:t>
            </w:r>
            <w:r>
              <w:rPr>
                <w:rFonts w:eastAsia="宋体"/>
                <w:b/>
                <w:bCs/>
                <w:color w:val="000000"/>
                <w:sz w:val="21"/>
                <w:szCs w:val="21"/>
              </w:rPr>
              <w:t>上市前批准申请（PMA）的</w:t>
            </w:r>
            <w:r>
              <w:rPr>
                <w:rFonts w:hint="eastAsia" w:eastAsia="宋体"/>
                <w:b/>
                <w:bCs/>
                <w:color w:val="000000"/>
                <w:sz w:val="21"/>
                <w:szCs w:val="21"/>
              </w:rPr>
              <w:t>验收</w:t>
            </w:r>
            <w:r>
              <w:rPr>
                <w:rFonts w:eastAsia="宋体"/>
                <w:b/>
                <w:bCs/>
                <w:color w:val="000000"/>
                <w:sz w:val="21"/>
                <w:szCs w:val="21"/>
              </w:rPr>
              <w:t>和</w:t>
            </w:r>
            <w:r>
              <w:rPr>
                <w:rFonts w:hint="eastAsia" w:eastAsia="宋体"/>
                <w:b/>
                <w:bCs/>
                <w:color w:val="000000"/>
                <w:sz w:val="21"/>
                <w:szCs w:val="21"/>
              </w:rPr>
              <w:t>备案</w:t>
            </w:r>
            <w:r>
              <w:rPr>
                <w:rFonts w:eastAsia="宋体"/>
                <w:b/>
                <w:bCs/>
                <w:color w:val="000000"/>
                <w:sz w:val="21"/>
                <w:szCs w:val="21"/>
              </w:rPr>
              <w:t>审评，第14-15页</w:t>
            </w:r>
            <w:r>
              <w:rPr>
                <w:rFonts w:eastAsia="宋体"/>
                <w:b/>
                <w:bCs/>
                <w:i/>
                <w:iCs/>
                <w:color w:val="000000"/>
                <w:sz w:val="21"/>
                <w:szCs w:val="21"/>
              </w:rPr>
              <w:t>）。</w:t>
            </w:r>
          </w:p>
          <w:p>
            <w:pPr>
              <w:snapToGrid w:val="0"/>
              <w:jc w:val="both"/>
              <w:rPr>
                <w:rFonts w:eastAsia="宋体"/>
                <w:b/>
                <w:bCs/>
                <w:color w:val="000000"/>
                <w:sz w:val="21"/>
                <w:szCs w:val="21"/>
              </w:rPr>
            </w:pPr>
          </w:p>
        </w:tc>
        <w:tc>
          <w:tcPr>
            <w:tcW w:w="276" w:type="pct"/>
            <w:tcBorders>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color w:val="000000"/>
                <w:sz w:val="21"/>
                <w:szCs w:val="21"/>
              </w:rPr>
            </w:pPr>
            <w:r>
              <w:rPr>
                <w:rFonts w:eastAsia="宋体"/>
                <w:color w:val="000000"/>
                <w:sz w:val="21"/>
                <w:szCs w:val="21"/>
              </w:rPr>
              <w:sym w:font="Wingdings 2" w:char="F0A3"/>
            </w:r>
          </w:p>
        </w:tc>
        <w:tc>
          <w:tcPr>
            <w:tcW w:w="278" w:type="pct"/>
            <w:tcBorders>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color w:val="000000"/>
                <w:sz w:val="21"/>
                <w:szCs w:val="21"/>
              </w:rPr>
            </w:pPr>
            <w:r>
              <w:rPr>
                <w:rFonts w:eastAsia="宋体"/>
                <w:color w:val="000000"/>
                <w:sz w:val="21"/>
                <w:szCs w:val="21"/>
              </w:rPr>
              <w:sym w:font="Wingdings 2" w:char="F0A3"/>
            </w:r>
          </w:p>
        </w:tc>
      </w:tr>
    </w:tbl>
    <w:p>
      <w:pPr>
        <w:snapToGrid w:val="0"/>
        <w:spacing w:before="240" w:beforeLines="100" w:after="240" w:afterLines="100"/>
        <w:jc w:val="both"/>
        <w:rPr>
          <w:rFonts w:eastAsia="宋体"/>
          <w:sz w:val="21"/>
          <w:szCs w:val="21"/>
        </w:rPr>
      </w:pPr>
      <w:r>
        <w:rPr>
          <w:rFonts w:eastAsia="宋体"/>
          <w:b/>
          <w:bCs/>
          <w:color w:val="000000"/>
          <w:sz w:val="21"/>
          <w:szCs w:val="21"/>
          <w:u w:val="single"/>
        </w:rPr>
        <w:t>决</w:t>
      </w:r>
      <w:r>
        <w:rPr>
          <w:rFonts w:hint="eastAsia" w:eastAsia="宋体"/>
          <w:b/>
          <w:bCs/>
          <w:color w:val="000000"/>
          <w:sz w:val="21"/>
          <w:szCs w:val="21"/>
          <w:u w:val="single"/>
        </w:rPr>
        <w:t>定</w:t>
      </w:r>
      <w:r>
        <w:rPr>
          <w:rFonts w:eastAsia="宋体"/>
          <w:b/>
          <w:bCs/>
          <w:color w:val="000000"/>
          <w:sz w:val="21"/>
          <w:szCs w:val="21"/>
        </w:rPr>
        <w:t>：</w:t>
      </w:r>
      <w:r>
        <w:rPr>
          <w:rFonts w:hint="eastAsia" w:eastAsia="宋体"/>
          <w:b/>
          <w:bCs/>
          <w:color w:val="000000"/>
          <w:sz w:val="21"/>
          <w:szCs w:val="21"/>
        </w:rPr>
        <w:t>验收</w:t>
      </w:r>
      <w:r>
        <w:rPr>
          <w:rFonts w:eastAsia="宋体"/>
          <w:b/>
          <w:bCs/>
          <w:color w:val="000000"/>
          <w:sz w:val="21"/>
          <w:szCs w:val="21"/>
        </w:rPr>
        <w:t xml:space="preserve"> ___ 拒绝</w:t>
      </w:r>
      <w:r>
        <w:rPr>
          <w:rFonts w:hint="eastAsia" w:eastAsia="宋体"/>
          <w:b/>
          <w:bCs/>
          <w:color w:val="000000"/>
          <w:sz w:val="21"/>
          <w:szCs w:val="21"/>
        </w:rPr>
        <w:t>验收</w:t>
      </w:r>
      <w:r>
        <w:rPr>
          <w:rFonts w:eastAsia="宋体"/>
          <w:b/>
          <w:bCs/>
          <w:color w:val="000000"/>
          <w:sz w:val="21"/>
          <w:szCs w:val="21"/>
        </w:rPr>
        <w:t xml:space="preserve"> ___</w:t>
      </w:r>
    </w:p>
    <w:p>
      <w:pPr>
        <w:snapToGrid w:val="0"/>
        <w:spacing w:after="240" w:afterLines="100"/>
        <w:ind w:firstLine="422" w:firstLineChars="200"/>
        <w:jc w:val="both"/>
        <w:rPr>
          <w:rFonts w:eastAsia="宋体"/>
          <w:sz w:val="21"/>
          <w:szCs w:val="21"/>
        </w:rPr>
      </w:pPr>
      <w:r>
        <w:rPr>
          <w:rFonts w:eastAsia="宋体"/>
          <w:b/>
          <w:bCs/>
          <w:color w:val="000000"/>
          <w:sz w:val="21"/>
          <w:szCs w:val="21"/>
        </w:rPr>
        <w:t>如果</w:t>
      </w:r>
      <w:r>
        <w:rPr>
          <w:rFonts w:hint="eastAsia" w:eastAsia="宋体"/>
          <w:b/>
          <w:bCs/>
          <w:color w:val="000000"/>
          <w:sz w:val="21"/>
          <w:szCs w:val="21"/>
        </w:rPr>
        <w:t>验收</w:t>
      </w:r>
      <w:r>
        <w:rPr>
          <w:rFonts w:eastAsia="宋体"/>
          <w:b/>
          <w:bCs/>
          <w:color w:val="000000"/>
          <w:sz w:val="21"/>
          <w:szCs w:val="21"/>
        </w:rPr>
        <w:t>，请通知申请人；如果拒绝</w:t>
      </w:r>
      <w:r>
        <w:rPr>
          <w:rFonts w:hint="eastAsia" w:eastAsia="宋体"/>
          <w:b/>
          <w:bCs/>
          <w:color w:val="000000"/>
          <w:sz w:val="21"/>
          <w:szCs w:val="21"/>
        </w:rPr>
        <w:t>验收</w:t>
      </w:r>
      <w:r>
        <w:rPr>
          <w:rFonts w:eastAsia="宋体"/>
          <w:b/>
          <w:bCs/>
          <w:color w:val="000000"/>
          <w:sz w:val="21"/>
          <w:szCs w:val="21"/>
        </w:rPr>
        <w:t>，请通知申请人并附上本检查表的副本。</w:t>
      </w:r>
    </w:p>
    <w:p>
      <w:pPr>
        <w:snapToGrid w:val="0"/>
        <w:spacing w:after="240" w:afterLines="100"/>
        <w:jc w:val="both"/>
        <w:rPr>
          <w:rFonts w:eastAsia="宋体"/>
          <w:sz w:val="21"/>
          <w:szCs w:val="21"/>
        </w:rPr>
      </w:pPr>
    </w:p>
    <w:p>
      <w:pPr>
        <w:snapToGrid w:val="0"/>
        <w:spacing w:after="240" w:afterLines="100"/>
        <w:jc w:val="both"/>
        <w:rPr>
          <w:rFonts w:eastAsia="宋体"/>
          <w:sz w:val="21"/>
          <w:szCs w:val="21"/>
        </w:rPr>
      </w:pPr>
    </w:p>
    <w:p>
      <w:pPr>
        <w:snapToGrid w:val="0"/>
        <w:spacing w:after="240" w:afterLines="100"/>
        <w:jc w:val="both"/>
        <w:rPr>
          <w:rFonts w:eastAsia="宋体"/>
          <w:sz w:val="21"/>
          <w:szCs w:val="21"/>
        </w:rPr>
        <w:sectPr>
          <w:pgSz w:w="11906" w:h="16838"/>
          <w:pgMar w:top="1134" w:right="1134" w:bottom="1134" w:left="1418" w:header="567" w:footer="567" w:gutter="0"/>
          <w:cols w:space="60" w:num="1"/>
          <w:docGrid w:linePitch="272" w:charSpace="0"/>
        </w:sectPr>
      </w:pPr>
    </w:p>
    <w:tbl>
      <w:tblPr>
        <w:tblStyle w:val="9"/>
        <w:tblW w:w="5000" w:type="pct"/>
        <w:tblInd w:w="0" w:type="dxa"/>
        <w:tblLayout w:type="autofit"/>
        <w:tblCellMar>
          <w:top w:w="57" w:type="dxa"/>
          <w:left w:w="57" w:type="dxa"/>
          <w:bottom w:w="57" w:type="dxa"/>
          <w:right w:w="57" w:type="dxa"/>
        </w:tblCellMar>
      </w:tblPr>
      <w:tblGrid>
        <w:gridCol w:w="3079"/>
        <w:gridCol w:w="6389"/>
      </w:tblGrid>
      <w:tr>
        <w:tblPrEx>
          <w:tblCellMar>
            <w:top w:w="57" w:type="dxa"/>
            <w:left w:w="57" w:type="dxa"/>
            <w:bottom w:w="57" w:type="dxa"/>
            <w:right w:w="57" w:type="dxa"/>
          </w:tblCellMar>
        </w:tblPrEx>
        <w:tc>
          <w:tcPr>
            <w:tcW w:w="5000" w:type="pct"/>
            <w:gridSpan w:val="2"/>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vAlign w:val="center"/>
          </w:tcPr>
          <w:p>
            <w:pPr>
              <w:snapToGrid w:val="0"/>
              <w:jc w:val="center"/>
              <w:rPr>
                <w:rFonts w:eastAsia="宋体"/>
                <w:sz w:val="21"/>
                <w:szCs w:val="21"/>
              </w:rPr>
            </w:pPr>
            <w:r>
              <w:rPr>
                <w:rFonts w:eastAsia="宋体"/>
                <w:b/>
                <w:bCs/>
                <w:color w:val="000000"/>
                <w:sz w:val="21"/>
                <w:szCs w:val="21"/>
              </w:rPr>
              <w:t>数字签名</w:t>
            </w:r>
            <w:r>
              <w:rPr>
                <w:rFonts w:hint="eastAsia" w:eastAsia="宋体"/>
                <w:b/>
                <w:bCs/>
                <w:color w:val="000000"/>
                <w:sz w:val="21"/>
                <w:szCs w:val="21"/>
              </w:rPr>
              <w:t>同意</w:t>
            </w:r>
            <w:r>
              <w:rPr>
                <w:rFonts w:eastAsia="宋体"/>
                <w:b/>
                <w:bCs/>
                <w:color w:val="000000"/>
                <w:sz w:val="21"/>
                <w:szCs w:val="21"/>
              </w:rPr>
              <w:t>表</w:t>
            </w:r>
          </w:p>
        </w:tc>
      </w:tr>
      <w:tr>
        <w:tblPrEx>
          <w:tblCellMar>
            <w:top w:w="57" w:type="dxa"/>
            <w:left w:w="57" w:type="dxa"/>
            <w:bottom w:w="57" w:type="dxa"/>
            <w:right w:w="57" w:type="dxa"/>
          </w:tblCellMar>
        </w:tblPrEx>
        <w:tc>
          <w:tcPr>
            <w:tcW w:w="1626"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审评员签名</w:t>
            </w:r>
          </w:p>
        </w:tc>
        <w:tc>
          <w:tcPr>
            <w:tcW w:w="3374"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p>
            <w:pPr>
              <w:snapToGrid w:val="0"/>
              <w:jc w:val="both"/>
              <w:rPr>
                <w:rFonts w:eastAsia="宋体"/>
                <w:sz w:val="21"/>
                <w:szCs w:val="21"/>
              </w:rPr>
            </w:pPr>
          </w:p>
          <w:p>
            <w:pPr>
              <w:snapToGrid w:val="0"/>
              <w:jc w:val="both"/>
              <w:rPr>
                <w:rFonts w:eastAsia="宋体"/>
                <w:sz w:val="21"/>
                <w:szCs w:val="21"/>
              </w:rPr>
            </w:pPr>
          </w:p>
          <w:p>
            <w:pPr>
              <w:snapToGrid w:val="0"/>
              <w:jc w:val="both"/>
              <w:rPr>
                <w:rFonts w:eastAsia="宋体"/>
                <w:sz w:val="21"/>
                <w:szCs w:val="21"/>
              </w:rPr>
            </w:pPr>
          </w:p>
        </w:tc>
      </w:tr>
      <w:tr>
        <w:tblPrEx>
          <w:tblCellMar>
            <w:top w:w="57" w:type="dxa"/>
            <w:left w:w="57" w:type="dxa"/>
            <w:bottom w:w="57" w:type="dxa"/>
            <w:right w:w="57" w:type="dxa"/>
          </w:tblCellMar>
        </w:tblPrEx>
        <w:tc>
          <w:tcPr>
            <w:tcW w:w="1626"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组长/主任助理签字确认</w:t>
            </w:r>
          </w:p>
        </w:tc>
        <w:tc>
          <w:tcPr>
            <w:tcW w:w="3374"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p>
            <w:pPr>
              <w:snapToGrid w:val="0"/>
              <w:jc w:val="both"/>
              <w:rPr>
                <w:rFonts w:eastAsia="宋体"/>
                <w:sz w:val="21"/>
                <w:szCs w:val="21"/>
              </w:rPr>
            </w:pPr>
          </w:p>
          <w:p>
            <w:pPr>
              <w:snapToGrid w:val="0"/>
              <w:jc w:val="both"/>
              <w:rPr>
                <w:rFonts w:eastAsia="宋体"/>
                <w:sz w:val="21"/>
                <w:szCs w:val="21"/>
              </w:rPr>
            </w:pPr>
          </w:p>
          <w:p>
            <w:pPr>
              <w:snapToGrid w:val="0"/>
              <w:jc w:val="both"/>
              <w:rPr>
                <w:rFonts w:eastAsia="宋体"/>
                <w:sz w:val="21"/>
                <w:szCs w:val="21"/>
              </w:rPr>
            </w:pPr>
          </w:p>
        </w:tc>
      </w:tr>
      <w:tr>
        <w:tblPrEx>
          <w:tblCellMar>
            <w:top w:w="57" w:type="dxa"/>
            <w:left w:w="57" w:type="dxa"/>
            <w:bottom w:w="57" w:type="dxa"/>
            <w:right w:w="57" w:type="dxa"/>
          </w:tblCellMar>
        </w:tblPrEx>
        <w:tc>
          <w:tcPr>
            <w:tcW w:w="1626"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部门签字</w:t>
            </w:r>
          </w:p>
        </w:tc>
        <w:tc>
          <w:tcPr>
            <w:tcW w:w="3374"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p>
            <w:pPr>
              <w:snapToGrid w:val="0"/>
              <w:jc w:val="both"/>
              <w:rPr>
                <w:rFonts w:eastAsia="宋体"/>
                <w:sz w:val="21"/>
                <w:szCs w:val="21"/>
              </w:rPr>
            </w:pPr>
          </w:p>
          <w:p>
            <w:pPr>
              <w:snapToGrid w:val="0"/>
              <w:jc w:val="both"/>
              <w:rPr>
                <w:rFonts w:eastAsia="宋体"/>
                <w:sz w:val="21"/>
                <w:szCs w:val="21"/>
              </w:rPr>
            </w:pPr>
          </w:p>
          <w:p>
            <w:pPr>
              <w:snapToGrid w:val="0"/>
              <w:jc w:val="both"/>
              <w:rPr>
                <w:rFonts w:eastAsia="宋体"/>
                <w:sz w:val="21"/>
                <w:szCs w:val="21"/>
              </w:rPr>
            </w:pPr>
          </w:p>
        </w:tc>
      </w:tr>
    </w:tbl>
    <w:p>
      <w:pPr>
        <w:snapToGrid w:val="0"/>
        <w:spacing w:before="240" w:beforeLines="100" w:after="240" w:afterLines="100"/>
        <w:ind w:firstLine="422" w:firstLineChars="200"/>
        <w:jc w:val="both"/>
        <w:rPr>
          <w:rFonts w:eastAsia="宋体"/>
          <w:sz w:val="21"/>
          <w:szCs w:val="21"/>
        </w:rPr>
      </w:pPr>
      <w:r>
        <w:rPr>
          <w:rFonts w:eastAsia="宋体"/>
          <w:b/>
          <w:bCs/>
          <w:color w:val="000000"/>
          <w:sz w:val="21"/>
          <w:szCs w:val="21"/>
        </w:rPr>
        <w:t>只有在文件被</w:t>
      </w:r>
      <w:r>
        <w:rPr>
          <w:rFonts w:hint="eastAsia" w:eastAsia="宋体"/>
          <w:b/>
          <w:bCs/>
          <w:color w:val="000000"/>
          <w:sz w:val="21"/>
          <w:szCs w:val="21"/>
        </w:rPr>
        <w:t>验收</w:t>
      </w:r>
      <w:r>
        <w:rPr>
          <w:rFonts w:eastAsia="宋体"/>
          <w:b/>
          <w:bCs/>
          <w:color w:val="000000"/>
          <w:sz w:val="21"/>
          <w:szCs w:val="21"/>
        </w:rPr>
        <w:t>的情况下才进入</w:t>
      </w:r>
      <w:r>
        <w:rPr>
          <w:rFonts w:ascii="宋体" w:hAnsi="宋体" w:eastAsia="宋体"/>
          <w:b/>
          <w:bCs/>
          <w:color w:val="000000"/>
          <w:sz w:val="21"/>
          <w:szCs w:val="21"/>
        </w:rPr>
        <w:t>“</w:t>
      </w:r>
      <w:r>
        <w:rPr>
          <w:rFonts w:hint="eastAsia" w:eastAsia="宋体"/>
          <w:b/>
          <w:bCs/>
          <w:color w:val="000000"/>
          <w:sz w:val="21"/>
          <w:szCs w:val="21"/>
        </w:rPr>
        <w:t>备案</w:t>
      </w:r>
      <w:r>
        <w:rPr>
          <w:rFonts w:eastAsia="宋体"/>
          <w:b/>
          <w:bCs/>
          <w:color w:val="000000"/>
          <w:sz w:val="21"/>
          <w:szCs w:val="21"/>
        </w:rPr>
        <w:t>审评</w:t>
      </w:r>
      <w:r>
        <w:rPr>
          <w:rFonts w:hint="eastAsia" w:ascii="宋体" w:hAnsi="宋体" w:eastAsia="宋体"/>
          <w:b/>
          <w:bCs/>
          <w:color w:val="000000"/>
          <w:sz w:val="21"/>
          <w:szCs w:val="21"/>
        </w:rPr>
        <w:t>”</w:t>
      </w:r>
      <w:r>
        <w:rPr>
          <w:rFonts w:eastAsia="宋体"/>
          <w:b/>
          <w:bCs/>
          <w:color w:val="000000"/>
          <w:sz w:val="21"/>
          <w:szCs w:val="21"/>
        </w:rPr>
        <w:t>部分，表明审评可以继续。</w:t>
      </w:r>
    </w:p>
    <w:p>
      <w:pPr>
        <w:snapToGrid w:val="0"/>
        <w:spacing w:after="240" w:afterLines="100"/>
        <w:jc w:val="both"/>
        <w:rPr>
          <w:rFonts w:eastAsia="宋体"/>
          <w:sz w:val="21"/>
          <w:szCs w:val="21"/>
        </w:rPr>
      </w:pPr>
    </w:p>
    <w:p>
      <w:pPr>
        <w:snapToGrid w:val="0"/>
        <w:spacing w:after="240" w:afterLines="100"/>
        <w:jc w:val="both"/>
        <w:rPr>
          <w:rFonts w:eastAsia="宋体"/>
          <w:sz w:val="21"/>
          <w:szCs w:val="21"/>
        </w:rPr>
        <w:sectPr>
          <w:pgSz w:w="11906" w:h="16838"/>
          <w:pgMar w:top="1134" w:right="1134" w:bottom="1134" w:left="1418" w:header="567" w:footer="567" w:gutter="0"/>
          <w:cols w:space="60" w:num="1"/>
          <w:docGrid w:linePitch="272" w:charSpace="0"/>
        </w:sectPr>
      </w:pPr>
    </w:p>
    <w:p>
      <w:pPr>
        <w:snapToGrid w:val="0"/>
        <w:spacing w:after="120" w:afterLines="50"/>
        <w:jc w:val="center"/>
        <w:rPr>
          <w:rFonts w:eastAsia="宋体"/>
          <w:b/>
          <w:bCs/>
          <w:sz w:val="36"/>
          <w:szCs w:val="36"/>
        </w:rPr>
      </w:pPr>
      <w:r>
        <w:rPr>
          <w:rFonts w:eastAsia="宋体"/>
          <w:b/>
          <w:bCs/>
          <w:sz w:val="36"/>
          <w:szCs w:val="36"/>
        </w:rPr>
        <w:t>PMA的</w:t>
      </w:r>
      <w:r>
        <w:rPr>
          <w:rFonts w:hint="eastAsia" w:eastAsia="宋体"/>
          <w:b/>
          <w:bCs/>
          <w:sz w:val="36"/>
          <w:szCs w:val="36"/>
        </w:rPr>
        <w:t>备案</w:t>
      </w:r>
      <w:r>
        <w:rPr>
          <w:rFonts w:eastAsia="宋体"/>
          <w:b/>
          <w:bCs/>
          <w:sz w:val="36"/>
          <w:szCs w:val="36"/>
        </w:rPr>
        <w:t>审评</w:t>
      </w:r>
      <w:r>
        <w:rPr>
          <w:rFonts w:hint="eastAsia" w:eastAsia="宋体"/>
          <w:b/>
          <w:bCs/>
          <w:sz w:val="36"/>
          <w:szCs w:val="36"/>
        </w:rPr>
        <w:t>检查</w:t>
      </w:r>
      <w:r>
        <w:rPr>
          <w:rFonts w:eastAsia="宋体"/>
          <w:b/>
          <w:bCs/>
          <w:sz w:val="36"/>
          <w:szCs w:val="36"/>
        </w:rPr>
        <w:t>表</w:t>
      </w:r>
    </w:p>
    <w:tbl>
      <w:tblPr>
        <w:tblStyle w:val="9"/>
        <w:tblW w:w="5000" w:type="pct"/>
        <w:tblInd w:w="0" w:type="dxa"/>
        <w:shd w:val="clear" w:color="auto" w:fill="99CBFE"/>
        <w:tblLayout w:type="autofit"/>
        <w:tblCellMar>
          <w:top w:w="57" w:type="dxa"/>
          <w:left w:w="57" w:type="dxa"/>
          <w:bottom w:w="57" w:type="dxa"/>
          <w:right w:w="57" w:type="dxa"/>
        </w:tblCellMar>
      </w:tblPr>
      <w:tblGrid>
        <w:gridCol w:w="490"/>
        <w:gridCol w:w="487"/>
        <w:gridCol w:w="494"/>
        <w:gridCol w:w="5740"/>
        <w:gridCol w:w="581"/>
        <w:gridCol w:w="744"/>
        <w:gridCol w:w="932"/>
      </w:tblGrid>
      <w:tr>
        <w:tblPrEx>
          <w:shd w:val="clear" w:color="auto" w:fill="99CBFE"/>
          <w:tblCellMar>
            <w:top w:w="57" w:type="dxa"/>
            <w:left w:w="57" w:type="dxa"/>
            <w:bottom w:w="57" w:type="dxa"/>
            <w:right w:w="57" w:type="dxa"/>
          </w:tblCellMar>
        </w:tblPrEx>
        <w:tc>
          <w:tcPr>
            <w:tcW w:w="5000" w:type="pct"/>
            <w:gridSpan w:val="7"/>
            <w:tcBorders>
              <w:top w:val="single" w:color="auto" w:sz="4" w:space="0"/>
              <w:left w:val="single" w:color="auto" w:sz="4" w:space="0"/>
              <w:bottom w:val="single" w:color="auto" w:sz="4" w:space="0"/>
              <w:right w:val="single" w:color="auto" w:sz="4" w:space="0"/>
            </w:tcBorders>
            <w:shd w:val="clear" w:color="auto" w:fill="99CBFE"/>
            <w:tcMar>
              <w:left w:w="57" w:type="dxa"/>
              <w:right w:w="57" w:type="dxa"/>
            </w:tcMar>
            <w:vAlign w:val="center"/>
          </w:tcPr>
          <w:p>
            <w:pPr>
              <w:snapToGrid w:val="0"/>
              <w:jc w:val="center"/>
              <w:rPr>
                <w:rFonts w:eastAsia="宋体"/>
                <w:sz w:val="21"/>
                <w:szCs w:val="21"/>
              </w:rPr>
            </w:pPr>
            <w:r>
              <w:rPr>
                <w:rFonts w:eastAsia="宋体"/>
                <w:b/>
                <w:bCs/>
                <w:color w:val="000000"/>
                <w:sz w:val="21"/>
                <w:szCs w:val="21"/>
                <w:u w:val="single"/>
              </w:rPr>
              <w:t>技术要素的</w:t>
            </w:r>
            <w:r>
              <w:rPr>
                <w:rFonts w:hint="eastAsia" w:eastAsia="宋体"/>
                <w:b/>
                <w:bCs/>
                <w:color w:val="000000"/>
                <w:sz w:val="21"/>
                <w:szCs w:val="21"/>
                <w:u w:val="single"/>
              </w:rPr>
              <w:t>备案</w:t>
            </w:r>
            <w:r>
              <w:rPr>
                <w:rFonts w:eastAsia="宋体"/>
                <w:b/>
                <w:bCs/>
                <w:color w:val="000000"/>
                <w:sz w:val="21"/>
                <w:szCs w:val="21"/>
                <w:u w:val="single"/>
              </w:rPr>
              <w:t>评估</w:t>
            </w:r>
            <w:r>
              <w:rPr>
                <w:rFonts w:eastAsia="宋体"/>
                <w:b/>
                <w:bCs/>
                <w:color w:val="000000"/>
                <w:sz w:val="21"/>
                <w:szCs w:val="21"/>
              </w:rPr>
              <w:t>-临床研究</w:t>
            </w:r>
          </w:p>
        </w:tc>
      </w:tr>
      <w:tr>
        <w:tblPrEx>
          <w:shd w:val="clear" w:color="auto" w:fill="99CBFE"/>
          <w:tblCellMar>
            <w:top w:w="57" w:type="dxa"/>
            <w:left w:w="57" w:type="dxa"/>
            <w:bottom w:w="57" w:type="dxa"/>
            <w:right w:w="57" w:type="dxa"/>
          </w:tblCellMar>
        </w:tblPrEx>
        <w:tc>
          <w:tcPr>
            <w:tcW w:w="5000" w:type="pct"/>
            <w:gridSpan w:val="7"/>
            <w:tcBorders>
              <w:top w:val="single" w:color="auto" w:sz="4" w:space="0"/>
              <w:left w:val="single" w:color="auto" w:sz="6" w:space="0"/>
              <w:bottom w:val="single" w:color="auto" w:sz="6" w:space="0"/>
              <w:right w:val="single" w:color="auto" w:sz="6" w:space="0"/>
            </w:tcBorders>
            <w:shd w:val="clear" w:color="auto" w:fill="99CBFE"/>
            <w:tcMar>
              <w:left w:w="57" w:type="dxa"/>
              <w:right w:w="57" w:type="dxa"/>
            </w:tcMar>
          </w:tcPr>
          <w:p>
            <w:pPr>
              <w:snapToGrid w:val="0"/>
              <w:jc w:val="both"/>
              <w:rPr>
                <w:rFonts w:eastAsia="宋体"/>
                <w:sz w:val="21"/>
                <w:szCs w:val="21"/>
              </w:rPr>
            </w:pPr>
            <w:r>
              <w:rPr>
                <w:rFonts w:eastAsia="宋体"/>
                <w:b/>
                <w:bCs/>
                <w:color w:val="000000"/>
                <w:sz w:val="21"/>
                <w:szCs w:val="21"/>
              </w:rPr>
              <w:t>如果提交的信息被认为足以允许进行实质性审评，请勾选</w:t>
            </w:r>
            <w:r>
              <w:rPr>
                <w:rFonts w:ascii="宋体" w:hAnsi="宋体" w:eastAsia="宋体"/>
                <w:b/>
                <w:bCs/>
                <w:color w:val="000000"/>
                <w:sz w:val="21"/>
                <w:szCs w:val="21"/>
              </w:rPr>
              <w:t>“</w:t>
            </w:r>
            <w:r>
              <w:rPr>
                <w:rFonts w:eastAsia="宋体"/>
                <w:b/>
                <w:bCs/>
                <w:color w:val="000000"/>
                <w:sz w:val="21"/>
                <w:szCs w:val="21"/>
              </w:rPr>
              <w:t>是</w:t>
            </w:r>
            <w:r>
              <w:rPr>
                <w:rFonts w:ascii="宋体" w:hAnsi="宋体" w:eastAsia="宋体"/>
                <w:b/>
                <w:bCs/>
                <w:color w:val="000000"/>
                <w:sz w:val="21"/>
                <w:szCs w:val="21"/>
              </w:rPr>
              <w:t>”</w:t>
            </w:r>
            <w:r>
              <w:rPr>
                <w:rFonts w:eastAsia="宋体"/>
                <w:b/>
                <w:bCs/>
                <w:color w:val="000000"/>
                <w:sz w:val="21"/>
                <w:szCs w:val="21"/>
              </w:rPr>
              <w:t>；如果不需要，请勾选</w:t>
            </w:r>
            <w:r>
              <w:rPr>
                <w:rFonts w:ascii="宋体" w:hAnsi="宋体" w:eastAsia="宋体"/>
                <w:b/>
                <w:bCs/>
                <w:color w:val="000000"/>
                <w:sz w:val="21"/>
                <w:szCs w:val="21"/>
              </w:rPr>
              <w:t>“</w:t>
            </w:r>
            <w:r>
              <w:rPr>
                <w:rFonts w:eastAsia="宋体"/>
                <w:b/>
                <w:bCs/>
                <w:color w:val="000000"/>
                <w:sz w:val="21"/>
                <w:szCs w:val="21"/>
              </w:rPr>
              <w:t>不适用</w:t>
            </w:r>
            <w:r>
              <w:rPr>
                <w:rFonts w:ascii="宋体" w:hAnsi="宋体" w:eastAsia="宋体"/>
                <w:b/>
                <w:bCs/>
                <w:color w:val="000000"/>
                <w:sz w:val="21"/>
                <w:szCs w:val="21"/>
              </w:rPr>
              <w:t>”</w:t>
            </w:r>
            <w:r>
              <w:rPr>
                <w:rFonts w:eastAsia="宋体"/>
                <w:b/>
                <w:bCs/>
                <w:color w:val="000000"/>
                <w:sz w:val="21"/>
                <w:szCs w:val="21"/>
              </w:rPr>
              <w:t>；如果不包括，请勾选</w:t>
            </w:r>
            <w:r>
              <w:rPr>
                <w:rFonts w:ascii="宋体" w:hAnsi="宋体" w:eastAsia="宋体"/>
                <w:b/>
                <w:bCs/>
                <w:color w:val="000000"/>
                <w:sz w:val="21"/>
                <w:szCs w:val="21"/>
              </w:rPr>
              <w:t>“</w:t>
            </w:r>
            <w:r>
              <w:rPr>
                <w:rFonts w:eastAsia="宋体"/>
                <w:b/>
                <w:bCs/>
                <w:color w:val="000000"/>
                <w:sz w:val="21"/>
                <w:szCs w:val="21"/>
              </w:rPr>
              <w:t>否</w:t>
            </w:r>
            <w:r>
              <w:rPr>
                <w:rFonts w:ascii="宋体" w:hAnsi="宋体" w:eastAsia="宋体"/>
                <w:b/>
                <w:bCs/>
                <w:color w:val="000000"/>
                <w:sz w:val="21"/>
                <w:szCs w:val="21"/>
              </w:rPr>
              <w:t>”</w:t>
            </w:r>
            <w:r>
              <w:rPr>
                <w:rFonts w:eastAsia="宋体"/>
                <w:b/>
                <w:bCs/>
                <w:color w:val="000000"/>
                <w:sz w:val="21"/>
                <w:szCs w:val="21"/>
              </w:rPr>
              <w:t>。</w:t>
            </w:r>
          </w:p>
        </w:tc>
      </w:tr>
      <w:tr>
        <w:tblPrEx>
          <w:shd w:val="clear" w:color="auto" w:fill="99CBFE"/>
          <w:tblCellMar>
            <w:top w:w="57" w:type="dxa"/>
            <w:left w:w="57" w:type="dxa"/>
            <w:bottom w:w="57" w:type="dxa"/>
            <w:right w:w="57" w:type="dxa"/>
          </w:tblCellMar>
        </w:tblPrEx>
        <w:tc>
          <w:tcPr>
            <w:tcW w:w="3808" w:type="pct"/>
            <w:gridSpan w:val="4"/>
            <w:tcBorders>
              <w:top w:val="single" w:color="auto" w:sz="6" w:space="0"/>
              <w:left w:val="single" w:color="auto" w:sz="6" w:space="0"/>
              <w:bottom w:val="nil"/>
              <w:right w:val="single" w:color="auto" w:sz="6" w:space="0"/>
            </w:tcBorders>
            <w:shd w:val="clear" w:color="auto" w:fill="99CBFE"/>
            <w:tcMar>
              <w:left w:w="57" w:type="dxa"/>
              <w:right w:w="57" w:type="dxa"/>
            </w:tcMar>
          </w:tcPr>
          <w:p>
            <w:pPr>
              <w:snapToGrid w:val="0"/>
              <w:jc w:val="both"/>
              <w:rPr>
                <w:rFonts w:eastAsia="宋体"/>
                <w:sz w:val="21"/>
                <w:szCs w:val="21"/>
              </w:rPr>
            </w:pPr>
          </w:p>
        </w:tc>
        <w:tc>
          <w:tcPr>
            <w:tcW w:w="700" w:type="pct"/>
            <w:gridSpan w:val="2"/>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pPr>
              <w:snapToGrid w:val="0"/>
              <w:jc w:val="center"/>
              <w:rPr>
                <w:rFonts w:eastAsia="宋体"/>
                <w:sz w:val="21"/>
                <w:szCs w:val="21"/>
              </w:rPr>
            </w:pPr>
            <w:r>
              <w:rPr>
                <w:rFonts w:hint="eastAsia" w:eastAsia="宋体"/>
                <w:b/>
                <w:bCs/>
                <w:color w:val="000000"/>
                <w:sz w:val="21"/>
                <w:szCs w:val="21"/>
              </w:rPr>
              <w:t>存</w:t>
            </w:r>
            <w:r>
              <w:rPr>
                <w:rFonts w:eastAsia="宋体"/>
                <w:b/>
                <w:bCs/>
                <w:color w:val="000000"/>
                <w:sz w:val="21"/>
                <w:szCs w:val="21"/>
              </w:rPr>
              <w:t>在</w:t>
            </w:r>
          </w:p>
        </w:tc>
        <w:tc>
          <w:tcPr>
            <w:tcW w:w="492" w:type="pct"/>
            <w:vMerge w:val="restart"/>
            <w:tcBorders>
              <w:top w:val="single" w:color="auto" w:sz="6" w:space="0"/>
              <w:left w:val="single" w:color="auto" w:sz="6" w:space="0"/>
              <w:right w:val="single" w:color="auto" w:sz="6" w:space="0"/>
            </w:tcBorders>
            <w:shd w:val="clear" w:color="auto" w:fill="99CBFE"/>
            <w:tcMar>
              <w:left w:w="57" w:type="dxa"/>
              <w:right w:w="57" w:type="dxa"/>
            </w:tcMar>
            <w:vAlign w:val="center"/>
          </w:tcPr>
          <w:p>
            <w:pPr>
              <w:snapToGrid w:val="0"/>
              <w:jc w:val="center"/>
              <w:rPr>
                <w:rFonts w:eastAsia="宋体"/>
                <w:sz w:val="21"/>
                <w:szCs w:val="21"/>
              </w:rPr>
            </w:pPr>
            <w:r>
              <w:rPr>
                <w:rFonts w:eastAsia="宋体"/>
                <w:b/>
                <w:bCs/>
                <w:color w:val="000000"/>
                <w:sz w:val="21"/>
                <w:szCs w:val="21"/>
              </w:rPr>
              <w:t>不存在 （否）</w:t>
            </w:r>
          </w:p>
        </w:tc>
      </w:tr>
      <w:tr>
        <w:tblPrEx>
          <w:shd w:val="clear" w:color="auto" w:fill="99CBFE"/>
          <w:tblCellMar>
            <w:top w:w="57" w:type="dxa"/>
            <w:left w:w="57" w:type="dxa"/>
            <w:bottom w:w="57" w:type="dxa"/>
            <w:right w:w="57" w:type="dxa"/>
          </w:tblCellMar>
        </w:tblPrEx>
        <w:tc>
          <w:tcPr>
            <w:tcW w:w="259" w:type="pct"/>
            <w:tcBorders>
              <w:top w:val="nil"/>
              <w:left w:val="single" w:color="auto" w:sz="6" w:space="0"/>
              <w:bottom w:val="single" w:color="auto" w:sz="6" w:space="0"/>
              <w:right w:val="nil"/>
            </w:tcBorders>
            <w:shd w:val="clear" w:color="auto" w:fill="99CBFE"/>
            <w:tcMar>
              <w:left w:w="57" w:type="dxa"/>
              <w:right w:w="57" w:type="dxa"/>
            </w:tcMar>
          </w:tcPr>
          <w:p>
            <w:pPr>
              <w:snapToGrid w:val="0"/>
              <w:jc w:val="both"/>
              <w:rPr>
                <w:rFonts w:eastAsia="宋体"/>
                <w:sz w:val="21"/>
                <w:szCs w:val="21"/>
              </w:rPr>
            </w:pPr>
          </w:p>
        </w:tc>
        <w:tc>
          <w:tcPr>
            <w:tcW w:w="3548" w:type="pct"/>
            <w:gridSpan w:val="3"/>
            <w:tcBorders>
              <w:top w:val="nil"/>
              <w:left w:val="nil"/>
              <w:bottom w:val="single" w:color="auto" w:sz="6" w:space="0"/>
              <w:right w:val="single" w:color="auto" w:sz="6" w:space="0"/>
            </w:tcBorders>
            <w:shd w:val="clear" w:color="auto" w:fill="99CBFE"/>
            <w:tcMar>
              <w:left w:w="57" w:type="dxa"/>
              <w:right w:w="57" w:type="dxa"/>
            </w:tcMar>
          </w:tcPr>
          <w:p>
            <w:pPr>
              <w:snapToGrid w:val="0"/>
              <w:jc w:val="both"/>
              <w:rPr>
                <w:rFonts w:eastAsia="宋体"/>
                <w:sz w:val="21"/>
                <w:szCs w:val="21"/>
              </w:rPr>
            </w:pPr>
          </w:p>
        </w:tc>
        <w:tc>
          <w:tcPr>
            <w:tcW w:w="307" w:type="pct"/>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pPr>
              <w:snapToGrid w:val="0"/>
              <w:jc w:val="center"/>
              <w:rPr>
                <w:rFonts w:eastAsia="宋体"/>
                <w:sz w:val="21"/>
                <w:szCs w:val="21"/>
              </w:rPr>
            </w:pPr>
            <w:r>
              <w:rPr>
                <w:rFonts w:eastAsia="宋体"/>
                <w:b/>
                <w:bCs/>
                <w:color w:val="000000"/>
                <w:sz w:val="21"/>
                <w:szCs w:val="21"/>
              </w:rPr>
              <w:t>是</w:t>
            </w:r>
          </w:p>
        </w:tc>
        <w:tc>
          <w:tcPr>
            <w:tcW w:w="393" w:type="pct"/>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pPr>
              <w:snapToGrid w:val="0"/>
              <w:jc w:val="center"/>
              <w:rPr>
                <w:rFonts w:eastAsia="宋体"/>
                <w:sz w:val="21"/>
                <w:szCs w:val="21"/>
              </w:rPr>
            </w:pPr>
            <w:r>
              <w:rPr>
                <w:rFonts w:eastAsia="宋体"/>
                <w:b/>
                <w:bCs/>
                <w:color w:val="000000"/>
                <w:sz w:val="21"/>
                <w:szCs w:val="21"/>
              </w:rPr>
              <w:t>不适用</w:t>
            </w:r>
          </w:p>
        </w:tc>
        <w:tc>
          <w:tcPr>
            <w:tcW w:w="492" w:type="pct"/>
            <w:vMerge w:val="continue"/>
            <w:tcBorders>
              <w:left w:val="single" w:color="auto" w:sz="6" w:space="0"/>
              <w:bottom w:val="single" w:color="auto" w:sz="6" w:space="0"/>
              <w:right w:val="single" w:color="auto" w:sz="6" w:space="0"/>
            </w:tcBorders>
            <w:shd w:val="clear" w:color="auto" w:fill="99CBFE"/>
            <w:tcMar>
              <w:left w:w="57" w:type="dxa"/>
              <w:right w:w="57" w:type="dxa"/>
            </w:tcMar>
          </w:tcPr>
          <w:p>
            <w:pPr>
              <w:snapToGrid w:val="0"/>
              <w:jc w:val="both"/>
              <w:rPr>
                <w:rFonts w:eastAsia="宋体"/>
                <w:sz w:val="21"/>
                <w:szCs w:val="21"/>
              </w:rPr>
            </w:pPr>
          </w:p>
        </w:tc>
      </w:tr>
      <w:tr>
        <w:tblPrEx>
          <w:shd w:val="clear" w:color="auto" w:fill="auto"/>
          <w:tblCellMar>
            <w:top w:w="57" w:type="dxa"/>
            <w:left w:w="57" w:type="dxa"/>
            <w:bottom w:w="57" w:type="dxa"/>
            <w:right w:w="57" w:type="dxa"/>
          </w:tblCellMar>
        </w:tblPrEx>
        <w:tc>
          <w:tcPr>
            <w:tcW w:w="259"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A.</w:t>
            </w:r>
          </w:p>
        </w:tc>
        <w:tc>
          <w:tcPr>
            <w:tcW w:w="4741" w:type="pct"/>
            <w:gridSpan w:val="6"/>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研究数据的连贯性：1）与已批准的IDE中的方案（如果需要的话）或</w:t>
            </w:r>
            <w:r>
              <w:rPr>
                <w:rFonts w:hint="eastAsia" w:eastAsia="宋体"/>
                <w:color w:val="000000"/>
                <w:sz w:val="21"/>
                <w:szCs w:val="21"/>
              </w:rPr>
              <w:t>申办</w:t>
            </w:r>
            <w:r>
              <w:rPr>
                <w:rFonts w:eastAsia="宋体"/>
                <w:color w:val="000000"/>
                <w:sz w:val="21"/>
                <w:szCs w:val="21"/>
              </w:rPr>
              <w:t>者的国外研究（即完全在美国以外进行）的研究方案；2）与Q-</w:t>
            </w:r>
            <w:r>
              <w:rPr>
                <w:rFonts w:hint="eastAsia" w:eastAsia="宋体"/>
                <w:color w:val="000000"/>
                <w:sz w:val="21"/>
                <w:szCs w:val="21"/>
              </w:rPr>
              <w:t>申请</w:t>
            </w:r>
            <w:r>
              <w:rPr>
                <w:rFonts w:eastAsia="宋体"/>
                <w:color w:val="000000"/>
                <w:sz w:val="21"/>
                <w:szCs w:val="21"/>
              </w:rPr>
              <w:t>互动的建议（如果适用的话）；和/或3）根据特定器械的指</w:t>
            </w:r>
            <w:r>
              <w:rPr>
                <w:rFonts w:hint="eastAsia" w:eastAsia="宋体"/>
                <w:color w:val="000000"/>
                <w:sz w:val="21"/>
                <w:szCs w:val="21"/>
              </w:rPr>
              <w:t>南</w:t>
            </w:r>
            <w:r>
              <w:rPr>
                <w:rFonts w:eastAsia="宋体"/>
                <w:color w:val="000000"/>
                <w:sz w:val="21"/>
                <w:szCs w:val="21"/>
              </w:rPr>
              <w:t>文件（如果适用的话）。</w:t>
            </w:r>
          </w:p>
        </w:tc>
      </w:tr>
      <w:tr>
        <w:tblPrEx>
          <w:shd w:val="clear" w:color="auto" w:fill="auto"/>
          <w:tblCellMar>
            <w:top w:w="57" w:type="dxa"/>
            <w:left w:w="57" w:type="dxa"/>
            <w:bottom w:w="57" w:type="dxa"/>
            <w:right w:w="57" w:type="dxa"/>
          </w:tblCellMar>
        </w:tblPrEx>
        <w:tc>
          <w:tcPr>
            <w:tcW w:w="259"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25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1.</w:t>
            </w:r>
          </w:p>
        </w:tc>
        <w:tc>
          <w:tcPr>
            <w:tcW w:w="3291" w:type="pct"/>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样本规模/入组并完成研究的患者数量（即在主要终点时间段可评估的患者数量）。</w:t>
            </w:r>
          </w:p>
        </w:tc>
        <w:tc>
          <w:tcPr>
            <w:tcW w:w="30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393"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c>
          <w:tcPr>
            <w:tcW w:w="492"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shd w:val="clear" w:color="auto" w:fill="auto"/>
          <w:tblCellMar>
            <w:top w:w="57" w:type="dxa"/>
            <w:left w:w="57" w:type="dxa"/>
            <w:bottom w:w="57" w:type="dxa"/>
            <w:right w:w="57" w:type="dxa"/>
          </w:tblCellMar>
        </w:tblPrEx>
        <w:tc>
          <w:tcPr>
            <w:tcW w:w="259"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25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2.</w:t>
            </w:r>
          </w:p>
        </w:tc>
        <w:tc>
          <w:tcPr>
            <w:tcW w:w="3291" w:type="pct"/>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主要分析的随访时间</w:t>
            </w:r>
          </w:p>
        </w:tc>
        <w:tc>
          <w:tcPr>
            <w:tcW w:w="30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393"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c>
          <w:tcPr>
            <w:tcW w:w="492"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shd w:val="clear" w:color="auto" w:fill="auto"/>
          <w:tblCellMar>
            <w:top w:w="57" w:type="dxa"/>
            <w:left w:w="57" w:type="dxa"/>
            <w:bottom w:w="57" w:type="dxa"/>
            <w:right w:w="57" w:type="dxa"/>
          </w:tblCellMar>
        </w:tblPrEx>
        <w:tc>
          <w:tcPr>
            <w:tcW w:w="259"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25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3.</w:t>
            </w:r>
          </w:p>
        </w:tc>
        <w:tc>
          <w:tcPr>
            <w:tcW w:w="3291" w:type="pct"/>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主要分析的后续评价</w:t>
            </w:r>
          </w:p>
        </w:tc>
        <w:tc>
          <w:tcPr>
            <w:tcW w:w="30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393"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c>
          <w:tcPr>
            <w:tcW w:w="492"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shd w:val="clear" w:color="auto" w:fill="auto"/>
          <w:tblCellMar>
            <w:top w:w="57" w:type="dxa"/>
            <w:left w:w="57" w:type="dxa"/>
            <w:bottom w:w="57" w:type="dxa"/>
            <w:right w:w="57" w:type="dxa"/>
          </w:tblCellMar>
        </w:tblPrEx>
        <w:tc>
          <w:tcPr>
            <w:tcW w:w="259"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25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4.</w:t>
            </w:r>
          </w:p>
        </w:tc>
        <w:tc>
          <w:tcPr>
            <w:tcW w:w="3291" w:type="pct"/>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研究目标</w:t>
            </w:r>
          </w:p>
        </w:tc>
        <w:tc>
          <w:tcPr>
            <w:tcW w:w="30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393"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c>
          <w:tcPr>
            <w:tcW w:w="492"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shd w:val="clear" w:color="auto" w:fill="auto"/>
          <w:tblCellMar>
            <w:top w:w="57" w:type="dxa"/>
            <w:left w:w="57" w:type="dxa"/>
            <w:bottom w:w="57" w:type="dxa"/>
            <w:right w:w="57" w:type="dxa"/>
          </w:tblCellMar>
        </w:tblPrEx>
        <w:tc>
          <w:tcPr>
            <w:tcW w:w="259"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25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5.</w:t>
            </w:r>
          </w:p>
        </w:tc>
        <w:tc>
          <w:tcPr>
            <w:tcW w:w="3291" w:type="pct"/>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研究</w:t>
            </w:r>
            <w:r>
              <w:rPr>
                <w:rFonts w:hint="eastAsia" w:eastAsia="宋体"/>
                <w:color w:val="000000"/>
                <w:sz w:val="21"/>
                <w:szCs w:val="21"/>
              </w:rPr>
              <w:t>人群</w:t>
            </w:r>
            <w:r>
              <w:rPr>
                <w:rFonts w:eastAsia="宋体"/>
                <w:color w:val="000000"/>
                <w:sz w:val="21"/>
                <w:szCs w:val="21"/>
              </w:rPr>
              <w:t>/入选标准</w:t>
            </w:r>
          </w:p>
        </w:tc>
        <w:tc>
          <w:tcPr>
            <w:tcW w:w="30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393"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c>
          <w:tcPr>
            <w:tcW w:w="492"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shd w:val="clear" w:color="auto" w:fill="auto"/>
          <w:tblCellMar>
            <w:top w:w="57" w:type="dxa"/>
            <w:left w:w="57" w:type="dxa"/>
            <w:bottom w:w="57" w:type="dxa"/>
            <w:right w:w="57" w:type="dxa"/>
          </w:tblCellMar>
        </w:tblPrEx>
        <w:tc>
          <w:tcPr>
            <w:tcW w:w="259"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25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6.</w:t>
            </w:r>
          </w:p>
        </w:tc>
        <w:tc>
          <w:tcPr>
            <w:tcW w:w="3291" w:type="pct"/>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研究终点</w:t>
            </w:r>
          </w:p>
        </w:tc>
        <w:tc>
          <w:tcPr>
            <w:tcW w:w="30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393"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c>
          <w:tcPr>
            <w:tcW w:w="492"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shd w:val="clear" w:color="auto" w:fill="auto"/>
          <w:tblCellMar>
            <w:top w:w="57" w:type="dxa"/>
            <w:left w:w="57" w:type="dxa"/>
            <w:bottom w:w="57" w:type="dxa"/>
            <w:right w:w="57" w:type="dxa"/>
          </w:tblCellMar>
        </w:tblPrEx>
        <w:tc>
          <w:tcPr>
            <w:tcW w:w="259"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25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7.</w:t>
            </w:r>
          </w:p>
        </w:tc>
        <w:tc>
          <w:tcPr>
            <w:tcW w:w="3291" w:type="pct"/>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研究设计</w:t>
            </w:r>
          </w:p>
        </w:tc>
        <w:tc>
          <w:tcPr>
            <w:tcW w:w="30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393"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c>
          <w:tcPr>
            <w:tcW w:w="492"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shd w:val="clear" w:color="auto" w:fill="auto"/>
          <w:tblCellMar>
            <w:top w:w="57" w:type="dxa"/>
            <w:left w:w="57" w:type="dxa"/>
            <w:bottom w:w="57" w:type="dxa"/>
            <w:right w:w="57" w:type="dxa"/>
          </w:tblCellMar>
        </w:tblPrEx>
        <w:tc>
          <w:tcPr>
            <w:tcW w:w="259"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25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8.</w:t>
            </w:r>
          </w:p>
        </w:tc>
        <w:tc>
          <w:tcPr>
            <w:tcW w:w="3291" w:type="pct"/>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假设</w:t>
            </w:r>
          </w:p>
        </w:tc>
        <w:tc>
          <w:tcPr>
            <w:tcW w:w="30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393"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c>
          <w:tcPr>
            <w:tcW w:w="492"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shd w:val="clear" w:color="auto" w:fill="auto"/>
          <w:tblCellMar>
            <w:top w:w="57" w:type="dxa"/>
            <w:left w:w="57" w:type="dxa"/>
            <w:bottom w:w="57" w:type="dxa"/>
            <w:right w:w="57" w:type="dxa"/>
          </w:tblCellMar>
        </w:tblPrEx>
        <w:tc>
          <w:tcPr>
            <w:tcW w:w="259"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25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9.</w:t>
            </w:r>
          </w:p>
        </w:tc>
        <w:tc>
          <w:tcPr>
            <w:tcW w:w="3291" w:type="pct"/>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统计分析</w:t>
            </w:r>
          </w:p>
        </w:tc>
        <w:tc>
          <w:tcPr>
            <w:tcW w:w="30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393"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c>
          <w:tcPr>
            <w:tcW w:w="492"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shd w:val="clear" w:color="auto" w:fill="auto"/>
          <w:tblCellMar>
            <w:top w:w="57" w:type="dxa"/>
            <w:left w:w="57" w:type="dxa"/>
            <w:bottom w:w="57" w:type="dxa"/>
            <w:right w:w="57" w:type="dxa"/>
          </w:tblCellMar>
        </w:tblPrEx>
        <w:tc>
          <w:tcPr>
            <w:tcW w:w="259"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25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261"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a.</w:t>
            </w:r>
          </w:p>
        </w:tc>
        <w:tc>
          <w:tcPr>
            <w:tcW w:w="3030"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有效性</w:t>
            </w:r>
          </w:p>
        </w:tc>
        <w:tc>
          <w:tcPr>
            <w:tcW w:w="30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393"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c>
          <w:tcPr>
            <w:tcW w:w="492"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shd w:val="clear" w:color="auto" w:fill="auto"/>
          <w:tblCellMar>
            <w:top w:w="57" w:type="dxa"/>
            <w:left w:w="57" w:type="dxa"/>
            <w:bottom w:w="57" w:type="dxa"/>
            <w:right w:w="57" w:type="dxa"/>
          </w:tblCellMar>
        </w:tblPrEx>
        <w:tc>
          <w:tcPr>
            <w:tcW w:w="259"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25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261"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b.</w:t>
            </w:r>
          </w:p>
        </w:tc>
        <w:tc>
          <w:tcPr>
            <w:tcW w:w="3030"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安全性分析</w:t>
            </w:r>
          </w:p>
        </w:tc>
        <w:tc>
          <w:tcPr>
            <w:tcW w:w="30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393"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c>
          <w:tcPr>
            <w:tcW w:w="492"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shd w:val="clear" w:color="auto" w:fill="auto"/>
          <w:tblCellMar>
            <w:top w:w="57" w:type="dxa"/>
            <w:left w:w="57" w:type="dxa"/>
            <w:bottom w:w="57" w:type="dxa"/>
            <w:right w:w="57" w:type="dxa"/>
          </w:tblCellMar>
        </w:tblPrEx>
        <w:tc>
          <w:tcPr>
            <w:tcW w:w="259"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B.</w:t>
            </w:r>
          </w:p>
        </w:tc>
        <w:tc>
          <w:tcPr>
            <w:tcW w:w="3548" w:type="pct"/>
            <w:gridSpan w:val="3"/>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方案的主要方面</w:t>
            </w:r>
            <w:r>
              <w:rPr>
                <w:rFonts w:hint="eastAsia" w:eastAsia="宋体"/>
                <w:color w:val="000000"/>
                <w:sz w:val="21"/>
                <w:szCs w:val="21"/>
              </w:rPr>
              <w:t>的</w:t>
            </w:r>
            <w:r>
              <w:rPr>
                <w:rFonts w:eastAsia="宋体"/>
                <w:color w:val="000000"/>
                <w:sz w:val="21"/>
                <w:szCs w:val="21"/>
              </w:rPr>
              <w:t>适当性</w:t>
            </w:r>
          </w:p>
        </w:tc>
        <w:tc>
          <w:tcPr>
            <w:tcW w:w="30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c>
          <w:tcPr>
            <w:tcW w:w="393"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c>
          <w:tcPr>
            <w:tcW w:w="492"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r>
      <w:tr>
        <w:tblPrEx>
          <w:shd w:val="clear" w:color="auto" w:fill="auto"/>
          <w:tblCellMar>
            <w:top w:w="57" w:type="dxa"/>
            <w:left w:w="57" w:type="dxa"/>
            <w:bottom w:w="57" w:type="dxa"/>
            <w:right w:w="57" w:type="dxa"/>
          </w:tblCellMar>
        </w:tblPrEx>
        <w:tc>
          <w:tcPr>
            <w:tcW w:w="259"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25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1.</w:t>
            </w:r>
          </w:p>
        </w:tc>
        <w:tc>
          <w:tcPr>
            <w:tcW w:w="3291" w:type="pct"/>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患者/研究人群是否与预期用途相符？</w:t>
            </w:r>
          </w:p>
        </w:tc>
        <w:tc>
          <w:tcPr>
            <w:tcW w:w="30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393"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c>
          <w:tcPr>
            <w:tcW w:w="492"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shd w:val="clear" w:color="auto" w:fill="auto"/>
          <w:tblCellMar>
            <w:top w:w="57" w:type="dxa"/>
            <w:left w:w="57" w:type="dxa"/>
            <w:bottom w:w="57" w:type="dxa"/>
            <w:right w:w="57" w:type="dxa"/>
          </w:tblCellMar>
        </w:tblPrEx>
        <w:tc>
          <w:tcPr>
            <w:tcW w:w="259"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25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2.</w:t>
            </w:r>
          </w:p>
        </w:tc>
        <w:tc>
          <w:tcPr>
            <w:tcW w:w="3291" w:type="pct"/>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是否已经选择了有临床意义的终点？</w:t>
            </w:r>
          </w:p>
        </w:tc>
        <w:tc>
          <w:tcPr>
            <w:tcW w:w="30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393"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c>
          <w:tcPr>
            <w:tcW w:w="492"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shd w:val="clear" w:color="auto" w:fill="auto"/>
          <w:tblCellMar>
            <w:top w:w="57" w:type="dxa"/>
            <w:left w:w="57" w:type="dxa"/>
            <w:bottom w:w="57" w:type="dxa"/>
            <w:right w:w="57" w:type="dxa"/>
          </w:tblCellMar>
        </w:tblPrEx>
        <w:tc>
          <w:tcPr>
            <w:tcW w:w="259"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c>
          <w:tcPr>
            <w:tcW w:w="25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3.</w:t>
            </w:r>
          </w:p>
        </w:tc>
        <w:tc>
          <w:tcPr>
            <w:tcW w:w="3291" w:type="pct"/>
            <w:gridSpan w:val="2"/>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如果主要研究是基于国外的临床数据，申请人是否提供了关于这些数据如何适用于美国患者人群的理由（例如，人口和医疗实践是否与美国相当，或者如果不是，是否提供了任何差异不会影响研究结果对美国患者人群的适用性的理由[21 CFR 814.15（a）和814.15（b）]）</w:t>
            </w:r>
            <w:r>
              <w:rPr>
                <w:rFonts w:hint="eastAsia" w:eastAsia="宋体"/>
                <w:color w:val="000000"/>
                <w:sz w:val="21"/>
                <w:szCs w:val="21"/>
              </w:rPr>
              <w:t>？</w:t>
            </w:r>
          </w:p>
        </w:tc>
        <w:tc>
          <w:tcPr>
            <w:tcW w:w="307"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393"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p>
        </w:tc>
        <w:tc>
          <w:tcPr>
            <w:tcW w:w="492"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bl>
    <w:p>
      <w:pPr>
        <w:snapToGrid w:val="0"/>
        <w:spacing w:after="240" w:afterLines="100"/>
        <w:jc w:val="both"/>
        <w:rPr>
          <w:rFonts w:eastAsia="宋体"/>
          <w:sz w:val="21"/>
          <w:szCs w:val="21"/>
        </w:rPr>
        <w:sectPr>
          <w:pgSz w:w="11906" w:h="16838"/>
          <w:pgMar w:top="1134" w:right="1134" w:bottom="1134" w:left="1418" w:header="567" w:footer="567" w:gutter="0"/>
          <w:cols w:space="60" w:num="1"/>
          <w:docGrid w:linePitch="272" w:charSpace="0"/>
        </w:sectPr>
      </w:pPr>
    </w:p>
    <w:tbl>
      <w:tblPr>
        <w:tblStyle w:val="9"/>
        <w:tblW w:w="5000" w:type="pct"/>
        <w:tblInd w:w="0" w:type="dxa"/>
        <w:tblLayout w:type="autofit"/>
        <w:tblCellMar>
          <w:top w:w="57" w:type="dxa"/>
          <w:left w:w="57" w:type="dxa"/>
          <w:bottom w:w="57" w:type="dxa"/>
          <w:right w:w="57" w:type="dxa"/>
        </w:tblCellMar>
      </w:tblPr>
      <w:tblGrid>
        <w:gridCol w:w="1212"/>
        <w:gridCol w:w="7196"/>
        <w:gridCol w:w="528"/>
        <w:gridCol w:w="532"/>
      </w:tblGrid>
      <w:tr>
        <w:tblPrEx>
          <w:tblCellMar>
            <w:top w:w="57" w:type="dxa"/>
            <w:left w:w="57" w:type="dxa"/>
            <w:bottom w:w="57" w:type="dxa"/>
            <w:right w:w="57" w:type="dxa"/>
          </w:tblCellMar>
        </w:tblPrEx>
        <w:tc>
          <w:tcPr>
            <w:tcW w:w="5000" w:type="pct"/>
            <w:gridSpan w:val="4"/>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vAlign w:val="center"/>
          </w:tcPr>
          <w:p>
            <w:pPr>
              <w:snapToGrid w:val="0"/>
              <w:jc w:val="center"/>
              <w:rPr>
                <w:rFonts w:eastAsia="宋体"/>
                <w:sz w:val="21"/>
                <w:szCs w:val="21"/>
              </w:rPr>
            </w:pPr>
            <w:r>
              <w:rPr>
                <w:rFonts w:hint="eastAsia" w:eastAsia="宋体"/>
                <w:b/>
                <w:bCs/>
                <w:color w:val="000000"/>
                <w:sz w:val="21"/>
                <w:szCs w:val="21"/>
              </w:rPr>
              <w:t>备案</w:t>
            </w:r>
            <w:r>
              <w:rPr>
                <w:rFonts w:eastAsia="宋体"/>
                <w:b/>
                <w:bCs/>
                <w:color w:val="000000"/>
                <w:sz w:val="21"/>
                <w:szCs w:val="21"/>
              </w:rPr>
              <w:t>决定问题</w:t>
            </w:r>
          </w:p>
        </w:tc>
      </w:tr>
      <w:tr>
        <w:tblPrEx>
          <w:tblCellMar>
            <w:top w:w="57" w:type="dxa"/>
            <w:left w:w="57" w:type="dxa"/>
            <w:bottom w:w="57" w:type="dxa"/>
            <w:right w:w="57" w:type="dxa"/>
          </w:tblCellMar>
        </w:tblPrEx>
        <w:tc>
          <w:tcPr>
            <w:tcW w:w="5000" w:type="pct"/>
            <w:gridSpan w:val="4"/>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pPr>
              <w:snapToGrid w:val="0"/>
              <w:jc w:val="both"/>
              <w:rPr>
                <w:rFonts w:eastAsia="宋体"/>
                <w:sz w:val="21"/>
                <w:szCs w:val="21"/>
              </w:rPr>
            </w:pPr>
            <w:r>
              <w:rPr>
                <w:rFonts w:hint="eastAsia" w:eastAsia="宋体"/>
                <w:b/>
                <w:bCs/>
                <w:color w:val="000000"/>
                <w:sz w:val="21"/>
                <w:szCs w:val="21"/>
              </w:rPr>
              <w:t>备案</w:t>
            </w:r>
            <w:r>
              <w:rPr>
                <w:rFonts w:eastAsia="宋体"/>
                <w:b/>
                <w:bCs/>
                <w:color w:val="000000"/>
                <w:sz w:val="21"/>
                <w:szCs w:val="21"/>
              </w:rPr>
              <w:t>决定问题用阴影和黑体字表示。一些</w:t>
            </w:r>
            <w:r>
              <w:rPr>
                <w:rFonts w:hint="eastAsia" w:eastAsia="宋体"/>
                <w:b/>
                <w:bCs/>
                <w:color w:val="000000"/>
                <w:sz w:val="21"/>
                <w:szCs w:val="21"/>
              </w:rPr>
              <w:t>备案</w:t>
            </w:r>
            <w:r>
              <w:rPr>
                <w:rFonts w:eastAsia="宋体"/>
                <w:b/>
                <w:bCs/>
                <w:color w:val="000000"/>
                <w:sz w:val="21"/>
                <w:szCs w:val="21"/>
              </w:rPr>
              <w:t>决定问题之前有介绍性问题（用后缀</w:t>
            </w:r>
            <w:r>
              <w:rPr>
                <w:rFonts w:ascii="宋体" w:hAnsi="宋体" w:eastAsia="宋体"/>
                <w:b/>
                <w:bCs/>
                <w:color w:val="000000"/>
                <w:sz w:val="21"/>
                <w:szCs w:val="21"/>
              </w:rPr>
              <w:t>“</w:t>
            </w:r>
            <w:r>
              <w:rPr>
                <w:rFonts w:eastAsia="宋体"/>
                <w:b/>
                <w:bCs/>
                <w:color w:val="000000"/>
                <w:sz w:val="21"/>
                <w:szCs w:val="21"/>
              </w:rPr>
              <w:t>a</w:t>
            </w:r>
            <w:r>
              <w:rPr>
                <w:rFonts w:hint="eastAsia" w:ascii="宋体" w:hAnsi="宋体" w:eastAsia="宋体"/>
                <w:b/>
                <w:bCs/>
                <w:color w:val="000000"/>
                <w:sz w:val="21"/>
                <w:szCs w:val="21"/>
              </w:rPr>
              <w:t>”</w:t>
            </w:r>
            <w:r>
              <w:rPr>
                <w:rFonts w:eastAsia="宋体"/>
                <w:b/>
                <w:bCs/>
                <w:color w:val="000000"/>
                <w:sz w:val="21"/>
                <w:szCs w:val="21"/>
              </w:rPr>
              <w:t>和</w:t>
            </w:r>
            <w:r>
              <w:rPr>
                <w:rFonts w:ascii="宋体" w:hAnsi="宋体" w:eastAsia="宋体"/>
                <w:b/>
                <w:bCs/>
                <w:color w:val="000000"/>
                <w:sz w:val="21"/>
                <w:szCs w:val="21"/>
              </w:rPr>
              <w:t>“</w:t>
            </w:r>
            <w:r>
              <w:rPr>
                <w:rFonts w:eastAsia="宋体"/>
                <w:b/>
                <w:bCs/>
                <w:color w:val="000000"/>
                <w:sz w:val="21"/>
                <w:szCs w:val="21"/>
              </w:rPr>
              <w:t>b</w:t>
            </w:r>
            <w:r>
              <w:rPr>
                <w:rFonts w:hint="eastAsia" w:ascii="宋体" w:hAnsi="宋体" w:eastAsia="宋体"/>
                <w:b/>
                <w:bCs/>
                <w:color w:val="000000"/>
                <w:sz w:val="21"/>
                <w:szCs w:val="21"/>
              </w:rPr>
              <w:t>”</w:t>
            </w:r>
            <w:r>
              <w:rPr>
                <w:rFonts w:eastAsia="宋体"/>
                <w:b/>
                <w:bCs/>
                <w:color w:val="000000"/>
                <w:sz w:val="21"/>
                <w:szCs w:val="21"/>
              </w:rPr>
              <w:t>表示），以确保这些</w:t>
            </w:r>
            <w:r>
              <w:rPr>
                <w:rFonts w:hint="eastAsia" w:eastAsia="宋体"/>
                <w:b/>
                <w:bCs/>
                <w:color w:val="000000"/>
                <w:sz w:val="21"/>
                <w:szCs w:val="21"/>
              </w:rPr>
              <w:t>备案</w:t>
            </w:r>
            <w:r>
              <w:rPr>
                <w:rFonts w:eastAsia="宋体"/>
                <w:b/>
                <w:bCs/>
                <w:color w:val="000000"/>
                <w:sz w:val="21"/>
                <w:szCs w:val="21"/>
              </w:rPr>
              <w:t>决定问题得到适当的回答。</w:t>
            </w:r>
          </w:p>
        </w:tc>
      </w:tr>
      <w:tr>
        <w:tblPrEx>
          <w:tblCellMar>
            <w:top w:w="57" w:type="dxa"/>
            <w:left w:w="57" w:type="dxa"/>
            <w:bottom w:w="57" w:type="dxa"/>
            <w:right w:w="57" w:type="dxa"/>
          </w:tblCellMar>
        </w:tblPrEx>
        <w:tc>
          <w:tcPr>
            <w:tcW w:w="640" w:type="pct"/>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pPr>
              <w:snapToGrid w:val="0"/>
              <w:jc w:val="both"/>
              <w:rPr>
                <w:rFonts w:eastAsia="宋体"/>
                <w:sz w:val="21"/>
                <w:szCs w:val="21"/>
              </w:rPr>
            </w:pPr>
          </w:p>
        </w:tc>
        <w:tc>
          <w:tcPr>
            <w:tcW w:w="3800" w:type="pct"/>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pPr>
              <w:snapToGrid w:val="0"/>
              <w:jc w:val="both"/>
              <w:rPr>
                <w:rFonts w:eastAsia="宋体"/>
                <w:sz w:val="21"/>
                <w:szCs w:val="21"/>
              </w:rPr>
            </w:pPr>
          </w:p>
        </w:tc>
        <w:tc>
          <w:tcPr>
            <w:tcW w:w="279" w:type="pct"/>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pPr>
              <w:snapToGrid w:val="0"/>
              <w:jc w:val="center"/>
              <w:rPr>
                <w:rFonts w:eastAsia="宋体"/>
                <w:sz w:val="21"/>
                <w:szCs w:val="21"/>
              </w:rPr>
            </w:pPr>
            <w:r>
              <w:rPr>
                <w:rFonts w:eastAsia="宋体"/>
                <w:b/>
                <w:bCs/>
                <w:color w:val="000000"/>
                <w:sz w:val="21"/>
                <w:szCs w:val="21"/>
              </w:rPr>
              <w:t>是</w:t>
            </w:r>
          </w:p>
        </w:tc>
        <w:tc>
          <w:tcPr>
            <w:tcW w:w="281" w:type="pct"/>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pPr>
              <w:snapToGrid w:val="0"/>
              <w:jc w:val="center"/>
              <w:rPr>
                <w:rFonts w:eastAsia="宋体"/>
                <w:sz w:val="21"/>
                <w:szCs w:val="21"/>
              </w:rPr>
            </w:pPr>
            <w:r>
              <w:rPr>
                <w:rFonts w:eastAsia="宋体"/>
                <w:b/>
                <w:bCs/>
                <w:color w:val="000000"/>
                <w:sz w:val="21"/>
                <w:szCs w:val="21"/>
              </w:rPr>
              <w:t>否</w:t>
            </w:r>
          </w:p>
        </w:tc>
      </w:tr>
      <w:tr>
        <w:tblPrEx>
          <w:tblCellMar>
            <w:top w:w="57" w:type="dxa"/>
            <w:left w:w="57" w:type="dxa"/>
            <w:bottom w:w="57" w:type="dxa"/>
            <w:right w:w="57" w:type="dxa"/>
          </w:tblCellMar>
        </w:tblPrEx>
        <w:tc>
          <w:tcPr>
            <w:tcW w:w="640"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决定1a</w:t>
            </w:r>
          </w:p>
        </w:tc>
        <w:tc>
          <w:tcPr>
            <w:tcW w:w="3800"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每项研究是否按照方案完成并进行了分析（对</w:t>
            </w:r>
            <w:r>
              <w:rPr>
                <w:rFonts w:ascii="宋体" w:hAnsi="宋体" w:eastAsia="宋体"/>
                <w:color w:val="000000"/>
                <w:sz w:val="21"/>
                <w:szCs w:val="21"/>
              </w:rPr>
              <w:t>“</w:t>
            </w:r>
            <w:r>
              <w:rPr>
                <w:rFonts w:eastAsia="宋体"/>
                <w:color w:val="000000"/>
                <w:sz w:val="21"/>
                <w:szCs w:val="21"/>
              </w:rPr>
              <w:t>技术要素的</w:t>
            </w:r>
            <w:r>
              <w:rPr>
                <w:rFonts w:hint="eastAsia" w:eastAsia="宋体"/>
                <w:color w:val="000000"/>
                <w:sz w:val="21"/>
                <w:szCs w:val="21"/>
              </w:rPr>
              <w:t>备案</w:t>
            </w:r>
            <w:r>
              <w:rPr>
                <w:rFonts w:eastAsia="宋体"/>
                <w:color w:val="000000"/>
                <w:sz w:val="21"/>
                <w:szCs w:val="21"/>
              </w:rPr>
              <w:t>评估</w:t>
            </w:r>
            <w:r>
              <w:rPr>
                <w:rFonts w:hint="eastAsia" w:ascii="宋体" w:hAnsi="宋体" w:eastAsia="宋体"/>
                <w:color w:val="000000"/>
                <w:sz w:val="21"/>
                <w:szCs w:val="21"/>
              </w:rPr>
              <w:t>”</w:t>
            </w:r>
            <w:r>
              <w:rPr>
                <w:rFonts w:eastAsia="宋体"/>
                <w:color w:val="000000"/>
                <w:sz w:val="21"/>
                <w:szCs w:val="21"/>
              </w:rPr>
              <w:t>中A1-9的回答）？</w:t>
            </w:r>
          </w:p>
          <w:p>
            <w:pPr>
              <w:snapToGrid w:val="0"/>
              <w:ind w:left="615" w:leftChars="150"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color w:val="000000"/>
                <w:sz w:val="21"/>
                <w:szCs w:val="21"/>
              </w:rPr>
              <w:t>如</w:t>
            </w:r>
            <w:r>
              <w:rPr>
                <w:rFonts w:ascii="宋体" w:hAnsi="宋体" w:eastAsia="宋体"/>
                <w:color w:val="000000"/>
                <w:sz w:val="21"/>
                <w:szCs w:val="21"/>
              </w:rPr>
              <w:t>“</w:t>
            </w:r>
            <w:r>
              <w:rPr>
                <w:rFonts w:eastAsia="宋体"/>
                <w:color w:val="000000"/>
                <w:sz w:val="21"/>
                <w:szCs w:val="21"/>
              </w:rPr>
              <w:t>是</w:t>
            </w:r>
            <w:r>
              <w:rPr>
                <w:rFonts w:ascii="宋体" w:hAnsi="宋体" w:eastAsia="宋体"/>
                <w:color w:val="000000"/>
                <w:sz w:val="21"/>
                <w:szCs w:val="21"/>
              </w:rPr>
              <w:t>”</w:t>
            </w:r>
            <w:r>
              <w:rPr>
                <w:rFonts w:eastAsia="宋体"/>
                <w:color w:val="000000"/>
                <w:sz w:val="21"/>
                <w:szCs w:val="21"/>
              </w:rPr>
              <w:t>，下面决定1请回答</w:t>
            </w:r>
            <w:r>
              <w:rPr>
                <w:rFonts w:ascii="宋体" w:hAnsi="宋体" w:eastAsia="宋体"/>
                <w:color w:val="000000"/>
                <w:sz w:val="21"/>
                <w:szCs w:val="21"/>
              </w:rPr>
              <w:t>“</w:t>
            </w:r>
            <w:r>
              <w:rPr>
                <w:rFonts w:eastAsia="宋体"/>
                <w:color w:val="000000"/>
                <w:sz w:val="21"/>
                <w:szCs w:val="21"/>
              </w:rPr>
              <w:t>是</w:t>
            </w:r>
            <w:r>
              <w:rPr>
                <w:rFonts w:ascii="宋体" w:hAnsi="宋体" w:eastAsia="宋体"/>
                <w:color w:val="000000"/>
                <w:sz w:val="21"/>
                <w:szCs w:val="21"/>
              </w:rPr>
              <w:t>”</w:t>
            </w:r>
            <w:r>
              <w:rPr>
                <w:rFonts w:eastAsia="宋体"/>
                <w:color w:val="000000"/>
                <w:sz w:val="21"/>
                <w:szCs w:val="21"/>
              </w:rPr>
              <w:t>。</w:t>
            </w:r>
          </w:p>
          <w:p>
            <w:pPr>
              <w:snapToGrid w:val="0"/>
              <w:ind w:left="615" w:leftChars="150" w:hanging="315" w:hangingChars="150"/>
              <w:jc w:val="both"/>
              <w:rPr>
                <w:rFonts w:eastAsia="宋体"/>
                <w:color w:val="000000"/>
                <w:sz w:val="21"/>
                <w:szCs w:val="21"/>
              </w:rPr>
            </w:pPr>
            <w:r>
              <w:rPr>
                <w:rFonts w:eastAsia="宋体"/>
                <w:color w:val="000000"/>
                <w:sz w:val="21"/>
                <w:szCs w:val="21"/>
              </w:rPr>
              <w:t>•</w:t>
            </w:r>
            <w:r>
              <w:rPr>
                <w:rFonts w:eastAsia="宋体"/>
                <w:color w:val="000000"/>
                <w:sz w:val="21"/>
                <w:szCs w:val="21"/>
              </w:rPr>
              <w:tab/>
            </w:r>
            <w:r>
              <w:rPr>
                <w:rFonts w:eastAsia="宋体"/>
                <w:color w:val="000000"/>
                <w:sz w:val="21"/>
                <w:szCs w:val="21"/>
              </w:rPr>
              <w:t>如</w:t>
            </w:r>
            <w:r>
              <w:rPr>
                <w:rFonts w:ascii="宋体" w:hAnsi="宋体" w:eastAsia="宋体"/>
                <w:color w:val="000000"/>
                <w:sz w:val="21"/>
                <w:szCs w:val="21"/>
              </w:rPr>
              <w:t>“</w:t>
            </w:r>
            <w:r>
              <w:rPr>
                <w:rFonts w:eastAsia="宋体"/>
                <w:color w:val="000000"/>
                <w:sz w:val="21"/>
                <w:szCs w:val="21"/>
              </w:rPr>
              <w:t>否</w:t>
            </w:r>
            <w:r>
              <w:rPr>
                <w:rFonts w:ascii="宋体" w:hAnsi="宋体" w:eastAsia="宋体"/>
                <w:color w:val="000000"/>
                <w:sz w:val="21"/>
                <w:szCs w:val="21"/>
              </w:rPr>
              <w:t>”</w:t>
            </w:r>
            <w:r>
              <w:rPr>
                <w:rFonts w:eastAsia="宋体"/>
                <w:color w:val="000000"/>
                <w:sz w:val="21"/>
                <w:szCs w:val="21"/>
              </w:rPr>
              <w:t>，请描述并继续进行决定1b。</w:t>
            </w:r>
          </w:p>
          <w:p>
            <w:pPr>
              <w:tabs>
                <w:tab w:val="left" w:pos="437"/>
              </w:tabs>
              <w:snapToGrid w:val="0"/>
              <w:jc w:val="both"/>
              <w:rPr>
                <w:rFonts w:eastAsia="宋体"/>
                <w:color w:val="000000"/>
                <w:sz w:val="21"/>
                <w:szCs w:val="21"/>
              </w:rPr>
            </w:pPr>
            <w:r>
              <w:rPr>
                <w:rFonts w:eastAsia="宋体"/>
                <w:color w:val="000000"/>
                <w:sz w:val="21"/>
                <w:szCs w:val="21"/>
              </w:rPr>
              <w:t>意见：</w:t>
            </w:r>
          </w:p>
          <w:p>
            <w:pPr>
              <w:tabs>
                <w:tab w:val="left" w:pos="437"/>
              </w:tabs>
              <w:snapToGrid w:val="0"/>
              <w:jc w:val="both"/>
              <w:rPr>
                <w:rFonts w:eastAsia="宋体"/>
                <w:color w:val="000000"/>
                <w:sz w:val="21"/>
                <w:szCs w:val="21"/>
              </w:rPr>
            </w:pPr>
          </w:p>
          <w:p>
            <w:pPr>
              <w:tabs>
                <w:tab w:val="left" w:pos="437"/>
              </w:tabs>
              <w:snapToGrid w:val="0"/>
              <w:jc w:val="both"/>
              <w:rPr>
                <w:rFonts w:eastAsia="宋体"/>
                <w:sz w:val="21"/>
                <w:szCs w:val="21"/>
              </w:rPr>
            </w:pPr>
          </w:p>
        </w:tc>
        <w:tc>
          <w:tcPr>
            <w:tcW w:w="279"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281"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c>
          <w:tcPr>
            <w:tcW w:w="640"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决定1b</w:t>
            </w:r>
          </w:p>
        </w:tc>
        <w:tc>
          <w:tcPr>
            <w:tcW w:w="3800"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如果任何研究未按照方案完成，申请人是否为这种替代方法提供了详细的科学或临床理由，而不打算用</w:t>
            </w:r>
            <w:r>
              <w:rPr>
                <w:rFonts w:hint="eastAsia" w:eastAsia="宋体"/>
                <w:color w:val="000000"/>
                <w:sz w:val="21"/>
                <w:szCs w:val="21"/>
              </w:rPr>
              <w:t>额外的数据</w:t>
            </w:r>
            <w:r>
              <w:rPr>
                <w:rFonts w:eastAsia="宋体"/>
                <w:color w:val="000000"/>
                <w:sz w:val="21"/>
                <w:szCs w:val="21"/>
              </w:rPr>
              <w:t>更新PMA？</w:t>
            </w:r>
          </w:p>
          <w:p>
            <w:pPr>
              <w:snapToGrid w:val="0"/>
              <w:ind w:left="615" w:leftChars="150"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color w:val="000000"/>
                <w:sz w:val="21"/>
                <w:szCs w:val="21"/>
              </w:rPr>
              <w:t>如</w:t>
            </w:r>
            <w:r>
              <w:rPr>
                <w:rFonts w:ascii="宋体" w:hAnsi="宋体" w:eastAsia="宋体"/>
                <w:color w:val="000000"/>
                <w:sz w:val="21"/>
                <w:szCs w:val="21"/>
              </w:rPr>
              <w:t>“</w:t>
            </w:r>
            <w:r>
              <w:rPr>
                <w:rFonts w:eastAsia="宋体"/>
                <w:color w:val="000000"/>
                <w:sz w:val="21"/>
                <w:szCs w:val="21"/>
              </w:rPr>
              <w:t>是</w:t>
            </w:r>
            <w:r>
              <w:rPr>
                <w:rFonts w:ascii="宋体" w:hAnsi="宋体" w:eastAsia="宋体"/>
                <w:color w:val="000000"/>
                <w:sz w:val="21"/>
                <w:szCs w:val="21"/>
              </w:rPr>
              <w:t>”</w:t>
            </w:r>
            <w:r>
              <w:rPr>
                <w:rFonts w:eastAsia="宋体"/>
                <w:color w:val="000000"/>
                <w:sz w:val="21"/>
                <w:szCs w:val="21"/>
              </w:rPr>
              <w:t>，请描述并对下面决定1回答</w:t>
            </w:r>
            <w:r>
              <w:rPr>
                <w:rFonts w:ascii="宋体" w:hAnsi="宋体" w:eastAsia="宋体"/>
                <w:color w:val="000000"/>
                <w:sz w:val="21"/>
                <w:szCs w:val="21"/>
              </w:rPr>
              <w:t>“</w:t>
            </w:r>
            <w:r>
              <w:rPr>
                <w:rFonts w:eastAsia="宋体"/>
                <w:color w:val="000000"/>
                <w:sz w:val="21"/>
                <w:szCs w:val="21"/>
              </w:rPr>
              <w:t>是</w:t>
            </w:r>
            <w:r>
              <w:rPr>
                <w:rFonts w:ascii="宋体" w:hAnsi="宋体" w:eastAsia="宋体"/>
                <w:color w:val="000000"/>
                <w:sz w:val="21"/>
                <w:szCs w:val="21"/>
              </w:rPr>
              <w:t>”</w:t>
            </w:r>
            <w:r>
              <w:rPr>
                <w:rFonts w:eastAsia="宋体"/>
                <w:color w:val="000000"/>
                <w:sz w:val="21"/>
                <w:szCs w:val="21"/>
              </w:rPr>
              <w:t>。</w:t>
            </w:r>
          </w:p>
          <w:p>
            <w:pPr>
              <w:snapToGrid w:val="0"/>
              <w:ind w:left="615" w:leftChars="150"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color w:val="000000"/>
                <w:sz w:val="21"/>
                <w:szCs w:val="21"/>
              </w:rPr>
              <w:t>如</w:t>
            </w:r>
            <w:r>
              <w:rPr>
                <w:rFonts w:ascii="宋体" w:hAnsi="宋体" w:eastAsia="宋体"/>
                <w:color w:val="000000"/>
                <w:sz w:val="21"/>
                <w:szCs w:val="21"/>
              </w:rPr>
              <w:t>“</w:t>
            </w:r>
            <w:r>
              <w:rPr>
                <w:rFonts w:eastAsia="宋体"/>
                <w:color w:val="000000"/>
                <w:sz w:val="21"/>
                <w:szCs w:val="21"/>
              </w:rPr>
              <w:t>否</w:t>
            </w:r>
            <w:r>
              <w:rPr>
                <w:rFonts w:ascii="宋体" w:hAnsi="宋体" w:eastAsia="宋体"/>
                <w:color w:val="000000"/>
                <w:sz w:val="21"/>
                <w:szCs w:val="21"/>
              </w:rPr>
              <w:t>”</w:t>
            </w:r>
            <w:r>
              <w:rPr>
                <w:rFonts w:eastAsia="宋体"/>
                <w:color w:val="000000"/>
                <w:sz w:val="21"/>
                <w:szCs w:val="21"/>
              </w:rPr>
              <w:t>（即未提供理由，或打算进行临床更新），请描述并对下面决定1</w:t>
            </w:r>
            <w:r>
              <w:rPr>
                <w:rFonts w:hint="eastAsia" w:eastAsia="宋体"/>
                <w:color w:val="000000"/>
                <w:sz w:val="21"/>
                <w:szCs w:val="21"/>
              </w:rPr>
              <w:t>回答</w:t>
            </w:r>
            <w:r>
              <w:rPr>
                <w:rFonts w:ascii="宋体" w:hAnsi="宋体" w:eastAsia="宋体"/>
                <w:color w:val="000000"/>
                <w:sz w:val="21"/>
                <w:szCs w:val="21"/>
              </w:rPr>
              <w:t>“</w:t>
            </w:r>
            <w:r>
              <w:rPr>
                <w:rFonts w:eastAsia="宋体"/>
                <w:color w:val="000000"/>
                <w:sz w:val="21"/>
                <w:szCs w:val="21"/>
              </w:rPr>
              <w:t>否</w:t>
            </w:r>
            <w:r>
              <w:rPr>
                <w:rFonts w:ascii="宋体" w:hAnsi="宋体" w:eastAsia="宋体"/>
                <w:color w:val="000000"/>
                <w:sz w:val="21"/>
                <w:szCs w:val="21"/>
              </w:rPr>
              <w:t>”</w:t>
            </w:r>
            <w:r>
              <w:rPr>
                <w:rFonts w:eastAsia="宋体"/>
                <w:color w:val="000000"/>
                <w:sz w:val="21"/>
                <w:szCs w:val="21"/>
              </w:rPr>
              <w:t>。</w:t>
            </w:r>
          </w:p>
          <w:p>
            <w:pPr>
              <w:snapToGrid w:val="0"/>
              <w:jc w:val="both"/>
              <w:rPr>
                <w:rFonts w:eastAsia="宋体"/>
                <w:color w:val="000000"/>
                <w:sz w:val="21"/>
                <w:szCs w:val="21"/>
              </w:rPr>
            </w:pPr>
            <w:r>
              <w:rPr>
                <w:rFonts w:eastAsia="宋体"/>
                <w:color w:val="000000"/>
                <w:sz w:val="21"/>
                <w:szCs w:val="21"/>
              </w:rPr>
              <w:t>意见：</w:t>
            </w:r>
          </w:p>
          <w:p>
            <w:pPr>
              <w:snapToGrid w:val="0"/>
              <w:jc w:val="both"/>
              <w:rPr>
                <w:rFonts w:eastAsia="宋体"/>
                <w:color w:val="000000"/>
                <w:sz w:val="21"/>
                <w:szCs w:val="21"/>
              </w:rPr>
            </w:pPr>
          </w:p>
          <w:p>
            <w:pPr>
              <w:snapToGrid w:val="0"/>
              <w:jc w:val="both"/>
              <w:rPr>
                <w:rFonts w:eastAsia="宋体"/>
                <w:sz w:val="21"/>
                <w:szCs w:val="21"/>
              </w:rPr>
            </w:pPr>
          </w:p>
        </w:tc>
        <w:tc>
          <w:tcPr>
            <w:tcW w:w="279"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281"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c>
          <w:tcPr>
            <w:tcW w:w="640" w:type="pct"/>
            <w:tcBorders>
              <w:top w:val="single" w:color="auto" w:sz="6" w:space="0"/>
              <w:left w:val="single" w:color="auto" w:sz="6" w:space="0"/>
              <w:bottom w:val="single" w:color="auto" w:sz="6" w:space="0"/>
              <w:right w:val="single" w:color="auto" w:sz="6" w:space="0"/>
            </w:tcBorders>
            <w:shd w:val="clear" w:color="auto" w:fill="E6E6E6"/>
            <w:tcMar>
              <w:left w:w="57" w:type="dxa"/>
              <w:right w:w="57" w:type="dxa"/>
            </w:tcMar>
          </w:tcPr>
          <w:p>
            <w:pPr>
              <w:snapToGrid w:val="0"/>
              <w:jc w:val="both"/>
              <w:rPr>
                <w:rFonts w:eastAsia="宋体"/>
                <w:sz w:val="21"/>
                <w:szCs w:val="21"/>
              </w:rPr>
            </w:pPr>
            <w:r>
              <w:rPr>
                <w:rFonts w:eastAsia="宋体"/>
                <w:b/>
                <w:bCs/>
                <w:color w:val="000000"/>
                <w:sz w:val="21"/>
                <w:szCs w:val="21"/>
              </w:rPr>
              <w:t>决定1</w:t>
            </w:r>
          </w:p>
        </w:tc>
        <w:tc>
          <w:tcPr>
            <w:tcW w:w="3800" w:type="pct"/>
            <w:tcBorders>
              <w:top w:val="single" w:color="auto" w:sz="6" w:space="0"/>
              <w:left w:val="single" w:color="auto" w:sz="6" w:space="0"/>
              <w:bottom w:val="single" w:color="auto" w:sz="6" w:space="0"/>
              <w:right w:val="single" w:color="auto" w:sz="6" w:space="0"/>
            </w:tcBorders>
            <w:shd w:val="clear" w:color="auto" w:fill="E6E6E6"/>
            <w:tcMar>
              <w:left w:w="57" w:type="dxa"/>
              <w:right w:w="57" w:type="dxa"/>
            </w:tcMar>
          </w:tcPr>
          <w:p>
            <w:pPr>
              <w:snapToGrid w:val="0"/>
              <w:jc w:val="both"/>
              <w:rPr>
                <w:rFonts w:eastAsia="宋体"/>
                <w:sz w:val="21"/>
                <w:szCs w:val="21"/>
              </w:rPr>
            </w:pPr>
            <w:r>
              <w:rPr>
                <w:rFonts w:eastAsia="宋体"/>
                <w:b/>
                <w:bCs/>
                <w:color w:val="000000"/>
                <w:sz w:val="21"/>
                <w:szCs w:val="21"/>
              </w:rPr>
              <w:t>临床研究数据的收集和分析是否按照方案进行？</w:t>
            </w:r>
          </w:p>
        </w:tc>
        <w:tc>
          <w:tcPr>
            <w:tcW w:w="279" w:type="pct"/>
            <w:tcBorders>
              <w:top w:val="single" w:color="auto" w:sz="6" w:space="0"/>
              <w:left w:val="single" w:color="auto" w:sz="6" w:space="0"/>
              <w:bottom w:val="single" w:color="auto" w:sz="6" w:space="0"/>
              <w:right w:val="single" w:color="auto" w:sz="6" w:space="0"/>
            </w:tcBorders>
            <w:shd w:val="clear" w:color="auto" w:fill="E6E6E6"/>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281" w:type="pct"/>
            <w:tcBorders>
              <w:top w:val="single" w:color="auto" w:sz="6" w:space="0"/>
              <w:left w:val="single" w:color="auto" w:sz="6" w:space="0"/>
              <w:bottom w:val="single" w:color="auto" w:sz="6" w:space="0"/>
              <w:right w:val="single" w:color="auto" w:sz="6" w:space="0"/>
            </w:tcBorders>
            <w:shd w:val="clear" w:color="auto" w:fill="E6E6E6"/>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c>
          <w:tcPr>
            <w:tcW w:w="640"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决定2a</w:t>
            </w:r>
          </w:p>
        </w:tc>
        <w:tc>
          <w:tcPr>
            <w:tcW w:w="3800"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研究是否使用最终的器械设计（即打算上市的器械设计）进行？</w:t>
            </w:r>
          </w:p>
          <w:p>
            <w:pPr>
              <w:snapToGrid w:val="0"/>
              <w:ind w:left="615" w:leftChars="150"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color w:val="000000"/>
                <w:sz w:val="21"/>
                <w:szCs w:val="21"/>
              </w:rPr>
              <w:t>如</w:t>
            </w:r>
            <w:r>
              <w:rPr>
                <w:rFonts w:ascii="宋体" w:hAnsi="宋体" w:eastAsia="宋体"/>
                <w:color w:val="000000"/>
                <w:sz w:val="21"/>
                <w:szCs w:val="21"/>
              </w:rPr>
              <w:t>“</w:t>
            </w:r>
            <w:r>
              <w:rPr>
                <w:rFonts w:eastAsia="宋体"/>
                <w:color w:val="000000"/>
                <w:sz w:val="21"/>
                <w:szCs w:val="21"/>
              </w:rPr>
              <w:t>是</w:t>
            </w:r>
            <w:r>
              <w:rPr>
                <w:rFonts w:ascii="宋体" w:hAnsi="宋体" w:eastAsia="宋体"/>
                <w:color w:val="000000"/>
                <w:sz w:val="21"/>
                <w:szCs w:val="21"/>
              </w:rPr>
              <w:t>”</w:t>
            </w:r>
            <w:r>
              <w:rPr>
                <w:rFonts w:eastAsia="宋体"/>
                <w:color w:val="000000"/>
                <w:sz w:val="21"/>
                <w:szCs w:val="21"/>
              </w:rPr>
              <w:t>，下面决定2请回答</w:t>
            </w:r>
            <w:r>
              <w:rPr>
                <w:rFonts w:hint="eastAsia" w:ascii="宋体" w:hAnsi="宋体" w:eastAsia="宋体"/>
                <w:color w:val="000000"/>
                <w:sz w:val="21"/>
                <w:szCs w:val="21"/>
              </w:rPr>
              <w:t>“</w:t>
            </w:r>
            <w:r>
              <w:rPr>
                <w:rFonts w:eastAsia="宋体"/>
                <w:color w:val="000000"/>
                <w:sz w:val="21"/>
                <w:szCs w:val="21"/>
              </w:rPr>
              <w:t>是</w:t>
            </w:r>
            <w:r>
              <w:rPr>
                <w:rFonts w:ascii="宋体" w:hAnsi="宋体" w:eastAsia="宋体"/>
                <w:color w:val="000000"/>
                <w:sz w:val="21"/>
                <w:szCs w:val="21"/>
              </w:rPr>
              <w:t>”</w:t>
            </w:r>
            <w:r>
              <w:rPr>
                <w:rFonts w:eastAsia="宋体"/>
                <w:color w:val="000000"/>
                <w:sz w:val="21"/>
                <w:szCs w:val="21"/>
              </w:rPr>
              <w:t>。</w:t>
            </w:r>
          </w:p>
          <w:p>
            <w:pPr>
              <w:snapToGrid w:val="0"/>
              <w:ind w:left="615" w:leftChars="150" w:hanging="315" w:hangingChars="150"/>
              <w:jc w:val="both"/>
              <w:rPr>
                <w:rFonts w:eastAsia="宋体"/>
                <w:color w:val="000000"/>
                <w:sz w:val="21"/>
                <w:szCs w:val="21"/>
              </w:rPr>
            </w:pPr>
            <w:r>
              <w:rPr>
                <w:rFonts w:eastAsia="宋体"/>
                <w:color w:val="000000"/>
                <w:sz w:val="21"/>
                <w:szCs w:val="21"/>
              </w:rPr>
              <w:t>•</w:t>
            </w:r>
            <w:r>
              <w:rPr>
                <w:rFonts w:eastAsia="宋体"/>
                <w:color w:val="000000"/>
                <w:sz w:val="21"/>
                <w:szCs w:val="21"/>
              </w:rPr>
              <w:tab/>
            </w:r>
            <w:r>
              <w:rPr>
                <w:rFonts w:eastAsia="宋体"/>
                <w:color w:val="000000"/>
                <w:sz w:val="21"/>
                <w:szCs w:val="21"/>
              </w:rPr>
              <w:t>如</w:t>
            </w:r>
            <w:r>
              <w:rPr>
                <w:rFonts w:ascii="宋体" w:hAnsi="宋体" w:eastAsia="宋体"/>
                <w:color w:val="000000"/>
                <w:sz w:val="21"/>
                <w:szCs w:val="21"/>
              </w:rPr>
              <w:t>“</w:t>
            </w:r>
            <w:r>
              <w:rPr>
                <w:rFonts w:eastAsia="宋体"/>
                <w:color w:val="000000"/>
                <w:sz w:val="21"/>
                <w:szCs w:val="21"/>
              </w:rPr>
              <w:t>否</w:t>
            </w:r>
            <w:r>
              <w:rPr>
                <w:rFonts w:ascii="宋体" w:hAnsi="宋体" w:eastAsia="宋体"/>
                <w:color w:val="000000"/>
                <w:sz w:val="21"/>
                <w:szCs w:val="21"/>
              </w:rPr>
              <w:t>”</w:t>
            </w:r>
            <w:r>
              <w:rPr>
                <w:rFonts w:eastAsia="宋体"/>
                <w:color w:val="000000"/>
                <w:sz w:val="21"/>
                <w:szCs w:val="21"/>
              </w:rPr>
              <w:t>，请描述并继续进行决定2b。</w:t>
            </w:r>
          </w:p>
          <w:p>
            <w:pPr>
              <w:tabs>
                <w:tab w:val="left" w:pos="720"/>
              </w:tabs>
              <w:snapToGrid w:val="0"/>
              <w:jc w:val="both"/>
              <w:rPr>
                <w:rFonts w:eastAsia="宋体"/>
                <w:color w:val="000000"/>
                <w:sz w:val="21"/>
                <w:szCs w:val="21"/>
              </w:rPr>
            </w:pPr>
            <w:r>
              <w:rPr>
                <w:rFonts w:eastAsia="宋体"/>
                <w:color w:val="000000"/>
                <w:sz w:val="21"/>
                <w:szCs w:val="21"/>
              </w:rPr>
              <w:t>意见：</w:t>
            </w:r>
          </w:p>
          <w:p>
            <w:pPr>
              <w:tabs>
                <w:tab w:val="left" w:pos="720"/>
              </w:tabs>
              <w:snapToGrid w:val="0"/>
              <w:jc w:val="both"/>
              <w:rPr>
                <w:rFonts w:eastAsia="宋体"/>
                <w:color w:val="000000"/>
                <w:sz w:val="21"/>
                <w:szCs w:val="21"/>
              </w:rPr>
            </w:pPr>
          </w:p>
          <w:p>
            <w:pPr>
              <w:tabs>
                <w:tab w:val="left" w:pos="720"/>
              </w:tabs>
              <w:snapToGrid w:val="0"/>
              <w:jc w:val="both"/>
              <w:rPr>
                <w:rFonts w:eastAsia="宋体"/>
                <w:sz w:val="21"/>
                <w:szCs w:val="21"/>
              </w:rPr>
            </w:pPr>
          </w:p>
        </w:tc>
        <w:tc>
          <w:tcPr>
            <w:tcW w:w="279"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281"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bl>
    <w:p>
      <w:pPr>
        <w:snapToGrid w:val="0"/>
        <w:spacing w:after="240" w:afterLines="100"/>
        <w:jc w:val="both"/>
        <w:rPr>
          <w:rFonts w:eastAsia="宋体"/>
          <w:sz w:val="21"/>
          <w:szCs w:val="21"/>
        </w:rPr>
      </w:pPr>
    </w:p>
    <w:p>
      <w:pPr>
        <w:snapToGrid w:val="0"/>
        <w:spacing w:after="240" w:afterLines="100"/>
        <w:jc w:val="both"/>
        <w:rPr>
          <w:rFonts w:eastAsia="宋体"/>
          <w:sz w:val="21"/>
          <w:szCs w:val="21"/>
        </w:rPr>
        <w:sectPr>
          <w:pgSz w:w="11906" w:h="16838"/>
          <w:pgMar w:top="1134" w:right="1134" w:bottom="1134" w:left="1418" w:header="567" w:footer="567" w:gutter="0"/>
          <w:cols w:space="60" w:num="1"/>
          <w:docGrid w:linePitch="272" w:charSpace="0"/>
        </w:sectPr>
      </w:pPr>
    </w:p>
    <w:tbl>
      <w:tblPr>
        <w:tblStyle w:val="9"/>
        <w:tblW w:w="5000" w:type="pct"/>
        <w:tblInd w:w="0" w:type="dxa"/>
        <w:tblLayout w:type="autofit"/>
        <w:tblCellMar>
          <w:top w:w="57" w:type="dxa"/>
          <w:left w:w="57" w:type="dxa"/>
          <w:bottom w:w="57" w:type="dxa"/>
          <w:right w:w="57" w:type="dxa"/>
        </w:tblCellMar>
      </w:tblPr>
      <w:tblGrid>
        <w:gridCol w:w="1200"/>
        <w:gridCol w:w="7217"/>
        <w:gridCol w:w="523"/>
        <w:gridCol w:w="528"/>
      </w:tblGrid>
      <w:tr>
        <w:tblPrEx>
          <w:tblCellMar>
            <w:top w:w="57" w:type="dxa"/>
            <w:left w:w="57" w:type="dxa"/>
            <w:bottom w:w="57" w:type="dxa"/>
            <w:right w:w="57" w:type="dxa"/>
          </w:tblCellMar>
        </w:tblPrEx>
        <w:tc>
          <w:tcPr>
            <w:tcW w:w="5000" w:type="pct"/>
            <w:gridSpan w:val="4"/>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vAlign w:val="center"/>
          </w:tcPr>
          <w:p>
            <w:pPr>
              <w:snapToGrid w:val="0"/>
              <w:jc w:val="center"/>
              <w:rPr>
                <w:rFonts w:eastAsia="宋体"/>
                <w:sz w:val="21"/>
                <w:szCs w:val="21"/>
                <w:u w:val="single"/>
              </w:rPr>
            </w:pPr>
            <w:r>
              <w:rPr>
                <w:rFonts w:hint="eastAsia" w:eastAsia="宋体"/>
                <w:b/>
                <w:bCs/>
                <w:color w:val="000000"/>
                <w:sz w:val="21"/>
                <w:szCs w:val="21"/>
                <w:u w:val="single"/>
              </w:rPr>
              <w:t>备案</w:t>
            </w:r>
            <w:r>
              <w:rPr>
                <w:rFonts w:eastAsia="宋体"/>
                <w:b/>
                <w:bCs/>
                <w:color w:val="000000"/>
                <w:sz w:val="21"/>
                <w:szCs w:val="21"/>
                <w:u w:val="single"/>
              </w:rPr>
              <w:t>决定问题</w:t>
            </w:r>
          </w:p>
        </w:tc>
      </w:tr>
      <w:tr>
        <w:tblPrEx>
          <w:tblCellMar>
            <w:top w:w="57" w:type="dxa"/>
            <w:left w:w="57" w:type="dxa"/>
            <w:bottom w:w="57" w:type="dxa"/>
            <w:right w:w="57" w:type="dxa"/>
          </w:tblCellMar>
        </w:tblPrEx>
        <w:tc>
          <w:tcPr>
            <w:tcW w:w="5000" w:type="pct"/>
            <w:gridSpan w:val="4"/>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pPr>
              <w:snapToGrid w:val="0"/>
              <w:jc w:val="both"/>
              <w:rPr>
                <w:rFonts w:eastAsia="宋体"/>
                <w:sz w:val="21"/>
                <w:szCs w:val="21"/>
              </w:rPr>
            </w:pPr>
            <w:r>
              <w:rPr>
                <w:rFonts w:hint="eastAsia" w:eastAsia="宋体"/>
                <w:b/>
                <w:bCs/>
                <w:color w:val="000000"/>
                <w:sz w:val="21"/>
                <w:szCs w:val="21"/>
              </w:rPr>
              <w:t>备案</w:t>
            </w:r>
            <w:r>
              <w:rPr>
                <w:rFonts w:eastAsia="宋体"/>
                <w:b/>
                <w:bCs/>
                <w:color w:val="000000"/>
                <w:sz w:val="21"/>
                <w:szCs w:val="21"/>
              </w:rPr>
              <w:t>决定问题用阴影和黑体字表示。一些</w:t>
            </w:r>
            <w:r>
              <w:rPr>
                <w:rFonts w:hint="eastAsia" w:eastAsia="宋体"/>
                <w:b/>
                <w:bCs/>
                <w:color w:val="000000"/>
                <w:sz w:val="21"/>
                <w:szCs w:val="21"/>
              </w:rPr>
              <w:t>备案</w:t>
            </w:r>
            <w:r>
              <w:rPr>
                <w:rFonts w:eastAsia="宋体"/>
                <w:b/>
                <w:bCs/>
                <w:color w:val="000000"/>
                <w:sz w:val="21"/>
                <w:szCs w:val="21"/>
              </w:rPr>
              <w:t>决定问题之前有介绍性问题（用后缀</w:t>
            </w:r>
            <w:r>
              <w:rPr>
                <w:rFonts w:ascii="宋体" w:hAnsi="宋体" w:eastAsia="宋体"/>
                <w:b/>
                <w:bCs/>
                <w:color w:val="000000"/>
                <w:sz w:val="21"/>
                <w:szCs w:val="21"/>
              </w:rPr>
              <w:t>“</w:t>
            </w:r>
            <w:r>
              <w:rPr>
                <w:rFonts w:eastAsia="宋体"/>
                <w:b/>
                <w:bCs/>
                <w:color w:val="000000"/>
                <w:sz w:val="21"/>
                <w:szCs w:val="21"/>
              </w:rPr>
              <w:t>a</w:t>
            </w:r>
            <w:r>
              <w:rPr>
                <w:rFonts w:hint="eastAsia" w:ascii="宋体" w:hAnsi="宋体" w:eastAsia="宋体"/>
                <w:b/>
                <w:bCs/>
                <w:color w:val="000000"/>
                <w:sz w:val="21"/>
                <w:szCs w:val="21"/>
              </w:rPr>
              <w:t>”</w:t>
            </w:r>
            <w:r>
              <w:rPr>
                <w:rFonts w:eastAsia="宋体"/>
                <w:b/>
                <w:bCs/>
                <w:color w:val="000000"/>
                <w:sz w:val="21"/>
                <w:szCs w:val="21"/>
              </w:rPr>
              <w:t>和</w:t>
            </w:r>
            <w:r>
              <w:rPr>
                <w:rFonts w:ascii="宋体" w:hAnsi="宋体" w:eastAsia="宋体"/>
                <w:b/>
                <w:bCs/>
                <w:color w:val="000000"/>
                <w:sz w:val="21"/>
                <w:szCs w:val="21"/>
              </w:rPr>
              <w:t>“</w:t>
            </w:r>
            <w:r>
              <w:rPr>
                <w:rFonts w:eastAsia="宋体"/>
                <w:b/>
                <w:bCs/>
                <w:color w:val="000000"/>
                <w:sz w:val="21"/>
                <w:szCs w:val="21"/>
              </w:rPr>
              <w:t>b</w:t>
            </w:r>
            <w:r>
              <w:rPr>
                <w:rFonts w:hint="eastAsia" w:ascii="宋体" w:hAnsi="宋体" w:eastAsia="宋体"/>
                <w:b/>
                <w:bCs/>
                <w:color w:val="000000"/>
                <w:sz w:val="21"/>
                <w:szCs w:val="21"/>
              </w:rPr>
              <w:t>”</w:t>
            </w:r>
            <w:r>
              <w:rPr>
                <w:rFonts w:eastAsia="宋体"/>
                <w:b/>
                <w:bCs/>
                <w:color w:val="000000"/>
                <w:sz w:val="21"/>
                <w:szCs w:val="21"/>
              </w:rPr>
              <w:t>表示），以确保这些</w:t>
            </w:r>
            <w:r>
              <w:rPr>
                <w:rFonts w:hint="eastAsia" w:eastAsia="宋体"/>
                <w:b/>
                <w:bCs/>
                <w:color w:val="000000"/>
                <w:sz w:val="21"/>
                <w:szCs w:val="21"/>
              </w:rPr>
              <w:t>备案</w:t>
            </w:r>
            <w:r>
              <w:rPr>
                <w:rFonts w:eastAsia="宋体"/>
                <w:b/>
                <w:bCs/>
                <w:color w:val="000000"/>
                <w:sz w:val="21"/>
                <w:szCs w:val="21"/>
              </w:rPr>
              <w:t>决定问题得到适当的回答。</w:t>
            </w:r>
          </w:p>
        </w:tc>
      </w:tr>
      <w:tr>
        <w:tblPrEx>
          <w:tblCellMar>
            <w:top w:w="57" w:type="dxa"/>
            <w:left w:w="57" w:type="dxa"/>
            <w:bottom w:w="57" w:type="dxa"/>
            <w:right w:w="57" w:type="dxa"/>
          </w:tblCellMar>
        </w:tblPrEx>
        <w:tc>
          <w:tcPr>
            <w:tcW w:w="634" w:type="pct"/>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pPr>
              <w:snapToGrid w:val="0"/>
              <w:jc w:val="both"/>
              <w:rPr>
                <w:rFonts w:eastAsia="宋体"/>
                <w:sz w:val="21"/>
                <w:szCs w:val="21"/>
              </w:rPr>
            </w:pPr>
          </w:p>
        </w:tc>
        <w:tc>
          <w:tcPr>
            <w:tcW w:w="3811" w:type="pct"/>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pPr>
              <w:snapToGrid w:val="0"/>
              <w:jc w:val="both"/>
              <w:rPr>
                <w:rFonts w:eastAsia="宋体"/>
                <w:sz w:val="21"/>
                <w:szCs w:val="21"/>
              </w:rPr>
            </w:pPr>
          </w:p>
        </w:tc>
        <w:tc>
          <w:tcPr>
            <w:tcW w:w="276" w:type="pct"/>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pPr>
              <w:snapToGrid w:val="0"/>
              <w:jc w:val="center"/>
              <w:rPr>
                <w:rFonts w:eastAsia="宋体"/>
                <w:sz w:val="21"/>
                <w:szCs w:val="21"/>
              </w:rPr>
            </w:pPr>
            <w:r>
              <w:rPr>
                <w:rFonts w:eastAsia="宋体"/>
                <w:b/>
                <w:bCs/>
                <w:color w:val="000000"/>
                <w:sz w:val="21"/>
                <w:szCs w:val="21"/>
              </w:rPr>
              <w:t>是</w:t>
            </w:r>
          </w:p>
        </w:tc>
        <w:tc>
          <w:tcPr>
            <w:tcW w:w="279" w:type="pct"/>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tcPr>
          <w:p>
            <w:pPr>
              <w:snapToGrid w:val="0"/>
              <w:jc w:val="center"/>
              <w:rPr>
                <w:rFonts w:eastAsia="宋体"/>
                <w:sz w:val="21"/>
                <w:szCs w:val="21"/>
              </w:rPr>
            </w:pPr>
            <w:r>
              <w:rPr>
                <w:rFonts w:eastAsia="宋体"/>
                <w:b/>
                <w:bCs/>
                <w:color w:val="000000"/>
                <w:sz w:val="21"/>
                <w:szCs w:val="21"/>
              </w:rPr>
              <w:t>否</w:t>
            </w:r>
          </w:p>
        </w:tc>
      </w:tr>
      <w:tr>
        <w:tblPrEx>
          <w:tblCellMar>
            <w:top w:w="57" w:type="dxa"/>
            <w:left w:w="57" w:type="dxa"/>
            <w:bottom w:w="57" w:type="dxa"/>
            <w:right w:w="57" w:type="dxa"/>
          </w:tblCellMar>
        </w:tblPrEx>
        <w:tc>
          <w:tcPr>
            <w:tcW w:w="634"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决定2b</w:t>
            </w:r>
          </w:p>
        </w:tc>
        <w:tc>
          <w:tcPr>
            <w:tcW w:w="3811"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如果研究是使用早期的器械设计进行的，申请人是否提供了详细的科学或临床理由，说明为什么所做的改变不会影响安全性和有效性？</w:t>
            </w:r>
          </w:p>
          <w:p>
            <w:pPr>
              <w:snapToGrid w:val="0"/>
              <w:ind w:left="615" w:hanging="315"/>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color w:val="000000"/>
                <w:sz w:val="21"/>
                <w:szCs w:val="21"/>
              </w:rPr>
              <w:t>如</w:t>
            </w:r>
            <w:r>
              <w:rPr>
                <w:rFonts w:ascii="宋体" w:hAnsi="宋体" w:eastAsia="宋体"/>
                <w:color w:val="000000"/>
                <w:sz w:val="21"/>
                <w:szCs w:val="21"/>
              </w:rPr>
              <w:t>“</w:t>
            </w:r>
            <w:r>
              <w:rPr>
                <w:rFonts w:eastAsia="宋体"/>
                <w:color w:val="000000"/>
                <w:sz w:val="21"/>
                <w:szCs w:val="21"/>
              </w:rPr>
              <w:t>是</w:t>
            </w:r>
            <w:r>
              <w:rPr>
                <w:rFonts w:ascii="宋体" w:hAnsi="宋体" w:eastAsia="宋体"/>
                <w:color w:val="000000"/>
                <w:sz w:val="21"/>
                <w:szCs w:val="21"/>
              </w:rPr>
              <w:t>”</w:t>
            </w:r>
            <w:r>
              <w:rPr>
                <w:rFonts w:eastAsia="宋体"/>
                <w:color w:val="000000"/>
                <w:sz w:val="21"/>
                <w:szCs w:val="21"/>
              </w:rPr>
              <w:t>，请描述并对下面决定2回答</w:t>
            </w:r>
            <w:r>
              <w:rPr>
                <w:rFonts w:ascii="宋体" w:hAnsi="宋体" w:eastAsia="宋体"/>
                <w:color w:val="000000"/>
                <w:sz w:val="21"/>
                <w:szCs w:val="21"/>
              </w:rPr>
              <w:t>“</w:t>
            </w:r>
            <w:r>
              <w:rPr>
                <w:rFonts w:eastAsia="宋体"/>
                <w:color w:val="000000"/>
                <w:sz w:val="21"/>
                <w:szCs w:val="21"/>
              </w:rPr>
              <w:t>是</w:t>
            </w:r>
            <w:r>
              <w:rPr>
                <w:rFonts w:ascii="宋体" w:hAnsi="宋体" w:eastAsia="宋体"/>
                <w:color w:val="000000"/>
                <w:sz w:val="21"/>
                <w:szCs w:val="21"/>
              </w:rPr>
              <w:t>”</w:t>
            </w:r>
            <w:r>
              <w:rPr>
                <w:rFonts w:eastAsia="宋体"/>
                <w:color w:val="000000"/>
                <w:sz w:val="21"/>
                <w:szCs w:val="21"/>
              </w:rPr>
              <w:t>。</w:t>
            </w:r>
          </w:p>
          <w:p>
            <w:pPr>
              <w:snapToGrid w:val="0"/>
              <w:ind w:left="615" w:hanging="315"/>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color w:val="000000"/>
                <w:sz w:val="21"/>
                <w:szCs w:val="21"/>
              </w:rPr>
              <w:t>如</w:t>
            </w:r>
            <w:r>
              <w:rPr>
                <w:rFonts w:ascii="宋体" w:hAnsi="宋体" w:eastAsia="宋体"/>
                <w:color w:val="000000"/>
                <w:sz w:val="21"/>
                <w:szCs w:val="21"/>
              </w:rPr>
              <w:t>“</w:t>
            </w:r>
            <w:r>
              <w:rPr>
                <w:rFonts w:eastAsia="宋体"/>
                <w:color w:val="000000"/>
                <w:sz w:val="21"/>
                <w:szCs w:val="21"/>
              </w:rPr>
              <w:t>否</w:t>
            </w:r>
            <w:r>
              <w:rPr>
                <w:rFonts w:ascii="宋体" w:hAnsi="宋体" w:eastAsia="宋体"/>
                <w:color w:val="000000"/>
                <w:sz w:val="21"/>
                <w:szCs w:val="21"/>
              </w:rPr>
              <w:t>”</w:t>
            </w:r>
            <w:r>
              <w:rPr>
                <w:rFonts w:eastAsia="宋体"/>
                <w:color w:val="000000"/>
                <w:sz w:val="21"/>
                <w:szCs w:val="21"/>
              </w:rPr>
              <w:t>（即对器械进行了可能影响安全性或有效性的改变，并且未提供理由），请描述并对下面决定2回答</w:t>
            </w:r>
            <w:r>
              <w:rPr>
                <w:rFonts w:ascii="宋体" w:hAnsi="宋体" w:eastAsia="宋体"/>
                <w:color w:val="000000"/>
                <w:sz w:val="21"/>
                <w:szCs w:val="21"/>
              </w:rPr>
              <w:t>“</w:t>
            </w:r>
            <w:r>
              <w:rPr>
                <w:rFonts w:eastAsia="宋体"/>
                <w:color w:val="000000"/>
                <w:sz w:val="21"/>
                <w:szCs w:val="21"/>
              </w:rPr>
              <w:t>否</w:t>
            </w:r>
            <w:r>
              <w:rPr>
                <w:rFonts w:ascii="宋体" w:hAnsi="宋体" w:eastAsia="宋体"/>
                <w:color w:val="000000"/>
                <w:sz w:val="21"/>
                <w:szCs w:val="21"/>
              </w:rPr>
              <w:t>”</w:t>
            </w:r>
            <w:r>
              <w:rPr>
                <w:rFonts w:eastAsia="宋体"/>
                <w:color w:val="000000"/>
                <w:sz w:val="21"/>
                <w:szCs w:val="21"/>
              </w:rPr>
              <w:t>。</w:t>
            </w:r>
          </w:p>
          <w:p>
            <w:pPr>
              <w:snapToGrid w:val="0"/>
              <w:jc w:val="both"/>
              <w:rPr>
                <w:rFonts w:eastAsia="宋体"/>
                <w:color w:val="000000"/>
                <w:sz w:val="21"/>
                <w:szCs w:val="21"/>
              </w:rPr>
            </w:pPr>
            <w:r>
              <w:rPr>
                <w:rFonts w:eastAsia="宋体"/>
                <w:color w:val="000000"/>
                <w:sz w:val="21"/>
                <w:szCs w:val="21"/>
              </w:rPr>
              <w:t>意见：</w:t>
            </w:r>
          </w:p>
          <w:p>
            <w:pPr>
              <w:snapToGrid w:val="0"/>
              <w:jc w:val="both"/>
              <w:rPr>
                <w:rFonts w:eastAsia="宋体"/>
                <w:color w:val="000000"/>
                <w:sz w:val="21"/>
                <w:szCs w:val="21"/>
              </w:rPr>
            </w:pPr>
          </w:p>
          <w:p>
            <w:pPr>
              <w:snapToGrid w:val="0"/>
              <w:jc w:val="both"/>
              <w:rPr>
                <w:rFonts w:eastAsia="宋体"/>
                <w:sz w:val="21"/>
                <w:szCs w:val="21"/>
              </w:rPr>
            </w:pPr>
          </w:p>
        </w:tc>
        <w:tc>
          <w:tcPr>
            <w:tcW w:w="276"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279"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c>
          <w:tcPr>
            <w:tcW w:w="634" w:type="pct"/>
            <w:tcBorders>
              <w:top w:val="single" w:color="auto" w:sz="6" w:space="0"/>
              <w:left w:val="single" w:color="auto" w:sz="6" w:space="0"/>
              <w:bottom w:val="single" w:color="auto" w:sz="6" w:space="0"/>
              <w:right w:val="single" w:color="auto" w:sz="6" w:space="0"/>
            </w:tcBorders>
            <w:shd w:val="clear" w:color="auto" w:fill="E6E6E6"/>
            <w:tcMar>
              <w:left w:w="57" w:type="dxa"/>
              <w:right w:w="57" w:type="dxa"/>
            </w:tcMar>
          </w:tcPr>
          <w:p>
            <w:pPr>
              <w:snapToGrid w:val="0"/>
              <w:jc w:val="both"/>
              <w:rPr>
                <w:rFonts w:eastAsia="宋体"/>
                <w:sz w:val="21"/>
                <w:szCs w:val="21"/>
              </w:rPr>
            </w:pPr>
            <w:r>
              <w:rPr>
                <w:rFonts w:eastAsia="宋体"/>
                <w:b/>
                <w:bCs/>
                <w:color w:val="000000"/>
                <w:sz w:val="21"/>
                <w:szCs w:val="21"/>
              </w:rPr>
              <w:t>决定2</w:t>
            </w:r>
          </w:p>
        </w:tc>
        <w:tc>
          <w:tcPr>
            <w:tcW w:w="3811" w:type="pct"/>
            <w:tcBorders>
              <w:top w:val="single" w:color="auto" w:sz="6" w:space="0"/>
              <w:left w:val="single" w:color="auto" w:sz="6" w:space="0"/>
              <w:bottom w:val="single" w:color="auto" w:sz="6" w:space="0"/>
              <w:right w:val="single" w:color="auto" w:sz="6" w:space="0"/>
            </w:tcBorders>
            <w:shd w:val="clear" w:color="auto" w:fill="E6E6E6"/>
            <w:tcMar>
              <w:left w:w="57" w:type="dxa"/>
              <w:right w:w="57" w:type="dxa"/>
            </w:tcMar>
          </w:tcPr>
          <w:p>
            <w:pPr>
              <w:snapToGrid w:val="0"/>
              <w:jc w:val="both"/>
              <w:rPr>
                <w:rFonts w:eastAsia="宋体"/>
                <w:sz w:val="21"/>
                <w:szCs w:val="21"/>
              </w:rPr>
            </w:pPr>
            <w:r>
              <w:rPr>
                <w:rFonts w:eastAsia="宋体"/>
                <w:b/>
                <w:bCs/>
                <w:color w:val="000000"/>
                <w:sz w:val="21"/>
                <w:szCs w:val="21"/>
              </w:rPr>
              <w:t>非临床和临床数据是否收集于器械的最终设计（即打算上市的器械设计）？</w:t>
            </w:r>
          </w:p>
        </w:tc>
        <w:tc>
          <w:tcPr>
            <w:tcW w:w="276" w:type="pct"/>
            <w:tcBorders>
              <w:top w:val="single" w:color="auto" w:sz="6" w:space="0"/>
              <w:left w:val="single" w:color="auto" w:sz="6" w:space="0"/>
              <w:bottom w:val="single" w:color="auto" w:sz="6" w:space="0"/>
              <w:right w:val="single" w:color="auto" w:sz="6" w:space="0"/>
            </w:tcBorders>
            <w:shd w:val="clear" w:color="auto" w:fill="E6E6E6"/>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c>
          <w:tcPr>
            <w:tcW w:w="279" w:type="pct"/>
            <w:tcBorders>
              <w:top w:val="single" w:color="auto" w:sz="6" w:space="0"/>
              <w:left w:val="single" w:color="auto" w:sz="6" w:space="0"/>
              <w:bottom w:val="single" w:color="auto" w:sz="6" w:space="0"/>
              <w:right w:val="single" w:color="auto" w:sz="6" w:space="0"/>
            </w:tcBorders>
            <w:shd w:val="clear" w:color="auto" w:fill="E6E6E6"/>
            <w:tcMar>
              <w:left w:w="57" w:type="dxa"/>
              <w:right w:w="57" w:type="dxa"/>
            </w:tcMar>
          </w:tcPr>
          <w:p>
            <w:pPr>
              <w:snapToGrid w:val="0"/>
              <w:jc w:val="center"/>
              <w:rPr>
                <w:rFonts w:eastAsia="宋体"/>
                <w:sz w:val="21"/>
                <w:szCs w:val="21"/>
              </w:rPr>
            </w:pPr>
            <w:r>
              <w:rPr>
                <w:rFonts w:eastAsia="宋体"/>
                <w:color w:val="000000"/>
                <w:sz w:val="21"/>
                <w:szCs w:val="21"/>
              </w:rPr>
              <w:sym w:font="Wingdings 2" w:char="F0A3"/>
            </w:r>
          </w:p>
        </w:tc>
      </w:tr>
    </w:tbl>
    <w:p>
      <w:pPr>
        <w:snapToGrid w:val="0"/>
        <w:jc w:val="both"/>
        <w:rPr>
          <w:rFonts w:eastAsia="宋体"/>
          <w:sz w:val="21"/>
          <w:szCs w:val="21"/>
        </w:rPr>
      </w:pPr>
    </w:p>
    <w:tbl>
      <w:tblPr>
        <w:tblStyle w:val="9"/>
        <w:tblW w:w="5000" w:type="pct"/>
        <w:tblInd w:w="0" w:type="dxa"/>
        <w:tblLayout w:type="autofit"/>
        <w:tblCellMar>
          <w:top w:w="57" w:type="dxa"/>
          <w:left w:w="57" w:type="dxa"/>
          <w:bottom w:w="57" w:type="dxa"/>
          <w:right w:w="57" w:type="dxa"/>
        </w:tblCellMar>
      </w:tblPr>
      <w:tblGrid>
        <w:gridCol w:w="1213"/>
        <w:gridCol w:w="7217"/>
        <w:gridCol w:w="523"/>
        <w:gridCol w:w="515"/>
      </w:tblGrid>
      <w:tr>
        <w:tblPrEx>
          <w:tblCellMar>
            <w:top w:w="57" w:type="dxa"/>
            <w:left w:w="57" w:type="dxa"/>
            <w:bottom w:w="57" w:type="dxa"/>
            <w:right w:w="57" w:type="dxa"/>
          </w:tblCellMar>
        </w:tblPrEx>
        <w:tc>
          <w:tcPr>
            <w:tcW w:w="641"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决定3a</w:t>
            </w:r>
          </w:p>
        </w:tc>
        <w:tc>
          <w:tcPr>
            <w:tcW w:w="3811"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患者/研究人群是否与器械的使用适应症相匹配，终点是否与临床相关，如果关键研究是在美国以外进行的，申请人是否讨论了为什么这些数据足以支持批准，因为国外的数据/患者人群和医疗实践适用于美国的数据/患者人群（对</w:t>
            </w:r>
            <w:r>
              <w:rPr>
                <w:rFonts w:ascii="宋体" w:hAnsi="宋体" w:eastAsia="宋体"/>
                <w:color w:val="000000"/>
                <w:sz w:val="21"/>
                <w:szCs w:val="21"/>
              </w:rPr>
              <w:t>“</w:t>
            </w:r>
            <w:r>
              <w:rPr>
                <w:rFonts w:eastAsia="宋体"/>
                <w:color w:val="000000"/>
                <w:sz w:val="21"/>
                <w:szCs w:val="21"/>
              </w:rPr>
              <w:t>技术要素的申报评估</w:t>
            </w:r>
            <w:r>
              <w:rPr>
                <w:rFonts w:hint="eastAsia" w:ascii="宋体" w:hAnsi="宋体" w:eastAsia="宋体"/>
                <w:color w:val="000000"/>
                <w:sz w:val="21"/>
                <w:szCs w:val="21"/>
              </w:rPr>
              <w:t>”</w:t>
            </w:r>
            <w:r>
              <w:rPr>
                <w:rFonts w:eastAsia="宋体"/>
                <w:color w:val="000000"/>
                <w:sz w:val="21"/>
                <w:szCs w:val="21"/>
              </w:rPr>
              <w:t>中B1-3的回答）。</w:t>
            </w:r>
          </w:p>
          <w:p>
            <w:pPr>
              <w:snapToGrid w:val="0"/>
              <w:ind w:left="615" w:leftChars="150"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color w:val="000000"/>
                <w:sz w:val="21"/>
                <w:szCs w:val="21"/>
              </w:rPr>
              <w:t>如</w:t>
            </w:r>
            <w:r>
              <w:rPr>
                <w:rFonts w:ascii="宋体" w:hAnsi="宋体" w:eastAsia="宋体"/>
                <w:color w:val="000000"/>
                <w:sz w:val="21"/>
                <w:szCs w:val="21"/>
              </w:rPr>
              <w:t>“</w:t>
            </w:r>
            <w:r>
              <w:rPr>
                <w:rFonts w:eastAsia="宋体"/>
                <w:color w:val="000000"/>
                <w:sz w:val="21"/>
                <w:szCs w:val="21"/>
              </w:rPr>
              <w:t>是</w:t>
            </w:r>
            <w:r>
              <w:rPr>
                <w:rFonts w:ascii="宋体" w:hAnsi="宋体" w:eastAsia="宋体"/>
                <w:color w:val="000000"/>
                <w:sz w:val="21"/>
                <w:szCs w:val="21"/>
              </w:rPr>
              <w:t>”</w:t>
            </w:r>
            <w:r>
              <w:rPr>
                <w:rFonts w:eastAsia="宋体"/>
                <w:color w:val="000000"/>
                <w:sz w:val="21"/>
                <w:szCs w:val="21"/>
              </w:rPr>
              <w:t>，下面的决定3请回答</w:t>
            </w:r>
            <w:r>
              <w:rPr>
                <w:rFonts w:ascii="宋体" w:hAnsi="宋体" w:eastAsia="宋体"/>
                <w:color w:val="000000"/>
                <w:sz w:val="21"/>
                <w:szCs w:val="21"/>
              </w:rPr>
              <w:t>“</w:t>
            </w:r>
            <w:r>
              <w:rPr>
                <w:rFonts w:eastAsia="宋体"/>
                <w:color w:val="000000"/>
                <w:sz w:val="21"/>
                <w:szCs w:val="21"/>
              </w:rPr>
              <w:t>是</w:t>
            </w:r>
            <w:r>
              <w:rPr>
                <w:rFonts w:ascii="宋体" w:hAnsi="宋体" w:eastAsia="宋体"/>
                <w:color w:val="000000"/>
                <w:sz w:val="21"/>
                <w:szCs w:val="21"/>
              </w:rPr>
              <w:t>”</w:t>
            </w:r>
            <w:r>
              <w:rPr>
                <w:rFonts w:eastAsia="宋体"/>
                <w:color w:val="000000"/>
                <w:sz w:val="21"/>
                <w:szCs w:val="21"/>
              </w:rPr>
              <w:t>。</w:t>
            </w:r>
          </w:p>
          <w:p>
            <w:pPr>
              <w:snapToGrid w:val="0"/>
              <w:ind w:left="615" w:leftChars="150" w:hanging="315" w:hangingChars="150"/>
              <w:jc w:val="both"/>
              <w:rPr>
                <w:rFonts w:eastAsia="宋体"/>
                <w:color w:val="000000"/>
                <w:sz w:val="21"/>
                <w:szCs w:val="21"/>
              </w:rPr>
            </w:pPr>
            <w:r>
              <w:rPr>
                <w:rFonts w:eastAsia="宋体"/>
                <w:color w:val="000000"/>
                <w:sz w:val="21"/>
                <w:szCs w:val="21"/>
              </w:rPr>
              <w:t>•</w:t>
            </w:r>
            <w:r>
              <w:rPr>
                <w:rFonts w:eastAsia="宋体"/>
                <w:color w:val="000000"/>
                <w:sz w:val="21"/>
                <w:szCs w:val="21"/>
              </w:rPr>
              <w:tab/>
            </w:r>
            <w:r>
              <w:rPr>
                <w:rFonts w:eastAsia="宋体"/>
                <w:color w:val="000000"/>
                <w:sz w:val="21"/>
                <w:szCs w:val="21"/>
              </w:rPr>
              <w:t>如果</w:t>
            </w:r>
            <w:r>
              <w:rPr>
                <w:rFonts w:ascii="宋体" w:hAnsi="宋体" w:eastAsia="宋体"/>
                <w:color w:val="000000"/>
                <w:sz w:val="21"/>
                <w:szCs w:val="21"/>
              </w:rPr>
              <w:t>“</w:t>
            </w:r>
            <w:r>
              <w:rPr>
                <w:rFonts w:eastAsia="宋体"/>
                <w:color w:val="000000"/>
                <w:sz w:val="21"/>
                <w:szCs w:val="21"/>
              </w:rPr>
              <w:t>否</w:t>
            </w:r>
            <w:r>
              <w:rPr>
                <w:rFonts w:ascii="宋体" w:hAnsi="宋体" w:eastAsia="宋体"/>
                <w:color w:val="000000"/>
                <w:sz w:val="21"/>
                <w:szCs w:val="21"/>
              </w:rPr>
              <w:t>”</w:t>
            </w:r>
            <w:r>
              <w:rPr>
                <w:rFonts w:eastAsia="宋体"/>
                <w:color w:val="000000"/>
                <w:sz w:val="21"/>
                <w:szCs w:val="21"/>
              </w:rPr>
              <w:t>，请描述并继续进行决定3b。</w:t>
            </w:r>
          </w:p>
          <w:p>
            <w:pPr>
              <w:tabs>
                <w:tab w:val="left" w:pos="797"/>
              </w:tabs>
              <w:snapToGrid w:val="0"/>
              <w:jc w:val="both"/>
              <w:rPr>
                <w:rFonts w:eastAsia="宋体"/>
                <w:color w:val="000000"/>
                <w:sz w:val="21"/>
                <w:szCs w:val="21"/>
              </w:rPr>
            </w:pPr>
            <w:r>
              <w:rPr>
                <w:rFonts w:eastAsia="宋体"/>
                <w:color w:val="000000"/>
                <w:sz w:val="21"/>
                <w:szCs w:val="21"/>
              </w:rPr>
              <w:t>意见：</w:t>
            </w:r>
          </w:p>
          <w:p>
            <w:pPr>
              <w:tabs>
                <w:tab w:val="left" w:pos="797"/>
              </w:tabs>
              <w:snapToGrid w:val="0"/>
              <w:jc w:val="both"/>
              <w:rPr>
                <w:rFonts w:eastAsia="宋体"/>
                <w:color w:val="000000"/>
                <w:sz w:val="21"/>
                <w:szCs w:val="21"/>
              </w:rPr>
            </w:pPr>
          </w:p>
          <w:p>
            <w:pPr>
              <w:tabs>
                <w:tab w:val="left" w:pos="797"/>
              </w:tabs>
              <w:snapToGrid w:val="0"/>
              <w:jc w:val="both"/>
              <w:rPr>
                <w:rFonts w:eastAsia="宋体"/>
                <w:sz w:val="21"/>
                <w:szCs w:val="21"/>
              </w:rPr>
            </w:pPr>
          </w:p>
        </w:tc>
        <w:tc>
          <w:tcPr>
            <w:tcW w:w="276"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sym w:font="Wingdings 2" w:char="F0A3"/>
            </w:r>
          </w:p>
        </w:tc>
        <w:tc>
          <w:tcPr>
            <w:tcW w:w="272"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c>
          <w:tcPr>
            <w:tcW w:w="641"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决定3b</w:t>
            </w:r>
          </w:p>
        </w:tc>
        <w:tc>
          <w:tcPr>
            <w:tcW w:w="3811"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如果问题3a为</w:t>
            </w:r>
            <w:r>
              <w:rPr>
                <w:rFonts w:ascii="宋体" w:hAnsi="宋体" w:eastAsia="宋体"/>
                <w:color w:val="000000"/>
                <w:sz w:val="21"/>
                <w:szCs w:val="21"/>
              </w:rPr>
              <w:t>“</w:t>
            </w:r>
            <w:r>
              <w:rPr>
                <w:rFonts w:eastAsia="宋体"/>
                <w:color w:val="000000"/>
                <w:sz w:val="21"/>
                <w:szCs w:val="21"/>
              </w:rPr>
              <w:t>否</w:t>
            </w:r>
            <w:r>
              <w:rPr>
                <w:rFonts w:ascii="宋体" w:hAnsi="宋体" w:eastAsia="宋体"/>
                <w:color w:val="000000"/>
                <w:sz w:val="21"/>
                <w:szCs w:val="21"/>
              </w:rPr>
              <w:t>”</w:t>
            </w:r>
            <w:r>
              <w:rPr>
                <w:rFonts w:eastAsia="宋体"/>
                <w:color w:val="000000"/>
                <w:sz w:val="21"/>
                <w:szCs w:val="21"/>
              </w:rPr>
              <w:t>，申请人是否提供了详细的科学或临床理由？</w:t>
            </w:r>
          </w:p>
          <w:p>
            <w:pPr>
              <w:snapToGrid w:val="0"/>
              <w:ind w:left="615" w:leftChars="150" w:hanging="315" w:hangingChars="150"/>
              <w:jc w:val="both"/>
              <w:rPr>
                <w:rFonts w:eastAsia="宋体"/>
                <w:sz w:val="21"/>
                <w:szCs w:val="21"/>
              </w:rPr>
            </w:pPr>
            <w:r>
              <w:rPr>
                <w:rFonts w:eastAsia="宋体"/>
                <w:color w:val="000000"/>
                <w:sz w:val="21"/>
                <w:szCs w:val="21"/>
              </w:rPr>
              <w:t>•</w:t>
            </w:r>
            <w:r>
              <w:rPr>
                <w:rFonts w:eastAsia="宋体"/>
                <w:color w:val="000000"/>
                <w:sz w:val="21"/>
                <w:szCs w:val="21"/>
              </w:rPr>
              <w:tab/>
            </w:r>
            <w:r>
              <w:rPr>
                <w:rFonts w:eastAsia="宋体"/>
                <w:color w:val="000000"/>
                <w:sz w:val="21"/>
                <w:szCs w:val="21"/>
              </w:rPr>
              <w:t>如</w:t>
            </w:r>
            <w:r>
              <w:rPr>
                <w:rFonts w:ascii="宋体" w:hAnsi="宋体" w:eastAsia="宋体"/>
                <w:color w:val="000000"/>
                <w:sz w:val="21"/>
                <w:szCs w:val="21"/>
              </w:rPr>
              <w:t>“</w:t>
            </w:r>
            <w:r>
              <w:rPr>
                <w:rFonts w:eastAsia="宋体"/>
                <w:color w:val="000000"/>
                <w:sz w:val="21"/>
                <w:szCs w:val="21"/>
              </w:rPr>
              <w:t>是</w:t>
            </w:r>
            <w:r>
              <w:rPr>
                <w:rFonts w:ascii="宋体" w:hAnsi="宋体" w:eastAsia="宋体"/>
                <w:color w:val="000000"/>
                <w:sz w:val="21"/>
                <w:szCs w:val="21"/>
              </w:rPr>
              <w:t>”</w:t>
            </w:r>
            <w:r>
              <w:rPr>
                <w:rFonts w:eastAsia="宋体"/>
                <w:color w:val="000000"/>
                <w:sz w:val="21"/>
                <w:szCs w:val="21"/>
              </w:rPr>
              <w:t>，请描述并对以下决定3回答</w:t>
            </w:r>
            <w:r>
              <w:rPr>
                <w:rFonts w:ascii="宋体" w:hAnsi="宋体" w:eastAsia="宋体"/>
                <w:color w:val="000000"/>
                <w:sz w:val="21"/>
                <w:szCs w:val="21"/>
              </w:rPr>
              <w:t>“</w:t>
            </w:r>
            <w:r>
              <w:rPr>
                <w:rFonts w:eastAsia="宋体"/>
                <w:color w:val="000000"/>
                <w:sz w:val="21"/>
                <w:szCs w:val="21"/>
              </w:rPr>
              <w:t>是</w:t>
            </w:r>
            <w:r>
              <w:rPr>
                <w:rFonts w:ascii="宋体" w:hAnsi="宋体" w:eastAsia="宋体"/>
                <w:color w:val="000000"/>
                <w:sz w:val="21"/>
                <w:szCs w:val="21"/>
              </w:rPr>
              <w:t>”</w:t>
            </w:r>
            <w:r>
              <w:rPr>
                <w:rFonts w:eastAsia="宋体"/>
                <w:color w:val="000000"/>
                <w:sz w:val="21"/>
                <w:szCs w:val="21"/>
              </w:rPr>
              <w:t>。</w:t>
            </w:r>
          </w:p>
          <w:p>
            <w:pPr>
              <w:snapToGrid w:val="0"/>
              <w:ind w:left="615" w:leftChars="150" w:hanging="315" w:hangingChars="150"/>
              <w:jc w:val="both"/>
              <w:rPr>
                <w:rFonts w:eastAsia="宋体"/>
                <w:color w:val="000000"/>
                <w:sz w:val="21"/>
                <w:szCs w:val="21"/>
              </w:rPr>
            </w:pPr>
            <w:r>
              <w:rPr>
                <w:rFonts w:eastAsia="宋体"/>
                <w:color w:val="000000"/>
                <w:sz w:val="21"/>
                <w:szCs w:val="21"/>
              </w:rPr>
              <w:t>•</w:t>
            </w:r>
            <w:r>
              <w:rPr>
                <w:rFonts w:eastAsia="宋体"/>
                <w:color w:val="000000"/>
                <w:sz w:val="21"/>
                <w:szCs w:val="21"/>
              </w:rPr>
              <w:tab/>
            </w:r>
            <w:r>
              <w:rPr>
                <w:rFonts w:eastAsia="宋体"/>
                <w:color w:val="000000"/>
                <w:sz w:val="21"/>
                <w:szCs w:val="21"/>
              </w:rPr>
              <w:t>如</w:t>
            </w:r>
            <w:r>
              <w:rPr>
                <w:rFonts w:ascii="宋体" w:hAnsi="宋体" w:eastAsia="宋体"/>
                <w:color w:val="000000"/>
                <w:sz w:val="21"/>
                <w:szCs w:val="21"/>
              </w:rPr>
              <w:t>“</w:t>
            </w:r>
            <w:r>
              <w:rPr>
                <w:rFonts w:eastAsia="宋体"/>
                <w:color w:val="000000"/>
                <w:sz w:val="21"/>
                <w:szCs w:val="21"/>
              </w:rPr>
              <w:t>否</w:t>
            </w:r>
            <w:r>
              <w:rPr>
                <w:rFonts w:ascii="宋体" w:hAnsi="宋体" w:eastAsia="宋体"/>
                <w:color w:val="000000"/>
                <w:sz w:val="21"/>
                <w:szCs w:val="21"/>
              </w:rPr>
              <w:t>”</w:t>
            </w:r>
            <w:r>
              <w:rPr>
                <w:rFonts w:eastAsia="宋体"/>
                <w:color w:val="000000"/>
                <w:sz w:val="21"/>
                <w:szCs w:val="21"/>
              </w:rPr>
              <w:t>，请描述并对以下决定3回答</w:t>
            </w:r>
            <w:r>
              <w:rPr>
                <w:rFonts w:ascii="宋体" w:hAnsi="宋体" w:eastAsia="宋体"/>
                <w:color w:val="000000"/>
                <w:sz w:val="21"/>
                <w:szCs w:val="21"/>
              </w:rPr>
              <w:t>“</w:t>
            </w:r>
            <w:r>
              <w:rPr>
                <w:rFonts w:eastAsia="宋体"/>
                <w:color w:val="000000"/>
                <w:sz w:val="21"/>
                <w:szCs w:val="21"/>
              </w:rPr>
              <w:t>否</w:t>
            </w:r>
            <w:r>
              <w:rPr>
                <w:rFonts w:ascii="宋体" w:hAnsi="宋体" w:eastAsia="宋体"/>
                <w:color w:val="000000"/>
                <w:sz w:val="21"/>
                <w:szCs w:val="21"/>
              </w:rPr>
              <w:t>”</w:t>
            </w:r>
            <w:r>
              <w:rPr>
                <w:rFonts w:eastAsia="宋体"/>
                <w:color w:val="000000"/>
                <w:sz w:val="21"/>
                <w:szCs w:val="21"/>
              </w:rPr>
              <w:t>。</w:t>
            </w:r>
          </w:p>
          <w:p>
            <w:pPr>
              <w:tabs>
                <w:tab w:val="left" w:pos="797"/>
              </w:tabs>
              <w:snapToGrid w:val="0"/>
              <w:jc w:val="both"/>
              <w:rPr>
                <w:rFonts w:eastAsia="宋体"/>
                <w:color w:val="000000"/>
                <w:sz w:val="21"/>
                <w:szCs w:val="21"/>
              </w:rPr>
            </w:pPr>
            <w:r>
              <w:rPr>
                <w:rFonts w:eastAsia="宋体"/>
                <w:color w:val="000000"/>
                <w:sz w:val="21"/>
                <w:szCs w:val="21"/>
              </w:rPr>
              <w:t>意见：</w:t>
            </w:r>
          </w:p>
          <w:p>
            <w:pPr>
              <w:tabs>
                <w:tab w:val="left" w:pos="797"/>
              </w:tabs>
              <w:snapToGrid w:val="0"/>
              <w:jc w:val="both"/>
              <w:rPr>
                <w:rFonts w:eastAsia="宋体"/>
                <w:color w:val="000000"/>
                <w:sz w:val="21"/>
                <w:szCs w:val="21"/>
              </w:rPr>
            </w:pPr>
          </w:p>
          <w:p>
            <w:pPr>
              <w:tabs>
                <w:tab w:val="left" w:pos="797"/>
              </w:tabs>
              <w:snapToGrid w:val="0"/>
              <w:jc w:val="both"/>
              <w:rPr>
                <w:rFonts w:eastAsia="宋体"/>
                <w:sz w:val="21"/>
                <w:szCs w:val="21"/>
              </w:rPr>
            </w:pPr>
          </w:p>
        </w:tc>
        <w:tc>
          <w:tcPr>
            <w:tcW w:w="276"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sym w:font="Wingdings 2" w:char="F0A3"/>
            </w:r>
          </w:p>
        </w:tc>
        <w:tc>
          <w:tcPr>
            <w:tcW w:w="272" w:type="pct"/>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sym w:font="Wingdings 2" w:char="F0A3"/>
            </w:r>
          </w:p>
        </w:tc>
      </w:tr>
      <w:tr>
        <w:tblPrEx>
          <w:tblCellMar>
            <w:top w:w="57" w:type="dxa"/>
            <w:left w:w="57" w:type="dxa"/>
            <w:bottom w:w="57" w:type="dxa"/>
            <w:right w:w="57" w:type="dxa"/>
          </w:tblCellMar>
        </w:tblPrEx>
        <w:tc>
          <w:tcPr>
            <w:tcW w:w="641" w:type="pct"/>
            <w:tcBorders>
              <w:top w:val="single" w:color="auto" w:sz="6" w:space="0"/>
              <w:left w:val="single" w:color="auto" w:sz="6" w:space="0"/>
              <w:bottom w:val="single" w:color="auto" w:sz="6" w:space="0"/>
              <w:right w:val="single" w:color="auto" w:sz="6" w:space="0"/>
            </w:tcBorders>
            <w:shd w:val="clear" w:color="auto" w:fill="E6E6E6"/>
            <w:tcMar>
              <w:left w:w="57" w:type="dxa"/>
              <w:right w:w="57" w:type="dxa"/>
            </w:tcMar>
          </w:tcPr>
          <w:p>
            <w:pPr>
              <w:snapToGrid w:val="0"/>
              <w:jc w:val="both"/>
              <w:rPr>
                <w:rFonts w:eastAsia="宋体"/>
                <w:sz w:val="21"/>
                <w:szCs w:val="21"/>
              </w:rPr>
            </w:pPr>
            <w:r>
              <w:rPr>
                <w:rFonts w:eastAsia="宋体"/>
                <w:b/>
                <w:bCs/>
                <w:color w:val="000000"/>
                <w:sz w:val="21"/>
                <w:szCs w:val="21"/>
              </w:rPr>
              <w:t>决定3</w:t>
            </w:r>
          </w:p>
        </w:tc>
        <w:tc>
          <w:tcPr>
            <w:tcW w:w="3811" w:type="pct"/>
            <w:tcBorders>
              <w:top w:val="single" w:color="auto" w:sz="6" w:space="0"/>
              <w:left w:val="single" w:color="auto" w:sz="6" w:space="0"/>
              <w:bottom w:val="single" w:color="auto" w:sz="6" w:space="0"/>
              <w:right w:val="single" w:color="auto" w:sz="6" w:space="0"/>
            </w:tcBorders>
            <w:shd w:val="clear" w:color="auto" w:fill="E6E6E6"/>
            <w:tcMar>
              <w:left w:w="57" w:type="dxa"/>
              <w:right w:w="57" w:type="dxa"/>
            </w:tcMar>
          </w:tcPr>
          <w:p>
            <w:pPr>
              <w:snapToGrid w:val="0"/>
              <w:jc w:val="both"/>
              <w:rPr>
                <w:rFonts w:eastAsia="宋体"/>
                <w:sz w:val="21"/>
                <w:szCs w:val="21"/>
              </w:rPr>
            </w:pPr>
            <w:r>
              <w:rPr>
                <w:rFonts w:eastAsia="宋体"/>
                <w:b/>
                <w:bCs/>
                <w:color w:val="000000"/>
                <w:sz w:val="21"/>
                <w:szCs w:val="21"/>
              </w:rPr>
              <w:t>患者/研究人群和终点的选择是否恰当？</w:t>
            </w:r>
          </w:p>
        </w:tc>
        <w:tc>
          <w:tcPr>
            <w:tcW w:w="276" w:type="pct"/>
            <w:tcBorders>
              <w:top w:val="single" w:color="auto" w:sz="6" w:space="0"/>
              <w:left w:val="single" w:color="auto" w:sz="6" w:space="0"/>
              <w:bottom w:val="single" w:color="auto" w:sz="6" w:space="0"/>
              <w:right w:val="single" w:color="auto" w:sz="6" w:space="0"/>
            </w:tcBorders>
            <w:shd w:val="clear" w:color="auto" w:fill="E6E6E6"/>
            <w:tcMar>
              <w:left w:w="57" w:type="dxa"/>
              <w:right w:w="57" w:type="dxa"/>
            </w:tcMar>
          </w:tcPr>
          <w:p>
            <w:pPr>
              <w:snapToGrid w:val="0"/>
              <w:jc w:val="both"/>
              <w:rPr>
                <w:rFonts w:eastAsia="宋体"/>
                <w:sz w:val="21"/>
                <w:szCs w:val="21"/>
              </w:rPr>
            </w:pPr>
            <w:r>
              <w:rPr>
                <w:rFonts w:eastAsia="宋体"/>
                <w:color w:val="000000"/>
                <w:sz w:val="21"/>
                <w:szCs w:val="21"/>
              </w:rPr>
              <w:sym w:font="Wingdings 2" w:char="F0A3"/>
            </w:r>
          </w:p>
        </w:tc>
        <w:tc>
          <w:tcPr>
            <w:tcW w:w="272" w:type="pct"/>
            <w:tcBorders>
              <w:top w:val="single" w:color="auto" w:sz="6" w:space="0"/>
              <w:left w:val="single" w:color="auto" w:sz="6" w:space="0"/>
              <w:bottom w:val="single" w:color="auto" w:sz="6" w:space="0"/>
              <w:right w:val="single" w:color="auto" w:sz="6" w:space="0"/>
            </w:tcBorders>
            <w:shd w:val="clear" w:color="auto" w:fill="E6E6E6"/>
            <w:tcMar>
              <w:left w:w="57" w:type="dxa"/>
              <w:right w:w="57" w:type="dxa"/>
            </w:tcMar>
          </w:tcPr>
          <w:p>
            <w:pPr>
              <w:snapToGrid w:val="0"/>
              <w:jc w:val="both"/>
              <w:rPr>
                <w:rFonts w:eastAsia="宋体"/>
                <w:sz w:val="21"/>
                <w:szCs w:val="21"/>
              </w:rPr>
            </w:pPr>
            <w:r>
              <w:rPr>
                <w:rFonts w:eastAsia="宋体"/>
                <w:color w:val="000000"/>
                <w:sz w:val="21"/>
                <w:szCs w:val="21"/>
              </w:rPr>
              <w:sym w:font="Wingdings 2" w:char="F0A3"/>
            </w:r>
          </w:p>
        </w:tc>
      </w:tr>
    </w:tbl>
    <w:p>
      <w:pPr>
        <w:snapToGrid w:val="0"/>
        <w:spacing w:before="240" w:beforeLines="100" w:after="240" w:afterLines="100"/>
        <w:jc w:val="both"/>
        <w:rPr>
          <w:rFonts w:eastAsia="宋体"/>
          <w:sz w:val="21"/>
          <w:szCs w:val="21"/>
        </w:rPr>
      </w:pPr>
      <w:r>
        <w:rPr>
          <w:rFonts w:eastAsia="宋体"/>
          <w:b/>
          <w:bCs/>
          <w:color w:val="000000"/>
          <w:sz w:val="21"/>
          <w:szCs w:val="21"/>
          <w:u w:val="single"/>
        </w:rPr>
        <w:t>决</w:t>
      </w:r>
      <w:r>
        <w:rPr>
          <w:rFonts w:hint="eastAsia" w:eastAsia="宋体"/>
          <w:b/>
          <w:bCs/>
          <w:color w:val="000000"/>
          <w:sz w:val="21"/>
          <w:szCs w:val="21"/>
          <w:u w:val="single"/>
        </w:rPr>
        <w:t>定</w:t>
      </w:r>
      <w:r>
        <w:rPr>
          <w:rFonts w:eastAsia="宋体"/>
          <w:b/>
          <w:bCs/>
          <w:color w:val="000000"/>
          <w:sz w:val="21"/>
          <w:szCs w:val="21"/>
        </w:rPr>
        <w:t>：审评小组建议：归档 ___ 不归档 ___</w:t>
      </w:r>
    </w:p>
    <w:p>
      <w:pPr>
        <w:snapToGrid w:val="0"/>
        <w:spacing w:after="240" w:afterLines="100"/>
        <w:jc w:val="both"/>
        <w:rPr>
          <w:rFonts w:eastAsia="宋体"/>
          <w:sz w:val="21"/>
          <w:szCs w:val="21"/>
        </w:rPr>
      </w:pPr>
    </w:p>
    <w:p>
      <w:pPr>
        <w:snapToGrid w:val="0"/>
        <w:spacing w:after="240" w:afterLines="100"/>
        <w:jc w:val="both"/>
        <w:rPr>
          <w:rFonts w:eastAsia="宋体"/>
          <w:sz w:val="21"/>
          <w:szCs w:val="21"/>
        </w:rPr>
      </w:pPr>
    </w:p>
    <w:p>
      <w:pPr>
        <w:snapToGrid w:val="0"/>
        <w:spacing w:after="240" w:afterLines="100"/>
        <w:jc w:val="both"/>
        <w:rPr>
          <w:rFonts w:eastAsia="宋体"/>
          <w:sz w:val="21"/>
          <w:szCs w:val="21"/>
        </w:rPr>
        <w:sectPr>
          <w:pgSz w:w="11906" w:h="16838"/>
          <w:pgMar w:top="1134" w:right="1134" w:bottom="1134" w:left="1418" w:header="567" w:footer="567" w:gutter="0"/>
          <w:cols w:space="60" w:num="1"/>
          <w:docGrid w:linePitch="272" w:charSpace="0"/>
        </w:sectPr>
      </w:pPr>
    </w:p>
    <w:tbl>
      <w:tblPr>
        <w:tblStyle w:val="9"/>
        <w:tblW w:w="4148" w:type="pct"/>
        <w:tblInd w:w="0" w:type="dxa"/>
        <w:tblLayout w:type="fixed"/>
        <w:tblCellMar>
          <w:top w:w="57" w:type="dxa"/>
          <w:left w:w="57" w:type="dxa"/>
          <w:bottom w:w="57" w:type="dxa"/>
          <w:right w:w="57" w:type="dxa"/>
        </w:tblCellMar>
      </w:tblPr>
      <w:tblGrid>
        <w:gridCol w:w="3320"/>
        <w:gridCol w:w="4535"/>
      </w:tblGrid>
      <w:tr>
        <w:tblPrEx>
          <w:tblCellMar>
            <w:top w:w="57" w:type="dxa"/>
            <w:left w:w="57" w:type="dxa"/>
            <w:bottom w:w="57" w:type="dxa"/>
            <w:right w:w="57" w:type="dxa"/>
          </w:tblCellMar>
        </w:tblPrEx>
        <w:tc>
          <w:tcPr>
            <w:tcW w:w="7854" w:type="dxa"/>
            <w:gridSpan w:val="2"/>
            <w:tcBorders>
              <w:top w:val="single" w:color="auto" w:sz="6" w:space="0"/>
              <w:left w:val="single" w:color="auto" w:sz="6" w:space="0"/>
              <w:bottom w:val="single" w:color="auto" w:sz="6" w:space="0"/>
              <w:right w:val="single" w:color="auto" w:sz="6" w:space="0"/>
            </w:tcBorders>
            <w:shd w:val="clear" w:color="auto" w:fill="99CBFE"/>
            <w:tcMar>
              <w:left w:w="57" w:type="dxa"/>
              <w:right w:w="57" w:type="dxa"/>
            </w:tcMar>
            <w:vAlign w:val="center"/>
          </w:tcPr>
          <w:p>
            <w:pPr>
              <w:snapToGrid w:val="0"/>
              <w:jc w:val="center"/>
              <w:rPr>
                <w:rFonts w:eastAsia="宋体"/>
                <w:sz w:val="21"/>
                <w:szCs w:val="21"/>
              </w:rPr>
            </w:pPr>
            <w:r>
              <w:rPr>
                <w:rFonts w:eastAsia="宋体"/>
                <w:b/>
                <w:bCs/>
                <w:color w:val="000000"/>
                <w:sz w:val="21"/>
                <w:szCs w:val="21"/>
              </w:rPr>
              <w:t>数字签名</w:t>
            </w:r>
            <w:r>
              <w:rPr>
                <w:rFonts w:hint="eastAsia" w:eastAsia="宋体"/>
                <w:b/>
                <w:bCs/>
                <w:color w:val="000000"/>
                <w:sz w:val="21"/>
                <w:szCs w:val="21"/>
              </w:rPr>
              <w:t>同意</w:t>
            </w:r>
            <w:r>
              <w:rPr>
                <w:rFonts w:eastAsia="宋体"/>
                <w:b/>
                <w:bCs/>
                <w:color w:val="000000"/>
                <w:sz w:val="21"/>
                <w:szCs w:val="21"/>
              </w:rPr>
              <w:t>表</w:t>
            </w:r>
          </w:p>
        </w:tc>
      </w:tr>
      <w:tr>
        <w:tblPrEx>
          <w:tblCellMar>
            <w:top w:w="57" w:type="dxa"/>
            <w:left w:w="57" w:type="dxa"/>
            <w:bottom w:w="57" w:type="dxa"/>
            <w:right w:w="57" w:type="dxa"/>
          </w:tblCellMar>
        </w:tblPrEx>
        <w:tc>
          <w:tcPr>
            <w:tcW w:w="332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审评员签名</w:t>
            </w:r>
          </w:p>
        </w:tc>
        <w:tc>
          <w:tcPr>
            <w:tcW w:w="453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p>
            <w:pPr>
              <w:snapToGrid w:val="0"/>
              <w:jc w:val="both"/>
              <w:rPr>
                <w:rFonts w:eastAsia="宋体"/>
                <w:sz w:val="21"/>
                <w:szCs w:val="21"/>
              </w:rPr>
            </w:pPr>
          </w:p>
          <w:p>
            <w:pPr>
              <w:snapToGrid w:val="0"/>
              <w:jc w:val="both"/>
              <w:rPr>
                <w:rFonts w:eastAsia="宋体"/>
                <w:sz w:val="21"/>
                <w:szCs w:val="21"/>
              </w:rPr>
            </w:pPr>
          </w:p>
        </w:tc>
      </w:tr>
      <w:tr>
        <w:tblPrEx>
          <w:tblCellMar>
            <w:top w:w="57" w:type="dxa"/>
            <w:left w:w="57" w:type="dxa"/>
            <w:bottom w:w="57" w:type="dxa"/>
            <w:right w:w="57" w:type="dxa"/>
          </w:tblCellMar>
        </w:tblPrEx>
        <w:tc>
          <w:tcPr>
            <w:tcW w:w="332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组长/主任助理签字确认</w:t>
            </w:r>
          </w:p>
        </w:tc>
        <w:tc>
          <w:tcPr>
            <w:tcW w:w="453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p>
            <w:pPr>
              <w:snapToGrid w:val="0"/>
              <w:jc w:val="both"/>
              <w:rPr>
                <w:rFonts w:eastAsia="宋体"/>
                <w:sz w:val="21"/>
                <w:szCs w:val="21"/>
              </w:rPr>
            </w:pPr>
          </w:p>
          <w:p>
            <w:pPr>
              <w:snapToGrid w:val="0"/>
              <w:jc w:val="both"/>
              <w:rPr>
                <w:rFonts w:eastAsia="宋体"/>
                <w:sz w:val="21"/>
                <w:szCs w:val="21"/>
              </w:rPr>
            </w:pPr>
          </w:p>
          <w:p>
            <w:pPr>
              <w:snapToGrid w:val="0"/>
              <w:jc w:val="both"/>
              <w:rPr>
                <w:rFonts w:eastAsia="宋体"/>
                <w:sz w:val="21"/>
                <w:szCs w:val="21"/>
              </w:rPr>
            </w:pPr>
          </w:p>
        </w:tc>
      </w:tr>
      <w:tr>
        <w:tblPrEx>
          <w:tblCellMar>
            <w:top w:w="57" w:type="dxa"/>
            <w:left w:w="57" w:type="dxa"/>
            <w:bottom w:w="57" w:type="dxa"/>
            <w:right w:w="57" w:type="dxa"/>
          </w:tblCellMar>
        </w:tblPrEx>
        <w:tc>
          <w:tcPr>
            <w:tcW w:w="332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r>
              <w:rPr>
                <w:rFonts w:eastAsia="宋体"/>
                <w:color w:val="000000"/>
                <w:sz w:val="21"/>
                <w:szCs w:val="21"/>
              </w:rPr>
              <w:t>部门签字</w:t>
            </w:r>
          </w:p>
        </w:tc>
        <w:tc>
          <w:tcPr>
            <w:tcW w:w="453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p>
            <w:pPr>
              <w:snapToGrid w:val="0"/>
              <w:jc w:val="both"/>
              <w:rPr>
                <w:rFonts w:eastAsia="宋体"/>
                <w:sz w:val="21"/>
                <w:szCs w:val="21"/>
              </w:rPr>
            </w:pPr>
          </w:p>
          <w:p>
            <w:pPr>
              <w:snapToGrid w:val="0"/>
              <w:jc w:val="both"/>
              <w:rPr>
                <w:rFonts w:eastAsia="宋体"/>
                <w:sz w:val="21"/>
                <w:szCs w:val="21"/>
              </w:rPr>
            </w:pPr>
          </w:p>
        </w:tc>
      </w:tr>
      <w:tr>
        <w:tblPrEx>
          <w:tblCellMar>
            <w:top w:w="57" w:type="dxa"/>
            <w:left w:w="57" w:type="dxa"/>
            <w:bottom w:w="57" w:type="dxa"/>
            <w:right w:w="57" w:type="dxa"/>
          </w:tblCellMar>
        </w:tblPrEx>
        <w:tc>
          <w:tcPr>
            <w:tcW w:w="3320"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color w:val="000000"/>
                <w:sz w:val="21"/>
                <w:szCs w:val="21"/>
              </w:rPr>
            </w:pPr>
            <w:r>
              <w:rPr>
                <w:rFonts w:eastAsia="宋体"/>
                <w:color w:val="000000"/>
                <w:sz w:val="21"/>
                <w:szCs w:val="21"/>
              </w:rPr>
              <w:t>办公室签收</w:t>
            </w:r>
          </w:p>
          <w:p>
            <w:pPr>
              <w:snapToGrid w:val="0"/>
              <w:jc w:val="both"/>
              <w:rPr>
                <w:rFonts w:eastAsia="宋体"/>
                <w:sz w:val="21"/>
                <w:szCs w:val="21"/>
              </w:rPr>
            </w:pPr>
            <w:r>
              <w:rPr>
                <w:rFonts w:eastAsia="宋体"/>
                <w:color w:val="000000"/>
                <w:sz w:val="21"/>
                <w:szCs w:val="21"/>
              </w:rPr>
              <w:t>（仅适用于NOFI）</w:t>
            </w:r>
          </w:p>
        </w:tc>
        <w:tc>
          <w:tcPr>
            <w:tcW w:w="4534"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pPr>
              <w:snapToGrid w:val="0"/>
              <w:jc w:val="both"/>
              <w:rPr>
                <w:rFonts w:eastAsia="宋体"/>
                <w:sz w:val="21"/>
                <w:szCs w:val="21"/>
              </w:rPr>
            </w:pPr>
          </w:p>
        </w:tc>
      </w:tr>
    </w:tbl>
    <w:p>
      <w:pPr>
        <w:snapToGrid w:val="0"/>
        <w:spacing w:after="240" w:afterLines="100"/>
        <w:jc w:val="both"/>
        <w:rPr>
          <w:rFonts w:eastAsia="宋体"/>
          <w:sz w:val="21"/>
          <w:szCs w:val="21"/>
        </w:rPr>
      </w:pPr>
    </w:p>
    <w:sectPr>
      <w:pgSz w:w="11906" w:h="16838"/>
      <w:pgMar w:top="1134" w:right="1134" w:bottom="1134" w:left="1418" w:header="567" w:footer="567" w:gutter="0"/>
      <w:cols w:space="6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decorative"/>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eastAsia="宋体"/>
        <w:sz w:val="21"/>
        <w:szCs w:val="21"/>
      </w:rPr>
    </w:pPr>
  </w:p>
  <w:p>
    <w:pPr>
      <w:pStyle w:val="5"/>
      <w:jc w:val="right"/>
      <w:rPr>
        <w:rFonts w:eastAsia="宋体"/>
        <w:sz w:val="21"/>
        <w:szCs w:val="21"/>
      </w:rPr>
    </w:pPr>
    <w:r>
      <w:rPr>
        <w:rFonts w:eastAsia="宋体"/>
        <w:sz w:val="21"/>
        <w:szCs w:val="21"/>
      </w:rPr>
      <w:fldChar w:fldCharType="begin"/>
    </w:r>
    <w:r>
      <w:rPr>
        <w:rFonts w:eastAsia="宋体"/>
        <w:sz w:val="21"/>
        <w:szCs w:val="21"/>
      </w:rPr>
      <w:instrText xml:space="preserve">PAGE   \* MERGEFORMAT</w:instrText>
    </w:r>
    <w:r>
      <w:rPr>
        <w:rFonts w:eastAsia="宋体"/>
        <w:sz w:val="21"/>
        <w:szCs w:val="21"/>
      </w:rPr>
      <w:fldChar w:fldCharType="separate"/>
    </w:r>
    <w:r>
      <w:rPr>
        <w:rFonts w:eastAsia="宋体"/>
        <w:sz w:val="21"/>
        <w:szCs w:val="21"/>
      </w:rPr>
      <w:t>33</w:t>
    </w:r>
    <w:r>
      <w:rPr>
        <w:rFonts w:eastAsia="宋体"/>
        <w:sz w:val="21"/>
        <w:szCs w:val="21"/>
      </w:rPr>
      <w:fldChar w:fldCharType="end"/>
    </w:r>
  </w:p>
  <w:p>
    <w:pPr>
      <w:pStyle w:val="5"/>
      <w:jc w:val="right"/>
      <w:rPr>
        <w:rFonts w:eastAsia="宋体"/>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4">
    <w:p>
      <w:r>
        <w:separator/>
      </w:r>
    </w:p>
  </w:footnote>
  <w:footnote w:type="continuationSeparator" w:id="35">
    <w:p>
      <w:r>
        <w:continuationSeparator/>
      </w:r>
    </w:p>
  </w:footnote>
  <w:footnote w:id="0">
    <w:p>
      <w:pPr>
        <w:pStyle w:val="7"/>
        <w:tabs>
          <w:tab w:val="left" w:pos="196"/>
        </w:tabs>
        <w:jc w:val="both"/>
        <w:rPr>
          <w:rFonts w:eastAsia="宋体"/>
          <w:sz w:val="21"/>
          <w:szCs w:val="21"/>
        </w:rPr>
      </w:pPr>
      <w:r>
        <w:rPr>
          <w:rStyle w:val="13"/>
          <w:rFonts w:eastAsia="宋体"/>
          <w:sz w:val="21"/>
          <w:szCs w:val="21"/>
        </w:rPr>
        <w:footnoteRef/>
      </w:r>
      <w:r>
        <w:rPr>
          <w:rFonts w:hint="eastAsia" w:eastAsia="宋体"/>
          <w:sz w:val="21"/>
          <w:szCs w:val="21"/>
        </w:rPr>
        <w:tab/>
      </w:r>
      <w:r>
        <w:rPr>
          <w:rFonts w:eastAsia="宋体"/>
          <w:i/>
          <w:iCs/>
          <w:color w:val="000000"/>
          <w:sz w:val="21"/>
          <w:szCs w:val="21"/>
        </w:rPr>
        <w:t>参见</w:t>
      </w:r>
      <w:r>
        <w:rPr>
          <w:rFonts w:eastAsia="宋体"/>
          <w:iCs/>
          <w:color w:val="000000"/>
          <w:sz w:val="21"/>
          <w:szCs w:val="21"/>
        </w:rPr>
        <w:t>《</w:t>
      </w:r>
      <w:r>
        <w:rPr>
          <w:rFonts w:eastAsia="宋体"/>
          <w:color w:val="000000"/>
          <w:sz w:val="21"/>
          <w:szCs w:val="21"/>
        </w:rPr>
        <w:t>2017年FDA再授权法案</w:t>
      </w:r>
      <w:r>
        <w:rPr>
          <w:rFonts w:eastAsia="宋体"/>
          <w:iCs/>
          <w:color w:val="000000"/>
          <w:sz w:val="21"/>
          <w:szCs w:val="21"/>
        </w:rPr>
        <w:t>》</w:t>
      </w:r>
      <w:r>
        <w:rPr>
          <w:rFonts w:eastAsia="宋体"/>
          <w:color w:val="000000"/>
          <w:sz w:val="21"/>
          <w:szCs w:val="21"/>
        </w:rPr>
        <w:t>标题II（公法115-52）</w:t>
      </w:r>
    </w:p>
  </w:footnote>
  <w:footnote w:id="1">
    <w:p>
      <w:pPr>
        <w:pStyle w:val="7"/>
        <w:tabs>
          <w:tab w:val="left" w:pos="196"/>
        </w:tabs>
        <w:jc w:val="both"/>
        <w:rPr>
          <w:rFonts w:eastAsia="宋体"/>
        </w:rPr>
      </w:pPr>
      <w:r>
        <w:rPr>
          <w:rStyle w:val="13"/>
          <w:rFonts w:eastAsia="宋体"/>
          <w:sz w:val="21"/>
          <w:szCs w:val="21"/>
        </w:rPr>
        <w:footnoteRef/>
      </w:r>
      <w:r>
        <w:rPr>
          <w:rFonts w:hint="eastAsia" w:eastAsia="宋体"/>
          <w:sz w:val="21"/>
          <w:szCs w:val="21"/>
        </w:rPr>
        <w:tab/>
      </w:r>
      <w:r>
        <w:rPr>
          <w:rFonts w:eastAsia="宋体"/>
          <w:sz w:val="21"/>
          <w:szCs w:val="21"/>
        </w:rPr>
        <w:t>拒绝</w:t>
      </w:r>
      <w:r>
        <w:rPr>
          <w:rFonts w:eastAsia="宋体"/>
          <w:color w:val="000000"/>
          <w:sz w:val="21"/>
          <w:szCs w:val="21"/>
        </w:rPr>
        <w:t>处理已收到的PMA，有三（3）条标准：i）提交申请时未</w:t>
      </w:r>
      <w:r>
        <w:rPr>
          <w:rFonts w:hint="eastAsia" w:eastAsia="宋体"/>
          <w:color w:val="000000"/>
          <w:sz w:val="21"/>
          <w:szCs w:val="21"/>
        </w:rPr>
        <w:t>支付</w:t>
      </w:r>
      <w:r>
        <w:rPr>
          <w:rFonts w:eastAsia="宋体"/>
          <w:color w:val="000000"/>
          <w:sz w:val="21"/>
          <w:szCs w:val="21"/>
        </w:rPr>
        <w:t>所需</w:t>
      </w:r>
      <w:r>
        <w:rPr>
          <w:rFonts w:hint="eastAsia" w:eastAsia="宋体"/>
          <w:color w:val="000000"/>
          <w:sz w:val="21"/>
          <w:szCs w:val="21"/>
        </w:rPr>
        <w:t>用户</w:t>
      </w:r>
      <w:r>
        <w:rPr>
          <w:rFonts w:eastAsia="宋体"/>
          <w:color w:val="000000"/>
          <w:sz w:val="21"/>
          <w:szCs w:val="21"/>
        </w:rPr>
        <w:t>费用和未提供</w:t>
      </w:r>
      <w:r>
        <w:rPr>
          <w:rFonts w:hint="eastAsia" w:eastAsia="宋体"/>
          <w:color w:val="000000"/>
          <w:sz w:val="21"/>
          <w:szCs w:val="21"/>
        </w:rPr>
        <w:t>用户</w:t>
      </w:r>
      <w:r>
        <w:rPr>
          <w:rFonts w:eastAsia="宋体"/>
          <w:color w:val="000000"/>
          <w:sz w:val="21"/>
          <w:szCs w:val="21"/>
        </w:rPr>
        <w:t>费用标识（ID）编号（详见MDUFA</w:t>
      </w:r>
      <w:r>
        <w:rPr>
          <w:rFonts w:hint="eastAsia" w:eastAsia="宋体"/>
          <w:color w:val="000000"/>
          <w:sz w:val="21"/>
          <w:szCs w:val="21"/>
        </w:rPr>
        <w:t>用户费用</w:t>
      </w:r>
      <w:r>
        <w:rPr>
          <w:rFonts w:eastAsia="宋体"/>
          <w:color w:val="000000"/>
          <w:sz w:val="21"/>
          <w:szCs w:val="21"/>
        </w:rPr>
        <w:t>封面页（表3601）、申请封面页或CDRH上市前审评申请封面页（表3514）（根据《2012年医疗器械</w:t>
      </w:r>
      <w:r>
        <w:rPr>
          <w:rFonts w:hint="eastAsia" w:eastAsia="宋体"/>
          <w:color w:val="000000"/>
          <w:sz w:val="21"/>
          <w:szCs w:val="21"/>
        </w:rPr>
        <w:t>用户费用</w:t>
      </w:r>
      <w:r>
        <w:rPr>
          <w:rFonts w:eastAsia="宋体"/>
          <w:color w:val="000000"/>
          <w:sz w:val="21"/>
          <w:szCs w:val="21"/>
        </w:rPr>
        <w:t>修正案》）；ii）申请未经美国代表根据21 CFR 814.20（a）签字或会签；iii）公司未根据814.20（b）（2）提交正确数量的副本。由于CDRH文件邮寄中心或CBER监管项目经理不会处理任何不符合这三个标准的PMA，因此未将其纳入</w:t>
      </w:r>
      <w:r>
        <w:rPr>
          <w:rFonts w:hint="eastAsia" w:eastAsia="宋体"/>
          <w:color w:val="000000"/>
          <w:sz w:val="21"/>
          <w:szCs w:val="21"/>
        </w:rPr>
        <w:t>检查表</w:t>
      </w:r>
      <w:r>
        <w:rPr>
          <w:rFonts w:eastAsia="宋体"/>
          <w:color w:val="000000"/>
          <w:sz w:val="21"/>
          <w:szCs w:val="21"/>
        </w:rPr>
        <w:t>中。</w:t>
      </w:r>
    </w:p>
  </w:footnote>
  <w:footnote w:id="2">
    <w:p>
      <w:pPr>
        <w:pStyle w:val="7"/>
        <w:tabs>
          <w:tab w:val="left" w:pos="196"/>
        </w:tabs>
        <w:jc w:val="both"/>
        <w:rPr>
          <w:rFonts w:eastAsia="宋体"/>
          <w:sz w:val="21"/>
          <w:szCs w:val="21"/>
        </w:rPr>
      </w:pPr>
      <w:r>
        <w:rPr>
          <w:rStyle w:val="13"/>
          <w:rFonts w:eastAsia="宋体"/>
          <w:sz w:val="21"/>
          <w:szCs w:val="21"/>
        </w:rPr>
        <w:footnoteRef/>
      </w:r>
      <w:r>
        <w:rPr>
          <w:rFonts w:hint="eastAsia" w:eastAsia="宋体"/>
          <w:sz w:val="21"/>
          <w:szCs w:val="21"/>
        </w:rPr>
        <w:tab/>
      </w:r>
      <w:r>
        <w:rPr>
          <w:rFonts w:eastAsia="宋体"/>
          <w:color w:val="000000"/>
          <w:sz w:val="21"/>
          <w:szCs w:val="21"/>
        </w:rPr>
        <w:t>参见指南</w:t>
      </w:r>
      <w:r>
        <w:rPr>
          <w:rFonts w:ascii="宋体" w:hAnsi="宋体" w:eastAsia="宋体"/>
          <w:color w:val="000000"/>
          <w:sz w:val="21"/>
          <w:szCs w:val="21"/>
        </w:rPr>
        <w:t>“</w:t>
      </w:r>
      <w:r>
        <w:rPr>
          <w:rFonts w:eastAsia="宋体"/>
          <w:color w:val="0000FF"/>
          <w:sz w:val="21"/>
          <w:szCs w:val="21"/>
          <w:u w:val="single"/>
        </w:rPr>
        <w:t>医疗器械申请的eCopy程序</w:t>
      </w:r>
      <w:r>
        <w:rPr>
          <w:rFonts w:ascii="宋体" w:hAnsi="宋体" w:eastAsia="宋体"/>
          <w:color w:val="000000"/>
          <w:sz w:val="21"/>
          <w:szCs w:val="21"/>
        </w:rPr>
        <w:t>”</w:t>
      </w:r>
      <w:r>
        <w:rPr>
          <w:rFonts w:eastAsia="宋体"/>
          <w:color w:val="000000"/>
          <w:sz w:val="21"/>
          <w:szCs w:val="21"/>
        </w:rPr>
        <w:t>，网址为</w:t>
      </w:r>
      <w:r>
        <w:rPr>
          <w:rFonts w:eastAsia="宋体"/>
          <w:color w:val="0000FF"/>
          <w:sz w:val="21"/>
          <w:szCs w:val="21"/>
          <w:u w:val="single"/>
        </w:rPr>
        <w:t>https://www.fda.gov/regulatory-information/search-</w:t>
      </w:r>
      <w:r>
        <w:rPr>
          <w:rFonts w:hint="eastAsia" w:eastAsia="宋体"/>
          <w:color w:val="0000FF"/>
          <w:sz w:val="21"/>
          <w:szCs w:val="21"/>
          <w:u w:val="single"/>
        </w:rPr>
        <w:t xml:space="preserve"> </w:t>
      </w:r>
      <w:r>
        <w:rPr>
          <w:rFonts w:eastAsia="宋体"/>
          <w:color w:val="0000FF"/>
          <w:sz w:val="21"/>
          <w:szCs w:val="21"/>
          <w:u w:val="single"/>
        </w:rPr>
        <w:t>fda-guidance-documents/ecopy-program-medical-device-submissions</w:t>
      </w:r>
      <w:r>
        <w:rPr>
          <w:rFonts w:eastAsia="宋体"/>
          <w:color w:val="000000"/>
          <w:sz w:val="21"/>
          <w:szCs w:val="21"/>
        </w:rPr>
        <w:t>。</w:t>
      </w:r>
    </w:p>
  </w:footnote>
  <w:footnote w:id="3">
    <w:p>
      <w:pPr>
        <w:pStyle w:val="7"/>
        <w:tabs>
          <w:tab w:val="left" w:pos="196"/>
        </w:tabs>
        <w:jc w:val="both"/>
        <w:rPr>
          <w:rFonts w:eastAsia="宋体"/>
          <w:sz w:val="21"/>
          <w:szCs w:val="21"/>
        </w:rPr>
      </w:pPr>
      <w:r>
        <w:rPr>
          <w:rStyle w:val="13"/>
          <w:rFonts w:eastAsia="宋体"/>
          <w:sz w:val="21"/>
          <w:szCs w:val="21"/>
        </w:rPr>
        <w:footnoteRef/>
      </w:r>
      <w:r>
        <w:rPr>
          <w:rFonts w:hint="eastAsia" w:eastAsia="宋体"/>
          <w:sz w:val="21"/>
          <w:szCs w:val="21"/>
        </w:rPr>
        <w:tab/>
      </w:r>
      <w:r>
        <w:rPr>
          <w:rFonts w:eastAsia="宋体"/>
          <w:color w:val="000000"/>
          <w:sz w:val="21"/>
          <w:szCs w:val="21"/>
        </w:rPr>
        <w:t>在收到完成PMA申请的最终临床模块时，将对模块化PMA进行</w:t>
      </w:r>
      <w:r>
        <w:rPr>
          <w:rFonts w:hint="eastAsia" w:eastAsia="宋体"/>
          <w:color w:val="000000"/>
          <w:sz w:val="21"/>
          <w:szCs w:val="21"/>
        </w:rPr>
        <w:t>验收</w:t>
      </w:r>
      <w:r>
        <w:rPr>
          <w:rFonts w:eastAsia="宋体"/>
          <w:color w:val="000000"/>
          <w:sz w:val="21"/>
          <w:szCs w:val="21"/>
        </w:rPr>
        <w:t>和</w:t>
      </w:r>
      <w:r>
        <w:rPr>
          <w:rFonts w:hint="eastAsia" w:eastAsia="宋体"/>
          <w:color w:val="000000"/>
          <w:sz w:val="21"/>
          <w:szCs w:val="21"/>
        </w:rPr>
        <w:t>备案</w:t>
      </w:r>
      <w:r>
        <w:rPr>
          <w:rFonts w:eastAsia="宋体"/>
          <w:color w:val="000000"/>
          <w:sz w:val="21"/>
          <w:szCs w:val="21"/>
        </w:rPr>
        <w:t>审评，并且将对迄今为止收到的所有模块中的所有信息进行评估。请参阅标题为</w:t>
      </w:r>
      <w:r>
        <w:rPr>
          <w:rFonts w:ascii="宋体" w:hAnsi="宋体" w:eastAsia="宋体"/>
          <w:color w:val="000000" w:themeColor="text1"/>
          <w:sz w:val="21"/>
          <w:szCs w:val="21"/>
        </w:rPr>
        <w:t>“</w:t>
      </w:r>
      <w:r>
        <w:rPr>
          <w:rFonts w:eastAsia="宋体"/>
          <w:color w:val="0000FF"/>
          <w:sz w:val="21"/>
          <w:szCs w:val="21"/>
          <w:u w:val="single"/>
        </w:rPr>
        <w:t>上市前批准申请模块审评</w:t>
      </w:r>
      <w:r>
        <w:rPr>
          <w:rFonts w:ascii="宋体" w:hAnsi="宋体" w:eastAsia="宋体"/>
          <w:color w:val="000000"/>
          <w:sz w:val="21"/>
          <w:szCs w:val="21"/>
        </w:rPr>
        <w:t>”</w:t>
      </w:r>
      <w:r>
        <w:rPr>
          <w:rFonts w:eastAsia="宋体"/>
          <w:color w:val="000000"/>
          <w:sz w:val="21"/>
          <w:szCs w:val="21"/>
        </w:rPr>
        <w:t>指南，可登陆以下网址获取关于模块化PMA的更多信息：</w:t>
      </w:r>
      <w:r>
        <w:rPr>
          <w:rFonts w:eastAsia="宋体"/>
          <w:color w:val="0000FF"/>
          <w:sz w:val="21"/>
          <w:szCs w:val="21"/>
          <w:u w:val="single"/>
        </w:rPr>
        <w:t>https://www.fda.gov/regulatory-information/search-fda-</w:t>
      </w:r>
      <w:r>
        <w:rPr>
          <w:rFonts w:hint="eastAsia" w:eastAsia="宋体"/>
          <w:color w:val="0000FF"/>
          <w:sz w:val="21"/>
          <w:szCs w:val="21"/>
          <w:u w:val="single"/>
        </w:rPr>
        <w:t xml:space="preserve"> </w:t>
      </w:r>
      <w:r>
        <w:rPr>
          <w:rFonts w:eastAsia="宋体"/>
          <w:color w:val="0000FF"/>
          <w:sz w:val="21"/>
          <w:szCs w:val="21"/>
          <w:u w:val="single"/>
        </w:rPr>
        <w:t>guidance-documents/premarket-approval-application-modular-</w:t>
      </w:r>
      <w:r>
        <w:rPr>
          <w:rFonts w:eastAsia="宋体"/>
          <w:color w:val="000000"/>
          <w:sz w:val="21"/>
          <w:szCs w:val="21"/>
        </w:rPr>
        <w:t>。</w:t>
      </w:r>
    </w:p>
  </w:footnote>
  <w:footnote w:id="4">
    <w:p>
      <w:pPr>
        <w:pStyle w:val="7"/>
        <w:tabs>
          <w:tab w:val="left" w:pos="196"/>
        </w:tabs>
        <w:jc w:val="both"/>
        <w:rPr>
          <w:rFonts w:eastAsia="宋体"/>
          <w:sz w:val="21"/>
          <w:szCs w:val="21"/>
        </w:rPr>
      </w:pPr>
      <w:r>
        <w:rPr>
          <w:rStyle w:val="13"/>
          <w:rFonts w:eastAsia="宋体"/>
          <w:sz w:val="21"/>
          <w:szCs w:val="21"/>
        </w:rPr>
        <w:footnoteRef/>
      </w:r>
      <w:r>
        <w:rPr>
          <w:rFonts w:hint="eastAsia" w:eastAsia="宋体"/>
          <w:sz w:val="21"/>
          <w:szCs w:val="21"/>
        </w:rPr>
        <w:tab/>
      </w:r>
      <w:r>
        <w:rPr>
          <w:rFonts w:eastAsia="宋体"/>
          <w:color w:val="000000"/>
          <w:sz w:val="21"/>
          <w:szCs w:val="21"/>
        </w:rPr>
        <w:t>参见《FD&amp;C法案》第515B</w:t>
      </w:r>
      <w:r>
        <w:rPr>
          <w:rFonts w:hint="eastAsia" w:eastAsia="宋体"/>
          <w:color w:val="000000"/>
          <w:sz w:val="21"/>
          <w:szCs w:val="21"/>
        </w:rPr>
        <w:t>节</w:t>
      </w:r>
    </w:p>
  </w:footnote>
  <w:footnote w:id="5">
    <w:p>
      <w:pPr>
        <w:pStyle w:val="7"/>
        <w:tabs>
          <w:tab w:val="left" w:pos="196"/>
        </w:tabs>
        <w:jc w:val="both"/>
        <w:rPr>
          <w:rFonts w:eastAsia="宋体"/>
          <w:sz w:val="21"/>
          <w:szCs w:val="21"/>
        </w:rPr>
      </w:pPr>
      <w:r>
        <w:rPr>
          <w:rStyle w:val="13"/>
          <w:rFonts w:eastAsia="宋体"/>
          <w:sz w:val="21"/>
          <w:szCs w:val="21"/>
        </w:rPr>
        <w:footnoteRef/>
      </w:r>
      <w:r>
        <w:rPr>
          <w:rFonts w:hint="eastAsia" w:eastAsia="宋体"/>
          <w:sz w:val="21"/>
          <w:szCs w:val="21"/>
        </w:rPr>
        <w:tab/>
      </w:r>
      <w:r>
        <w:rPr>
          <w:rFonts w:eastAsia="宋体"/>
          <w:color w:val="000000"/>
          <w:sz w:val="21"/>
          <w:szCs w:val="21"/>
        </w:rPr>
        <w:t>可访问</w:t>
      </w:r>
      <w:r>
        <w:rPr>
          <w:rFonts w:eastAsia="宋体"/>
          <w:color w:val="0000FF"/>
          <w:sz w:val="21"/>
          <w:szCs w:val="21"/>
          <w:u w:val="single"/>
        </w:rPr>
        <w:t>https://www.fda.gov/regulatory-information/search-fda-guidance-documents/breakthrough-devices- program</w:t>
      </w:r>
      <w:r>
        <w:rPr>
          <w:rFonts w:eastAsia="宋体"/>
          <w:color w:val="000000" w:themeColor="text1"/>
          <w:sz w:val="21"/>
          <w:szCs w:val="21"/>
        </w:rPr>
        <w:t>。</w:t>
      </w:r>
    </w:p>
  </w:footnote>
  <w:footnote w:id="6">
    <w:p>
      <w:pPr>
        <w:pStyle w:val="7"/>
        <w:tabs>
          <w:tab w:val="left" w:pos="196"/>
        </w:tabs>
        <w:jc w:val="both"/>
        <w:rPr>
          <w:rFonts w:eastAsia="宋体"/>
          <w:sz w:val="21"/>
          <w:szCs w:val="21"/>
        </w:rPr>
      </w:pPr>
      <w:r>
        <w:rPr>
          <w:rStyle w:val="13"/>
          <w:rFonts w:eastAsia="宋体"/>
          <w:sz w:val="21"/>
          <w:szCs w:val="21"/>
        </w:rPr>
        <w:footnoteRef/>
      </w:r>
      <w:r>
        <w:rPr>
          <w:rFonts w:hint="eastAsia" w:eastAsia="宋体"/>
          <w:color w:val="000000"/>
          <w:sz w:val="21"/>
          <w:szCs w:val="21"/>
        </w:rPr>
        <w:tab/>
      </w:r>
      <w:r>
        <w:rPr>
          <w:rFonts w:eastAsia="宋体"/>
          <w:color w:val="000000"/>
          <w:sz w:val="21"/>
          <w:szCs w:val="21"/>
        </w:rPr>
        <w:t>访问</w:t>
      </w:r>
      <w:r>
        <w:rPr>
          <w:rFonts w:eastAsia="宋体"/>
          <w:color w:val="0000FF"/>
          <w:sz w:val="21"/>
          <w:szCs w:val="21"/>
          <w:u w:val="single"/>
        </w:rPr>
        <w:t>https://www.fda.gov/medical-devices/premarket-submissions/medical-device-user-fees</w:t>
      </w:r>
      <w:r>
        <w:rPr>
          <w:rFonts w:eastAsia="宋体"/>
          <w:color w:val="000000" w:themeColor="text1"/>
          <w:sz w:val="21"/>
          <w:szCs w:val="21"/>
        </w:rPr>
        <w:t>。</w:t>
      </w:r>
    </w:p>
  </w:footnote>
  <w:footnote w:id="7">
    <w:p>
      <w:pPr>
        <w:pStyle w:val="7"/>
        <w:tabs>
          <w:tab w:val="left" w:pos="196"/>
        </w:tabs>
        <w:jc w:val="both"/>
        <w:rPr>
          <w:rFonts w:eastAsia="宋体"/>
          <w:sz w:val="21"/>
          <w:szCs w:val="21"/>
        </w:rPr>
      </w:pPr>
      <w:r>
        <w:rPr>
          <w:rStyle w:val="13"/>
          <w:rFonts w:eastAsia="宋体"/>
          <w:sz w:val="21"/>
          <w:szCs w:val="21"/>
        </w:rPr>
        <w:footnoteRef/>
      </w:r>
      <w:r>
        <w:rPr>
          <w:rFonts w:hint="eastAsia" w:eastAsia="宋体"/>
          <w:sz w:val="21"/>
          <w:szCs w:val="21"/>
        </w:rPr>
        <w:tab/>
      </w:r>
      <w:r>
        <w:rPr>
          <w:rFonts w:eastAsia="宋体"/>
          <w:color w:val="000000"/>
          <w:sz w:val="21"/>
          <w:szCs w:val="21"/>
        </w:rPr>
        <w:t>可访问</w:t>
      </w:r>
      <w:r>
        <w:rPr>
          <w:rFonts w:eastAsia="宋体"/>
          <w:color w:val="0000FF"/>
          <w:sz w:val="21"/>
          <w:szCs w:val="21"/>
          <w:u w:val="single"/>
        </w:rPr>
        <w:t>https://www.fda.gov/regulatory-information/search-fda-guidance-documents/requests-feedback-</w:t>
      </w:r>
      <w:r>
        <w:rPr>
          <w:rFonts w:hint="eastAsia" w:eastAsia="宋体"/>
          <w:color w:val="0000FF"/>
          <w:sz w:val="21"/>
          <w:szCs w:val="21"/>
          <w:u w:val="single"/>
        </w:rPr>
        <w:t xml:space="preserve"> </w:t>
      </w:r>
      <w:r>
        <w:rPr>
          <w:rFonts w:eastAsia="宋体"/>
          <w:color w:val="0000FF"/>
          <w:sz w:val="21"/>
          <w:szCs w:val="21"/>
          <w:u w:val="single"/>
        </w:rPr>
        <w:t>and-meetings-medical-device-submissions-q-submission-program</w:t>
      </w:r>
      <w:r>
        <w:rPr>
          <w:rFonts w:eastAsia="宋体"/>
          <w:color w:val="000000" w:themeColor="text1"/>
          <w:sz w:val="21"/>
          <w:szCs w:val="21"/>
        </w:rPr>
        <w:t>。</w:t>
      </w:r>
    </w:p>
  </w:footnote>
  <w:footnote w:id="8">
    <w:p>
      <w:pPr>
        <w:pStyle w:val="7"/>
        <w:tabs>
          <w:tab w:val="left" w:pos="196"/>
        </w:tabs>
        <w:jc w:val="both"/>
        <w:rPr>
          <w:rFonts w:eastAsia="宋体"/>
          <w:sz w:val="21"/>
          <w:szCs w:val="21"/>
        </w:rPr>
      </w:pPr>
      <w:r>
        <w:rPr>
          <w:rStyle w:val="13"/>
          <w:rFonts w:eastAsia="宋体"/>
          <w:sz w:val="21"/>
          <w:szCs w:val="21"/>
        </w:rPr>
        <w:footnoteRef/>
      </w:r>
      <w:r>
        <w:rPr>
          <w:rFonts w:hint="eastAsia" w:eastAsia="宋体"/>
          <w:color w:val="000000"/>
          <w:sz w:val="21"/>
          <w:szCs w:val="21"/>
        </w:rPr>
        <w:tab/>
      </w:r>
      <w:r>
        <w:rPr>
          <w:rFonts w:eastAsia="宋体"/>
          <w:color w:val="000000"/>
          <w:sz w:val="21"/>
          <w:szCs w:val="21"/>
        </w:rPr>
        <w:t>访问</w:t>
      </w:r>
      <w:r>
        <w:rPr>
          <w:rFonts w:eastAsia="宋体"/>
          <w:color w:val="0000FF"/>
          <w:sz w:val="21"/>
          <w:szCs w:val="21"/>
          <w:u w:val="single"/>
        </w:rPr>
        <w:t>https://www.fda.gov/medical-devices/device-advice-comprehensive-regulatory-assistance</w:t>
      </w:r>
      <w:r>
        <w:rPr>
          <w:rFonts w:eastAsia="宋体"/>
          <w:color w:val="000000" w:themeColor="text1"/>
          <w:sz w:val="21"/>
          <w:szCs w:val="21"/>
        </w:rPr>
        <w:t>。</w:t>
      </w:r>
    </w:p>
  </w:footnote>
  <w:footnote w:id="9">
    <w:p>
      <w:pPr>
        <w:pStyle w:val="7"/>
        <w:tabs>
          <w:tab w:val="left" w:pos="196"/>
        </w:tabs>
        <w:jc w:val="both"/>
        <w:rPr>
          <w:rFonts w:eastAsia="宋体"/>
        </w:rPr>
      </w:pPr>
      <w:r>
        <w:rPr>
          <w:rStyle w:val="13"/>
          <w:rFonts w:eastAsia="宋体"/>
          <w:sz w:val="21"/>
          <w:szCs w:val="21"/>
        </w:rPr>
        <w:footnoteRef/>
      </w:r>
      <w:r>
        <w:rPr>
          <w:rFonts w:hint="eastAsia" w:eastAsia="宋体"/>
          <w:sz w:val="21"/>
          <w:szCs w:val="21"/>
        </w:rPr>
        <w:tab/>
      </w:r>
      <w:r>
        <w:rPr>
          <w:rFonts w:eastAsia="宋体"/>
          <w:color w:val="000000"/>
          <w:sz w:val="21"/>
          <w:szCs w:val="21"/>
        </w:rPr>
        <w:t>可访问</w:t>
      </w:r>
      <w:r>
        <w:rPr>
          <w:rFonts w:eastAsia="宋体"/>
          <w:color w:val="0000FF"/>
          <w:sz w:val="21"/>
          <w:szCs w:val="21"/>
          <w:u w:val="single"/>
        </w:rPr>
        <w:t>https://www.fda.gov/medical-devices/device-advice-comprehensive-regulatory-assistance/guidance- documents-medical-devices-and-radiation-emitting-</w:t>
      </w:r>
      <w:r>
        <w:rPr>
          <w:rFonts w:eastAsia="宋体"/>
          <w:color w:val="000000"/>
          <w:sz w:val="21"/>
          <w:szCs w:val="21"/>
        </w:rPr>
        <w:t>。</w:t>
      </w:r>
    </w:p>
  </w:footnote>
  <w:footnote w:id="10">
    <w:p>
      <w:pPr>
        <w:pStyle w:val="7"/>
        <w:tabs>
          <w:tab w:val="left" w:pos="196"/>
        </w:tabs>
        <w:jc w:val="both"/>
        <w:rPr>
          <w:rFonts w:eastAsia="宋体"/>
          <w:sz w:val="21"/>
          <w:szCs w:val="21"/>
        </w:rPr>
      </w:pPr>
      <w:r>
        <w:rPr>
          <w:rStyle w:val="13"/>
          <w:rFonts w:eastAsia="宋体"/>
          <w:sz w:val="21"/>
          <w:szCs w:val="21"/>
        </w:rPr>
        <w:footnoteRef/>
      </w:r>
      <w:r>
        <w:rPr>
          <w:rFonts w:hint="eastAsia" w:eastAsia="宋体"/>
          <w:sz w:val="21"/>
          <w:szCs w:val="21"/>
        </w:rPr>
        <w:tab/>
      </w:r>
      <w:r>
        <w:rPr>
          <w:rFonts w:eastAsia="宋体"/>
          <w:color w:val="000000"/>
          <w:sz w:val="21"/>
          <w:szCs w:val="21"/>
        </w:rPr>
        <w:t>可访问</w:t>
      </w:r>
      <w:r>
        <w:rPr>
          <w:rFonts w:eastAsia="宋体"/>
          <w:color w:val="0000FF"/>
          <w:sz w:val="21"/>
          <w:szCs w:val="21"/>
          <w:u w:val="single"/>
        </w:rPr>
        <w:t xml:space="preserve"> https://www.fda.gov/regulatory-information/search-fda-guidance-documents/modifications-</w:t>
      </w:r>
      <w:r>
        <w:rPr>
          <w:rFonts w:hint="eastAsia" w:eastAsia="宋体"/>
          <w:color w:val="0000FF"/>
          <w:sz w:val="21"/>
          <w:szCs w:val="21"/>
          <w:u w:val="single"/>
        </w:rPr>
        <w:t xml:space="preserve"> </w:t>
      </w:r>
      <w:r>
        <w:rPr>
          <w:rFonts w:eastAsia="宋体"/>
          <w:color w:val="0000FF"/>
          <w:sz w:val="21"/>
          <w:szCs w:val="21"/>
          <w:u w:val="single"/>
        </w:rPr>
        <w:t>devices-subject-premarket-approval-pma-pma-supplement-decision-making-process</w:t>
      </w:r>
      <w:r>
        <w:rPr>
          <w:rFonts w:eastAsia="宋体"/>
          <w:color w:val="000000" w:themeColor="text1"/>
          <w:sz w:val="21"/>
          <w:szCs w:val="21"/>
        </w:rPr>
        <w:t>。</w:t>
      </w:r>
    </w:p>
  </w:footnote>
  <w:footnote w:id="11">
    <w:p>
      <w:pPr>
        <w:pStyle w:val="7"/>
        <w:tabs>
          <w:tab w:val="left" w:pos="196"/>
        </w:tabs>
        <w:jc w:val="both"/>
        <w:rPr>
          <w:rFonts w:eastAsia="宋体"/>
        </w:rPr>
      </w:pPr>
      <w:r>
        <w:rPr>
          <w:rStyle w:val="13"/>
          <w:rFonts w:eastAsia="宋体"/>
          <w:sz w:val="21"/>
          <w:szCs w:val="21"/>
        </w:rPr>
        <w:footnoteRef/>
      </w:r>
      <w:r>
        <w:rPr>
          <w:rFonts w:hint="eastAsia" w:eastAsia="宋体"/>
          <w:sz w:val="21"/>
          <w:szCs w:val="21"/>
        </w:rPr>
        <w:tab/>
      </w:r>
      <w:r>
        <w:rPr>
          <w:rFonts w:eastAsia="宋体"/>
          <w:color w:val="000000"/>
          <w:sz w:val="21"/>
          <w:szCs w:val="21"/>
        </w:rPr>
        <w:t>如需更多信息，请参见指南</w:t>
      </w:r>
      <w:r>
        <w:rPr>
          <w:rFonts w:ascii="宋体" w:hAnsi="宋体" w:eastAsia="宋体"/>
          <w:color w:val="000000" w:themeColor="text1"/>
          <w:sz w:val="21"/>
          <w:szCs w:val="21"/>
        </w:rPr>
        <w:t>“</w:t>
      </w:r>
      <w:r>
        <w:rPr>
          <w:rFonts w:eastAsia="宋体"/>
          <w:color w:val="0000FF"/>
          <w:sz w:val="21"/>
          <w:szCs w:val="21"/>
          <w:u w:val="single"/>
        </w:rPr>
        <w:t>FDA和行业对上市前批准申请（PMA）采取的措施：对FDA审评计时和目标的影响</w:t>
      </w:r>
      <w:r>
        <w:rPr>
          <w:rFonts w:ascii="宋体" w:hAnsi="宋体" w:eastAsia="宋体"/>
          <w:color w:val="000000" w:themeColor="text1"/>
          <w:sz w:val="21"/>
          <w:szCs w:val="21"/>
        </w:rPr>
        <w:t>”</w:t>
      </w:r>
      <w:r>
        <w:rPr>
          <w:rFonts w:eastAsia="宋体"/>
          <w:color w:val="000000" w:themeColor="text1"/>
          <w:sz w:val="21"/>
          <w:szCs w:val="21"/>
        </w:rPr>
        <w:t>，</w:t>
      </w:r>
      <w:r>
        <w:rPr>
          <w:rFonts w:eastAsia="宋体"/>
          <w:color w:val="000000"/>
          <w:sz w:val="21"/>
          <w:szCs w:val="21"/>
        </w:rPr>
        <w:t>网址为</w:t>
      </w:r>
      <w:r>
        <w:rPr>
          <w:rFonts w:eastAsia="宋体"/>
          <w:color w:val="0000FF"/>
          <w:sz w:val="21"/>
          <w:szCs w:val="21"/>
          <w:u w:val="single"/>
        </w:rPr>
        <w:t>https://www.fda.gov/regulatory-information/search-fda-guidance-documents/</w:t>
      </w:r>
      <w:r>
        <w:rPr>
          <w:rFonts w:hint="eastAsia" w:eastAsia="宋体"/>
          <w:color w:val="0000FF"/>
          <w:sz w:val="21"/>
          <w:szCs w:val="21"/>
          <w:u w:val="single"/>
        </w:rPr>
        <w:t xml:space="preserve"> </w:t>
      </w:r>
      <w:r>
        <w:rPr>
          <w:rFonts w:eastAsia="宋体"/>
          <w:color w:val="0000FF"/>
          <w:sz w:val="21"/>
          <w:szCs w:val="21"/>
          <w:u w:val="single"/>
        </w:rPr>
        <w:t>fda-and-industry-actions-premarket-approval-applications-pmas-effect- fda-review-clock-and-</w:t>
      </w:r>
      <w:r>
        <w:rPr>
          <w:rFonts w:eastAsia="宋体"/>
          <w:color w:val="000000"/>
          <w:sz w:val="21"/>
          <w:szCs w:val="21"/>
        </w:rPr>
        <w:t>。</w:t>
      </w:r>
    </w:p>
  </w:footnote>
  <w:footnote w:id="12">
    <w:p>
      <w:pPr>
        <w:pStyle w:val="7"/>
        <w:tabs>
          <w:tab w:val="left" w:pos="196"/>
        </w:tabs>
        <w:jc w:val="both"/>
        <w:rPr>
          <w:rFonts w:eastAsia="宋体"/>
          <w:sz w:val="21"/>
          <w:szCs w:val="21"/>
        </w:rPr>
      </w:pPr>
      <w:r>
        <w:rPr>
          <w:rStyle w:val="13"/>
          <w:rFonts w:eastAsia="宋体"/>
          <w:sz w:val="21"/>
          <w:szCs w:val="21"/>
        </w:rPr>
        <w:footnoteRef/>
      </w:r>
      <w:r>
        <w:rPr>
          <w:rFonts w:hint="eastAsia" w:eastAsia="宋体"/>
          <w:sz w:val="21"/>
          <w:szCs w:val="21"/>
        </w:rPr>
        <w:tab/>
      </w:r>
      <w:r>
        <w:rPr>
          <w:rFonts w:eastAsia="宋体"/>
          <w:sz w:val="21"/>
          <w:szCs w:val="21"/>
        </w:rPr>
        <w:t>参</w:t>
      </w:r>
      <w:r>
        <w:rPr>
          <w:rFonts w:eastAsia="宋体"/>
          <w:color w:val="000000"/>
          <w:sz w:val="21"/>
          <w:szCs w:val="21"/>
        </w:rPr>
        <w:t>见163 CONG。REC。S4729-S4736（每日版本2017年8月2日）（美国食品药品监督管理局注册费再授权），也可访问</w:t>
      </w:r>
      <w:r>
        <w:rPr>
          <w:rFonts w:eastAsia="宋体"/>
          <w:color w:val="0000FF"/>
          <w:sz w:val="21"/>
          <w:szCs w:val="21"/>
          <w:u w:val="single"/>
        </w:rPr>
        <w:t>https://www.fda.gov/downloads/ForIndustry/UserFees/MedicalDeviceUserFee/</w:t>
      </w:r>
      <w:r>
        <w:rPr>
          <w:rFonts w:hint="eastAsia" w:eastAsia="宋体"/>
          <w:color w:val="0000FF"/>
          <w:sz w:val="21"/>
          <w:szCs w:val="21"/>
          <w:u w:val="single"/>
        </w:rPr>
        <w:t xml:space="preserve"> </w:t>
      </w:r>
      <w:r>
        <w:rPr>
          <w:rFonts w:eastAsia="宋体"/>
          <w:color w:val="0000FF"/>
          <w:sz w:val="21"/>
          <w:szCs w:val="21"/>
          <w:u w:val="single"/>
        </w:rPr>
        <w:t>UCM535548.pdf</w:t>
      </w:r>
    </w:p>
  </w:footnote>
  <w:footnote w:id="13">
    <w:p>
      <w:pPr>
        <w:pStyle w:val="7"/>
        <w:tabs>
          <w:tab w:val="left" w:pos="196"/>
        </w:tabs>
        <w:jc w:val="both"/>
        <w:rPr>
          <w:rFonts w:eastAsia="宋体"/>
          <w:sz w:val="21"/>
          <w:szCs w:val="21"/>
        </w:rPr>
      </w:pPr>
      <w:r>
        <w:rPr>
          <w:rStyle w:val="13"/>
          <w:rFonts w:eastAsia="宋体"/>
          <w:sz w:val="21"/>
          <w:szCs w:val="21"/>
        </w:rPr>
        <w:footnoteRef/>
      </w:r>
      <w:r>
        <w:rPr>
          <w:rFonts w:hint="eastAsia" w:eastAsia="宋体"/>
          <w:sz w:val="21"/>
          <w:szCs w:val="21"/>
        </w:rPr>
        <w:tab/>
      </w:r>
      <w:r>
        <w:rPr>
          <w:rFonts w:eastAsia="宋体"/>
          <w:color w:val="000000"/>
          <w:sz w:val="21"/>
          <w:szCs w:val="21"/>
        </w:rPr>
        <w:t>如果某些错误行为（欺诈、重大事实的不真实陈述、贿赂或非法酬金）对待定申请中的数据提出质疑，FDA将推迟对此类数据进行实质性科学审评，直至完成有效性评估，并解决关于数据可靠性的问题。（</w:t>
      </w:r>
      <w:r>
        <w:rPr>
          <w:rFonts w:eastAsia="宋体"/>
          <w:i/>
          <w:color w:val="000000"/>
          <w:sz w:val="21"/>
          <w:szCs w:val="21"/>
        </w:rPr>
        <w:t>参见</w:t>
      </w:r>
      <w:r>
        <w:rPr>
          <w:rFonts w:eastAsia="宋体"/>
          <w:color w:val="000000"/>
          <w:sz w:val="21"/>
          <w:szCs w:val="21"/>
        </w:rPr>
        <w:t>FDA指南7150.09合规性政策指南，第50章</w:t>
      </w:r>
      <w:r>
        <w:rPr>
          <w:rFonts w:hint="eastAsia" w:eastAsia="宋体"/>
          <w:color w:val="000000"/>
          <w:sz w:val="21"/>
          <w:szCs w:val="21"/>
        </w:rPr>
        <w:t xml:space="preserve"> </w:t>
      </w:r>
      <w:r>
        <w:rPr>
          <w:rFonts w:eastAsia="宋体"/>
          <w:color w:val="000000"/>
          <w:sz w:val="21"/>
          <w:szCs w:val="21"/>
        </w:rPr>
        <w:t>-</w:t>
      </w:r>
      <w:r>
        <w:rPr>
          <w:rFonts w:hint="eastAsia" w:eastAsia="宋体"/>
          <w:color w:val="000000"/>
          <w:sz w:val="21"/>
          <w:szCs w:val="21"/>
        </w:rPr>
        <w:t xml:space="preserve"> </w:t>
      </w:r>
      <w:r>
        <w:rPr>
          <w:rFonts w:eastAsia="宋体"/>
          <w:color w:val="000000"/>
          <w:sz w:val="21"/>
          <w:szCs w:val="21"/>
        </w:rPr>
        <w:t>一般政策</w:t>
      </w:r>
      <w:r>
        <w:rPr>
          <w:rFonts w:hint="eastAsia" w:eastAsia="宋体"/>
          <w:color w:val="000000"/>
          <w:sz w:val="21"/>
          <w:szCs w:val="21"/>
        </w:rPr>
        <w:t xml:space="preserve"> </w:t>
      </w:r>
      <w:r>
        <w:rPr>
          <w:rFonts w:eastAsia="宋体"/>
          <w:color w:val="000000"/>
          <w:sz w:val="21"/>
          <w:szCs w:val="21"/>
        </w:rPr>
        <w:t>-</w:t>
      </w:r>
      <w:r>
        <w:rPr>
          <w:rFonts w:hint="eastAsia" w:eastAsia="宋体"/>
          <w:color w:val="000000"/>
          <w:sz w:val="21"/>
          <w:szCs w:val="21"/>
        </w:rPr>
        <w:t xml:space="preserve"> </w:t>
      </w:r>
      <w:r>
        <w:rPr>
          <w:rFonts w:eastAsia="宋体"/>
          <w:color w:val="000000"/>
          <w:sz w:val="21"/>
          <w:szCs w:val="21"/>
        </w:rPr>
        <w:t>主题：欺诈、重大事实的不真实陈述、贿赂和非法酬金，56 FR 46191）。</w:t>
      </w:r>
    </w:p>
  </w:footnote>
  <w:footnote w:id="14">
    <w:p>
      <w:pPr>
        <w:pStyle w:val="7"/>
        <w:tabs>
          <w:tab w:val="left" w:pos="196"/>
        </w:tabs>
        <w:jc w:val="both"/>
        <w:rPr>
          <w:rFonts w:eastAsia="宋体"/>
          <w:sz w:val="21"/>
          <w:szCs w:val="21"/>
        </w:rPr>
      </w:pPr>
      <w:r>
        <w:rPr>
          <w:rStyle w:val="13"/>
          <w:rFonts w:eastAsia="宋体"/>
          <w:sz w:val="21"/>
          <w:szCs w:val="21"/>
        </w:rPr>
        <w:footnoteRef/>
      </w:r>
      <w:r>
        <w:rPr>
          <w:rFonts w:hint="eastAsia" w:eastAsia="宋体"/>
          <w:color w:val="000000"/>
          <w:sz w:val="21"/>
          <w:szCs w:val="21"/>
        </w:rPr>
        <w:tab/>
      </w:r>
      <w:r>
        <w:rPr>
          <w:rFonts w:eastAsia="宋体"/>
          <w:color w:val="000000"/>
          <w:sz w:val="21"/>
          <w:szCs w:val="21"/>
        </w:rPr>
        <w:t>访问</w:t>
      </w:r>
      <w:r>
        <w:rPr>
          <w:rFonts w:eastAsia="宋体"/>
          <w:color w:val="0000FF"/>
          <w:sz w:val="21"/>
          <w:szCs w:val="21"/>
          <w:u w:val="single"/>
        </w:rPr>
        <w:t>https://www.fda.gov/inspections-compliance-enforcement-and-criminal-investigations/application-</w:t>
      </w:r>
      <w:r>
        <w:rPr>
          <w:rFonts w:hint="eastAsia" w:eastAsia="宋体"/>
          <w:color w:val="0000FF"/>
          <w:sz w:val="21"/>
          <w:szCs w:val="21"/>
          <w:u w:val="single"/>
        </w:rPr>
        <w:t xml:space="preserve"> </w:t>
      </w:r>
      <w:r>
        <w:rPr>
          <w:rFonts w:eastAsia="宋体"/>
          <w:color w:val="0000FF"/>
          <w:sz w:val="21"/>
          <w:szCs w:val="21"/>
          <w:u w:val="single"/>
        </w:rPr>
        <w:t>integrity-policy/application-integrity-policy-</w:t>
      </w:r>
      <w:r>
        <w:rPr>
          <w:rFonts w:eastAsia="宋体"/>
          <w:color w:val="000000"/>
          <w:sz w:val="21"/>
          <w:szCs w:val="21"/>
        </w:rPr>
        <w:t>。</w:t>
      </w:r>
    </w:p>
  </w:footnote>
  <w:footnote w:id="15">
    <w:p>
      <w:pPr>
        <w:pStyle w:val="7"/>
        <w:tabs>
          <w:tab w:val="left" w:pos="196"/>
        </w:tabs>
        <w:jc w:val="both"/>
        <w:rPr>
          <w:rFonts w:eastAsia="宋体"/>
          <w:sz w:val="21"/>
          <w:szCs w:val="21"/>
        </w:rPr>
      </w:pPr>
      <w:r>
        <w:rPr>
          <w:rStyle w:val="13"/>
          <w:rFonts w:eastAsia="宋体"/>
          <w:sz w:val="21"/>
          <w:szCs w:val="21"/>
        </w:rPr>
        <w:footnoteRef/>
      </w:r>
      <w:r>
        <w:rPr>
          <w:rFonts w:hint="eastAsia" w:eastAsia="宋体"/>
          <w:color w:val="000000"/>
          <w:sz w:val="21"/>
          <w:szCs w:val="21"/>
        </w:rPr>
        <w:tab/>
      </w:r>
      <w:r>
        <w:rPr>
          <w:rFonts w:eastAsia="宋体"/>
          <w:color w:val="000000"/>
          <w:sz w:val="21"/>
          <w:szCs w:val="21"/>
        </w:rPr>
        <w:t>访问</w:t>
      </w:r>
      <w:r>
        <w:rPr>
          <w:rFonts w:eastAsia="宋体"/>
          <w:color w:val="0000FF"/>
          <w:sz w:val="21"/>
          <w:szCs w:val="21"/>
          <w:u w:val="single"/>
        </w:rPr>
        <w:t>https://www.fda.gov/regulatory-information/search-fda-guidance-documents/appropriate-use-</w:t>
      </w:r>
      <w:r>
        <w:rPr>
          <w:rFonts w:hint="eastAsia" w:eastAsia="宋体"/>
          <w:color w:val="0000FF"/>
          <w:sz w:val="21"/>
          <w:szCs w:val="21"/>
          <w:u w:val="single"/>
        </w:rPr>
        <w:t xml:space="preserve"> </w:t>
      </w:r>
      <w:r>
        <w:rPr>
          <w:rFonts w:eastAsia="宋体"/>
          <w:color w:val="0000FF"/>
          <w:sz w:val="21"/>
          <w:szCs w:val="21"/>
          <w:u w:val="single"/>
        </w:rPr>
        <w:t>voluntary-</w:t>
      </w:r>
      <w:r>
        <w:rPr>
          <w:rFonts w:hint="eastAsia" w:eastAsia="宋体"/>
          <w:color w:val="0000FF"/>
          <w:sz w:val="21"/>
          <w:szCs w:val="21"/>
          <w:u w:val="single"/>
        </w:rPr>
        <w:t xml:space="preserve"> </w:t>
      </w:r>
      <w:r>
        <w:rPr>
          <w:rFonts w:eastAsia="宋体"/>
          <w:color w:val="0000FF"/>
          <w:sz w:val="21"/>
          <w:szCs w:val="21"/>
          <w:u w:val="single"/>
        </w:rPr>
        <w:t>consensus-standards-premarket-submissions-medical-</w:t>
      </w:r>
      <w:r>
        <w:rPr>
          <w:rFonts w:eastAsia="宋体"/>
          <w:color w:val="000000" w:themeColor="text1"/>
          <w:sz w:val="21"/>
          <w:szCs w:val="21"/>
        </w:rPr>
        <w:t>。</w:t>
      </w:r>
    </w:p>
  </w:footnote>
  <w:footnote w:id="16">
    <w:p>
      <w:pPr>
        <w:pStyle w:val="7"/>
        <w:tabs>
          <w:tab w:val="left" w:pos="196"/>
        </w:tabs>
        <w:jc w:val="both"/>
        <w:rPr>
          <w:rFonts w:eastAsia="宋体"/>
          <w:sz w:val="21"/>
          <w:szCs w:val="21"/>
        </w:rPr>
      </w:pPr>
      <w:r>
        <w:rPr>
          <w:rStyle w:val="13"/>
          <w:rFonts w:eastAsia="宋体"/>
          <w:sz w:val="21"/>
          <w:szCs w:val="21"/>
        </w:rPr>
        <w:footnoteRef/>
      </w:r>
      <w:r>
        <w:rPr>
          <w:rFonts w:hint="eastAsia" w:eastAsia="宋体"/>
          <w:sz w:val="21"/>
          <w:szCs w:val="21"/>
        </w:rPr>
        <w:tab/>
      </w:r>
      <w:r>
        <w:rPr>
          <w:rFonts w:eastAsia="宋体"/>
          <w:color w:val="000000"/>
          <w:sz w:val="21"/>
          <w:szCs w:val="21"/>
        </w:rPr>
        <w:t>请注意，在提交给CBER的PMA中，研究人群可能是</w:t>
      </w:r>
      <w:r>
        <w:rPr>
          <w:rFonts w:hint="eastAsia" w:eastAsia="宋体"/>
          <w:color w:val="000000"/>
          <w:sz w:val="21"/>
          <w:szCs w:val="21"/>
        </w:rPr>
        <w:t>献血者</w:t>
      </w:r>
      <w:r>
        <w:rPr>
          <w:rFonts w:eastAsia="宋体"/>
          <w:color w:val="000000"/>
          <w:sz w:val="21"/>
          <w:szCs w:val="21"/>
        </w:rPr>
        <w:t>而不是患者。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hd w:val="clear" w:color="auto" w:fill="FFFFFF"/>
      <w:snapToGrid w:val="0"/>
      <w:jc w:val="center"/>
      <w:rPr>
        <w:rFonts w:eastAsia="宋体"/>
        <w:b/>
        <w:bCs/>
        <w:i/>
        <w:iCs/>
        <w:color w:val="000000"/>
        <w:sz w:val="21"/>
        <w:szCs w:val="21"/>
      </w:rPr>
    </w:pPr>
  </w:p>
  <w:p>
    <w:pPr>
      <w:shd w:val="clear" w:color="auto" w:fill="FFFFFF"/>
      <w:snapToGrid w:val="0"/>
      <w:jc w:val="center"/>
      <w:rPr>
        <w:rFonts w:eastAsia="宋体"/>
        <w:sz w:val="21"/>
        <w:szCs w:val="21"/>
      </w:rPr>
    </w:pPr>
    <w:r>
      <w:rPr>
        <w:rFonts w:hint="eastAsia" w:eastAsia="宋体"/>
        <w:b/>
        <w:bCs/>
        <w:i/>
        <w:iCs/>
        <w:color w:val="000000"/>
        <w:sz w:val="21"/>
        <w:szCs w:val="21"/>
      </w:rPr>
      <w:t>所含建议不具约束力</w:t>
    </w:r>
  </w:p>
  <w:p>
    <w:pPr>
      <w:pStyle w:val="6"/>
      <w:pBdr>
        <w:bottom w:val="none" w:color="auto" w:sz="0" w:space="0"/>
      </w:pBdr>
      <w:rPr>
        <w:sz w:val="21"/>
        <w:szCs w:val="21"/>
      </w:rPr>
    </w:pPr>
  </w:p>
  <w:p>
    <w:pPr>
      <w:pStyle w:val="6"/>
      <w:pBdr>
        <w:bottom w:val="none" w:color="auto" w:sz="0" w:space="0"/>
      </w:pBdr>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89440E"/>
    <w:multiLevelType w:val="multilevel"/>
    <w:tmpl w:val="0789440E"/>
    <w:lvl w:ilvl="0" w:tentative="0">
      <w:start w:val="1"/>
      <w:numFmt w:val="lowerRoman"/>
      <w:lvlText w:val="%1."/>
      <w:lvlJc w:val="righ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DFE7CCF"/>
    <w:multiLevelType w:val="multilevel"/>
    <w:tmpl w:val="0DFE7CCF"/>
    <w:lvl w:ilvl="0" w:tentative="0">
      <w:start w:val="1"/>
      <w:numFmt w:val="bullet"/>
      <w:lvlText w:val=""/>
      <w:lvlJc w:val="left"/>
      <w:pPr>
        <w:ind w:left="720" w:hanging="420"/>
      </w:pPr>
      <w:rPr>
        <w:rFonts w:hint="default" w:ascii="Wingdings" w:hAnsi="Wingdings"/>
      </w:rPr>
    </w:lvl>
    <w:lvl w:ilvl="1" w:tentative="0">
      <w:start w:val="1"/>
      <w:numFmt w:val="bullet"/>
      <w:lvlText w:val=""/>
      <w:lvlJc w:val="left"/>
      <w:pPr>
        <w:ind w:left="1140" w:hanging="420"/>
      </w:pPr>
      <w:rPr>
        <w:rFonts w:hint="default" w:ascii="Wingdings" w:hAnsi="Wingdings"/>
      </w:rPr>
    </w:lvl>
    <w:lvl w:ilvl="2" w:tentative="0">
      <w:start w:val="1"/>
      <w:numFmt w:val="bullet"/>
      <w:lvlText w:val=""/>
      <w:lvlJc w:val="left"/>
      <w:pPr>
        <w:ind w:left="1560" w:hanging="420"/>
      </w:pPr>
      <w:rPr>
        <w:rFonts w:hint="default" w:ascii="Wingdings" w:hAnsi="Wingdings"/>
      </w:rPr>
    </w:lvl>
    <w:lvl w:ilvl="3" w:tentative="0">
      <w:start w:val="1"/>
      <w:numFmt w:val="bullet"/>
      <w:lvlText w:val=""/>
      <w:lvlJc w:val="left"/>
      <w:pPr>
        <w:ind w:left="1980" w:hanging="420"/>
      </w:pPr>
      <w:rPr>
        <w:rFonts w:hint="default" w:ascii="Wingdings" w:hAnsi="Wingdings"/>
      </w:rPr>
    </w:lvl>
    <w:lvl w:ilvl="4" w:tentative="0">
      <w:start w:val="1"/>
      <w:numFmt w:val="bullet"/>
      <w:lvlText w:val=""/>
      <w:lvlJc w:val="left"/>
      <w:pPr>
        <w:ind w:left="2400" w:hanging="420"/>
      </w:pPr>
      <w:rPr>
        <w:rFonts w:hint="default" w:ascii="Wingdings" w:hAnsi="Wingdings"/>
      </w:rPr>
    </w:lvl>
    <w:lvl w:ilvl="5" w:tentative="0">
      <w:start w:val="1"/>
      <w:numFmt w:val="bullet"/>
      <w:lvlText w:val=""/>
      <w:lvlJc w:val="left"/>
      <w:pPr>
        <w:ind w:left="2820" w:hanging="420"/>
      </w:pPr>
      <w:rPr>
        <w:rFonts w:hint="default" w:ascii="Wingdings" w:hAnsi="Wingdings"/>
      </w:rPr>
    </w:lvl>
    <w:lvl w:ilvl="6" w:tentative="0">
      <w:start w:val="1"/>
      <w:numFmt w:val="bullet"/>
      <w:lvlText w:val=""/>
      <w:lvlJc w:val="left"/>
      <w:pPr>
        <w:ind w:left="3240" w:hanging="420"/>
      </w:pPr>
      <w:rPr>
        <w:rFonts w:hint="default" w:ascii="Wingdings" w:hAnsi="Wingdings"/>
      </w:rPr>
    </w:lvl>
    <w:lvl w:ilvl="7" w:tentative="0">
      <w:start w:val="1"/>
      <w:numFmt w:val="bullet"/>
      <w:lvlText w:val=""/>
      <w:lvlJc w:val="left"/>
      <w:pPr>
        <w:ind w:left="3660" w:hanging="420"/>
      </w:pPr>
      <w:rPr>
        <w:rFonts w:hint="default" w:ascii="Wingdings" w:hAnsi="Wingdings"/>
      </w:rPr>
    </w:lvl>
    <w:lvl w:ilvl="8" w:tentative="0">
      <w:start w:val="1"/>
      <w:numFmt w:val="bullet"/>
      <w:lvlText w:val=""/>
      <w:lvlJc w:val="left"/>
      <w:pPr>
        <w:ind w:left="40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dit="readOnly"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footnotePr>
    <w:footnote w:id="34"/>
    <w:footnote w:id="35"/>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hmNjAzMWJlZjFkMmQwODUwMTJkYzE2ODFiYmFmYTcifQ=="/>
  </w:docVars>
  <w:rsids>
    <w:rsidRoot w:val="007A3084"/>
    <w:rsid w:val="00001157"/>
    <w:rsid w:val="00010990"/>
    <w:rsid w:val="000152A6"/>
    <w:rsid w:val="000252DC"/>
    <w:rsid w:val="00031511"/>
    <w:rsid w:val="000328C7"/>
    <w:rsid w:val="00040508"/>
    <w:rsid w:val="00042B20"/>
    <w:rsid w:val="00047FBE"/>
    <w:rsid w:val="0005585F"/>
    <w:rsid w:val="00091DCF"/>
    <w:rsid w:val="000A77E6"/>
    <w:rsid w:val="000A7892"/>
    <w:rsid w:val="000B4710"/>
    <w:rsid w:val="000C1CA2"/>
    <w:rsid w:val="00100FB7"/>
    <w:rsid w:val="00110430"/>
    <w:rsid w:val="00117FF0"/>
    <w:rsid w:val="00125716"/>
    <w:rsid w:val="0012578C"/>
    <w:rsid w:val="001360E3"/>
    <w:rsid w:val="001373F7"/>
    <w:rsid w:val="0014191C"/>
    <w:rsid w:val="001608E7"/>
    <w:rsid w:val="0016318D"/>
    <w:rsid w:val="00184421"/>
    <w:rsid w:val="00187C6C"/>
    <w:rsid w:val="001C5C91"/>
    <w:rsid w:val="001D3127"/>
    <w:rsid w:val="001E1F5E"/>
    <w:rsid w:val="001E4523"/>
    <w:rsid w:val="001F5A8B"/>
    <w:rsid w:val="00216773"/>
    <w:rsid w:val="0024480E"/>
    <w:rsid w:val="002629ED"/>
    <w:rsid w:val="00287817"/>
    <w:rsid w:val="0029111D"/>
    <w:rsid w:val="002A2F52"/>
    <w:rsid w:val="002B34E8"/>
    <w:rsid w:val="002B6C07"/>
    <w:rsid w:val="002C4E9F"/>
    <w:rsid w:val="002C4FD6"/>
    <w:rsid w:val="002C6B18"/>
    <w:rsid w:val="002E12DF"/>
    <w:rsid w:val="00300AEC"/>
    <w:rsid w:val="00307DCE"/>
    <w:rsid w:val="00311668"/>
    <w:rsid w:val="00312F98"/>
    <w:rsid w:val="003209D5"/>
    <w:rsid w:val="00335F31"/>
    <w:rsid w:val="00342783"/>
    <w:rsid w:val="00343CCC"/>
    <w:rsid w:val="00346318"/>
    <w:rsid w:val="00370240"/>
    <w:rsid w:val="0037026B"/>
    <w:rsid w:val="003809B8"/>
    <w:rsid w:val="00383B44"/>
    <w:rsid w:val="00395E2D"/>
    <w:rsid w:val="003A7E3E"/>
    <w:rsid w:val="003B1BAE"/>
    <w:rsid w:val="003B7686"/>
    <w:rsid w:val="003C5FBD"/>
    <w:rsid w:val="003D4135"/>
    <w:rsid w:val="003D4AA0"/>
    <w:rsid w:val="003E14B0"/>
    <w:rsid w:val="004052A6"/>
    <w:rsid w:val="00406374"/>
    <w:rsid w:val="00425392"/>
    <w:rsid w:val="00426C4F"/>
    <w:rsid w:val="004348D0"/>
    <w:rsid w:val="0045634D"/>
    <w:rsid w:val="00464F9E"/>
    <w:rsid w:val="004653F3"/>
    <w:rsid w:val="00473AEC"/>
    <w:rsid w:val="0048553A"/>
    <w:rsid w:val="00497AD9"/>
    <w:rsid w:val="004B7BDC"/>
    <w:rsid w:val="004D2620"/>
    <w:rsid w:val="004E5451"/>
    <w:rsid w:val="004E55CF"/>
    <w:rsid w:val="004F1E45"/>
    <w:rsid w:val="004F7ADC"/>
    <w:rsid w:val="00514E99"/>
    <w:rsid w:val="00515EC0"/>
    <w:rsid w:val="00540662"/>
    <w:rsid w:val="00540BE7"/>
    <w:rsid w:val="00552458"/>
    <w:rsid w:val="005635E5"/>
    <w:rsid w:val="00567CA1"/>
    <w:rsid w:val="00567E84"/>
    <w:rsid w:val="00571C1B"/>
    <w:rsid w:val="00574AE1"/>
    <w:rsid w:val="00574AF5"/>
    <w:rsid w:val="00583BDB"/>
    <w:rsid w:val="005A55A1"/>
    <w:rsid w:val="005A6E21"/>
    <w:rsid w:val="005B411C"/>
    <w:rsid w:val="005B5D8F"/>
    <w:rsid w:val="005C6BF3"/>
    <w:rsid w:val="005C745D"/>
    <w:rsid w:val="005D435A"/>
    <w:rsid w:val="005D5356"/>
    <w:rsid w:val="005F4EEA"/>
    <w:rsid w:val="00607587"/>
    <w:rsid w:val="0061663C"/>
    <w:rsid w:val="00621DAB"/>
    <w:rsid w:val="00622757"/>
    <w:rsid w:val="0063322E"/>
    <w:rsid w:val="00654F7E"/>
    <w:rsid w:val="00670E52"/>
    <w:rsid w:val="006802F4"/>
    <w:rsid w:val="00685235"/>
    <w:rsid w:val="0068656C"/>
    <w:rsid w:val="006A4646"/>
    <w:rsid w:val="006B459B"/>
    <w:rsid w:val="006C5102"/>
    <w:rsid w:val="006D1C01"/>
    <w:rsid w:val="006D6A50"/>
    <w:rsid w:val="006E1057"/>
    <w:rsid w:val="006E37B1"/>
    <w:rsid w:val="006E42F4"/>
    <w:rsid w:val="00701BDB"/>
    <w:rsid w:val="00722A59"/>
    <w:rsid w:val="00725A07"/>
    <w:rsid w:val="007311C2"/>
    <w:rsid w:val="00731E01"/>
    <w:rsid w:val="0074074B"/>
    <w:rsid w:val="00743821"/>
    <w:rsid w:val="00750708"/>
    <w:rsid w:val="00760A9A"/>
    <w:rsid w:val="007669CD"/>
    <w:rsid w:val="00767735"/>
    <w:rsid w:val="007811CD"/>
    <w:rsid w:val="007877B9"/>
    <w:rsid w:val="00792D35"/>
    <w:rsid w:val="00794383"/>
    <w:rsid w:val="00795110"/>
    <w:rsid w:val="00797F72"/>
    <w:rsid w:val="007A3084"/>
    <w:rsid w:val="007A7574"/>
    <w:rsid w:val="007A7DB8"/>
    <w:rsid w:val="007C2EC6"/>
    <w:rsid w:val="007C61C9"/>
    <w:rsid w:val="007E1DD6"/>
    <w:rsid w:val="007E2784"/>
    <w:rsid w:val="007F25F4"/>
    <w:rsid w:val="007F5F71"/>
    <w:rsid w:val="007F7B75"/>
    <w:rsid w:val="00816E13"/>
    <w:rsid w:val="00820201"/>
    <w:rsid w:val="00820B19"/>
    <w:rsid w:val="00852EFF"/>
    <w:rsid w:val="00855A6D"/>
    <w:rsid w:val="008763D3"/>
    <w:rsid w:val="00885120"/>
    <w:rsid w:val="00895076"/>
    <w:rsid w:val="008A3ED6"/>
    <w:rsid w:val="008A629A"/>
    <w:rsid w:val="008B54C1"/>
    <w:rsid w:val="008D14E6"/>
    <w:rsid w:val="008E100B"/>
    <w:rsid w:val="008E458E"/>
    <w:rsid w:val="008E509F"/>
    <w:rsid w:val="00913706"/>
    <w:rsid w:val="009347BE"/>
    <w:rsid w:val="00952B0D"/>
    <w:rsid w:val="00953C9E"/>
    <w:rsid w:val="009726EB"/>
    <w:rsid w:val="00981D47"/>
    <w:rsid w:val="00982B38"/>
    <w:rsid w:val="00990AAA"/>
    <w:rsid w:val="00993CB2"/>
    <w:rsid w:val="009A426A"/>
    <w:rsid w:val="009B55CA"/>
    <w:rsid w:val="009B5BF5"/>
    <w:rsid w:val="009C3A3C"/>
    <w:rsid w:val="009C4AEB"/>
    <w:rsid w:val="009C6721"/>
    <w:rsid w:val="009D26E8"/>
    <w:rsid w:val="009D6919"/>
    <w:rsid w:val="009E4E93"/>
    <w:rsid w:val="009F4737"/>
    <w:rsid w:val="009F79A4"/>
    <w:rsid w:val="00A150EC"/>
    <w:rsid w:val="00A17CE4"/>
    <w:rsid w:val="00A314DF"/>
    <w:rsid w:val="00A41835"/>
    <w:rsid w:val="00A63FB3"/>
    <w:rsid w:val="00A658BB"/>
    <w:rsid w:val="00A67E98"/>
    <w:rsid w:val="00A7622F"/>
    <w:rsid w:val="00A81733"/>
    <w:rsid w:val="00A97C92"/>
    <w:rsid w:val="00AA47C7"/>
    <w:rsid w:val="00AC2D9B"/>
    <w:rsid w:val="00AD1570"/>
    <w:rsid w:val="00AD1699"/>
    <w:rsid w:val="00AE6B1A"/>
    <w:rsid w:val="00AF0172"/>
    <w:rsid w:val="00AF13B9"/>
    <w:rsid w:val="00AF6923"/>
    <w:rsid w:val="00B15F7E"/>
    <w:rsid w:val="00B168FA"/>
    <w:rsid w:val="00B170A9"/>
    <w:rsid w:val="00B375C8"/>
    <w:rsid w:val="00B37670"/>
    <w:rsid w:val="00B54D50"/>
    <w:rsid w:val="00B805AA"/>
    <w:rsid w:val="00BA5197"/>
    <w:rsid w:val="00BA7792"/>
    <w:rsid w:val="00BB7691"/>
    <w:rsid w:val="00BC1280"/>
    <w:rsid w:val="00BD27C4"/>
    <w:rsid w:val="00BD2D9F"/>
    <w:rsid w:val="00BD6F24"/>
    <w:rsid w:val="00BE2474"/>
    <w:rsid w:val="00BE3925"/>
    <w:rsid w:val="00BE690A"/>
    <w:rsid w:val="00C0007F"/>
    <w:rsid w:val="00C205EF"/>
    <w:rsid w:val="00C249B2"/>
    <w:rsid w:val="00C31D78"/>
    <w:rsid w:val="00C33C72"/>
    <w:rsid w:val="00C361C9"/>
    <w:rsid w:val="00C46846"/>
    <w:rsid w:val="00C46E60"/>
    <w:rsid w:val="00C60FFB"/>
    <w:rsid w:val="00C71ED4"/>
    <w:rsid w:val="00C850DC"/>
    <w:rsid w:val="00C9461F"/>
    <w:rsid w:val="00CA097E"/>
    <w:rsid w:val="00CA09ED"/>
    <w:rsid w:val="00CA2A52"/>
    <w:rsid w:val="00CB7C6E"/>
    <w:rsid w:val="00CC7A59"/>
    <w:rsid w:val="00CE0B47"/>
    <w:rsid w:val="00CF279B"/>
    <w:rsid w:val="00CF55A8"/>
    <w:rsid w:val="00D005F8"/>
    <w:rsid w:val="00D06F10"/>
    <w:rsid w:val="00D11503"/>
    <w:rsid w:val="00D14286"/>
    <w:rsid w:val="00D27143"/>
    <w:rsid w:val="00D3287E"/>
    <w:rsid w:val="00D378CD"/>
    <w:rsid w:val="00D452D4"/>
    <w:rsid w:val="00D54C1D"/>
    <w:rsid w:val="00D606BA"/>
    <w:rsid w:val="00D647BF"/>
    <w:rsid w:val="00D6599A"/>
    <w:rsid w:val="00D6781B"/>
    <w:rsid w:val="00D67C33"/>
    <w:rsid w:val="00D700CE"/>
    <w:rsid w:val="00D75C1B"/>
    <w:rsid w:val="00D77D02"/>
    <w:rsid w:val="00D8039A"/>
    <w:rsid w:val="00D83991"/>
    <w:rsid w:val="00D844FB"/>
    <w:rsid w:val="00D91C95"/>
    <w:rsid w:val="00D93AE4"/>
    <w:rsid w:val="00DB5A47"/>
    <w:rsid w:val="00DC3D7B"/>
    <w:rsid w:val="00DD50CE"/>
    <w:rsid w:val="00DF1B43"/>
    <w:rsid w:val="00DF2093"/>
    <w:rsid w:val="00E03074"/>
    <w:rsid w:val="00E07837"/>
    <w:rsid w:val="00E156C1"/>
    <w:rsid w:val="00E251C9"/>
    <w:rsid w:val="00E25FB6"/>
    <w:rsid w:val="00E267D9"/>
    <w:rsid w:val="00E40881"/>
    <w:rsid w:val="00E60517"/>
    <w:rsid w:val="00E64C24"/>
    <w:rsid w:val="00E92625"/>
    <w:rsid w:val="00E93333"/>
    <w:rsid w:val="00E94BEA"/>
    <w:rsid w:val="00EB7F3C"/>
    <w:rsid w:val="00EC3B7E"/>
    <w:rsid w:val="00EC5C2B"/>
    <w:rsid w:val="00ED1CBB"/>
    <w:rsid w:val="00ED73B1"/>
    <w:rsid w:val="00EE48EE"/>
    <w:rsid w:val="00EF699E"/>
    <w:rsid w:val="00F00DEB"/>
    <w:rsid w:val="00F02FC8"/>
    <w:rsid w:val="00F127A5"/>
    <w:rsid w:val="00F1601E"/>
    <w:rsid w:val="00F21BD1"/>
    <w:rsid w:val="00F23979"/>
    <w:rsid w:val="00F31ED3"/>
    <w:rsid w:val="00F351D6"/>
    <w:rsid w:val="00F372BB"/>
    <w:rsid w:val="00F53B26"/>
    <w:rsid w:val="00F61097"/>
    <w:rsid w:val="00F62E88"/>
    <w:rsid w:val="00F70796"/>
    <w:rsid w:val="00F80319"/>
    <w:rsid w:val="00F80CE4"/>
    <w:rsid w:val="00FA710C"/>
    <w:rsid w:val="00FB0A61"/>
    <w:rsid w:val="00FB5320"/>
    <w:rsid w:val="00FC3D8E"/>
    <w:rsid w:val="00FC6A0B"/>
    <w:rsid w:val="00FD0A15"/>
    <w:rsid w:val="00FD3526"/>
    <w:rsid w:val="00FD5578"/>
    <w:rsid w:val="4F3A30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cs="Times New Roman" w:eastAsiaTheme="minorEastAsia"/>
      <w:kern w:val="0"/>
      <w:sz w:val="20"/>
      <w:szCs w:val="20"/>
      <w:lang w:val="en-US" w:eastAsia="zh-CN" w:bidi="ar-SA"/>
    </w:rPr>
  </w:style>
  <w:style w:type="paragraph" w:styleId="2">
    <w:name w:val="heading 1"/>
    <w:basedOn w:val="1"/>
    <w:next w:val="1"/>
    <w:link w:val="18"/>
    <w:qFormat/>
    <w:uiPriority w:val="9"/>
    <w:pPr>
      <w:tabs>
        <w:tab w:val="left" w:pos="630"/>
        <w:tab w:val="left" w:pos="1274"/>
      </w:tabs>
      <w:snapToGrid w:val="0"/>
      <w:spacing w:beforeLines="100" w:afterLines="100"/>
      <w:jc w:val="both"/>
      <w:outlineLvl w:val="0"/>
    </w:pPr>
    <w:rPr>
      <w:b/>
      <w:bCs/>
      <w:sz w:val="36"/>
      <w:szCs w:val="36"/>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semiHidden/>
    <w:unhideWhenUsed/>
    <w:uiPriority w:val="99"/>
  </w:style>
  <w:style w:type="paragraph" w:styleId="4">
    <w:name w:val="Balloon Text"/>
    <w:basedOn w:val="1"/>
    <w:link w:val="21"/>
    <w:semiHidden/>
    <w:unhideWhenUsed/>
    <w:uiPriority w:val="99"/>
    <w:rPr>
      <w:sz w:val="18"/>
      <w:szCs w:val="18"/>
    </w:rPr>
  </w:style>
  <w:style w:type="paragraph" w:styleId="5">
    <w:name w:val="footer"/>
    <w:basedOn w:val="1"/>
    <w:link w:val="15"/>
    <w:unhideWhenUsed/>
    <w:uiPriority w:val="99"/>
    <w:pPr>
      <w:tabs>
        <w:tab w:val="center" w:pos="4153"/>
        <w:tab w:val="right" w:pos="8306"/>
      </w:tabs>
      <w:snapToGrid w:val="0"/>
    </w:pPr>
    <w:rPr>
      <w:sz w:val="18"/>
      <w:szCs w:val="18"/>
    </w:rPr>
  </w:style>
  <w:style w:type="paragraph" w:styleId="6">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9"/>
    <w:semiHidden/>
    <w:unhideWhenUsed/>
    <w:uiPriority w:val="99"/>
    <w:pPr>
      <w:snapToGrid w:val="0"/>
    </w:pPr>
    <w:rPr>
      <w:sz w:val="18"/>
      <w:szCs w:val="18"/>
    </w:rPr>
  </w:style>
  <w:style w:type="paragraph" w:styleId="8">
    <w:name w:val="annotation subject"/>
    <w:basedOn w:val="3"/>
    <w:next w:val="3"/>
    <w:link w:val="24"/>
    <w:semiHidden/>
    <w:unhideWhenUsed/>
    <w:uiPriority w:val="99"/>
    <w:rPr>
      <w:b/>
      <w:bCs/>
    </w:rPr>
  </w:style>
  <w:style w:type="character" w:styleId="11">
    <w:name w:val="Hyperlink"/>
    <w:basedOn w:val="10"/>
    <w:unhideWhenUsed/>
    <w:uiPriority w:val="99"/>
    <w:rPr>
      <w:color w:val="0563C1" w:themeColor="hyperlink"/>
      <w:u w:val="single"/>
    </w:rPr>
  </w:style>
  <w:style w:type="character" w:styleId="12">
    <w:name w:val="annotation reference"/>
    <w:basedOn w:val="10"/>
    <w:semiHidden/>
    <w:unhideWhenUsed/>
    <w:uiPriority w:val="99"/>
    <w:rPr>
      <w:sz w:val="21"/>
      <w:szCs w:val="21"/>
    </w:rPr>
  </w:style>
  <w:style w:type="character" w:styleId="13">
    <w:name w:val="footnote reference"/>
    <w:basedOn w:val="10"/>
    <w:semiHidden/>
    <w:unhideWhenUsed/>
    <w:uiPriority w:val="99"/>
    <w:rPr>
      <w:vertAlign w:val="superscript"/>
    </w:rPr>
  </w:style>
  <w:style w:type="character" w:customStyle="1" w:styleId="14">
    <w:name w:val="页眉 字符"/>
    <w:basedOn w:val="10"/>
    <w:link w:val="6"/>
    <w:uiPriority w:val="99"/>
    <w:rPr>
      <w:rFonts w:ascii="Times New Roman" w:hAnsi="Times New Roman"/>
      <w:kern w:val="0"/>
      <w:sz w:val="18"/>
      <w:szCs w:val="18"/>
    </w:rPr>
  </w:style>
  <w:style w:type="character" w:customStyle="1" w:styleId="15">
    <w:name w:val="页脚 字符"/>
    <w:basedOn w:val="10"/>
    <w:link w:val="5"/>
    <w:uiPriority w:val="99"/>
    <w:rPr>
      <w:rFonts w:ascii="Times New Roman" w:hAnsi="Times New Roman"/>
      <w:kern w:val="0"/>
      <w:sz w:val="18"/>
      <w:szCs w:val="18"/>
    </w:rPr>
  </w:style>
  <w:style w:type="paragraph" w:customStyle="1" w:styleId="16">
    <w:name w:val="Defaul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character" w:customStyle="1" w:styleId="17">
    <w:name w:val="未处理的提及1"/>
    <w:basedOn w:val="10"/>
    <w:semiHidden/>
    <w:unhideWhenUsed/>
    <w:uiPriority w:val="99"/>
    <w:rPr>
      <w:color w:val="605E5C"/>
      <w:shd w:val="clear" w:color="auto" w:fill="E1DFDD"/>
    </w:rPr>
  </w:style>
  <w:style w:type="character" w:customStyle="1" w:styleId="18">
    <w:name w:val="标题 1 字符"/>
    <w:basedOn w:val="10"/>
    <w:link w:val="2"/>
    <w:uiPriority w:val="9"/>
    <w:rPr>
      <w:rFonts w:ascii="Times New Roman" w:hAnsi="Times New Roman"/>
      <w:b/>
      <w:bCs/>
      <w:kern w:val="0"/>
      <w:sz w:val="36"/>
      <w:szCs w:val="36"/>
    </w:rPr>
  </w:style>
  <w:style w:type="character" w:customStyle="1" w:styleId="19">
    <w:name w:val="脚注文本 字符"/>
    <w:basedOn w:val="10"/>
    <w:link w:val="7"/>
    <w:semiHidden/>
    <w:uiPriority w:val="99"/>
    <w:rPr>
      <w:rFonts w:ascii="Times New Roman" w:hAnsi="Times New Roman"/>
      <w:kern w:val="0"/>
      <w:sz w:val="18"/>
      <w:szCs w:val="18"/>
    </w:rPr>
  </w:style>
  <w:style w:type="character" w:customStyle="1" w:styleId="20">
    <w:name w:val="批注文字 字符"/>
    <w:basedOn w:val="10"/>
    <w:link w:val="3"/>
    <w:semiHidden/>
    <w:uiPriority w:val="99"/>
    <w:rPr>
      <w:rFonts w:ascii="Times New Roman" w:hAnsi="Times New Roman"/>
      <w:kern w:val="0"/>
      <w:sz w:val="20"/>
      <w:szCs w:val="20"/>
    </w:rPr>
  </w:style>
  <w:style w:type="character" w:customStyle="1" w:styleId="21">
    <w:name w:val="批注框文本 字符"/>
    <w:basedOn w:val="10"/>
    <w:link w:val="4"/>
    <w:semiHidden/>
    <w:uiPriority w:val="99"/>
    <w:rPr>
      <w:rFonts w:ascii="Times New Roman" w:hAnsi="Times New Roman"/>
      <w:kern w:val="0"/>
      <w:sz w:val="18"/>
      <w:szCs w:val="18"/>
    </w:rPr>
  </w:style>
  <w:style w:type="paragraph" w:customStyle="1" w:styleId="22">
    <w:name w:val="Revision"/>
    <w:hidden/>
    <w:semiHidden/>
    <w:uiPriority w:val="99"/>
    <w:rPr>
      <w:rFonts w:ascii="Times New Roman" w:hAnsi="Times New Roman" w:cs="Times New Roman" w:eastAsiaTheme="minorEastAsia"/>
      <w:kern w:val="0"/>
      <w:sz w:val="20"/>
      <w:szCs w:val="20"/>
      <w:lang w:val="en-US" w:eastAsia="zh-CN" w:bidi="ar-SA"/>
    </w:rPr>
  </w:style>
  <w:style w:type="paragraph" w:styleId="23">
    <w:name w:val="List Paragraph"/>
    <w:basedOn w:val="1"/>
    <w:qFormat/>
    <w:uiPriority w:val="34"/>
    <w:pPr>
      <w:ind w:firstLine="420" w:firstLineChars="200"/>
    </w:pPr>
  </w:style>
  <w:style w:type="character" w:customStyle="1" w:styleId="24">
    <w:name w:val="批注主题 字符"/>
    <w:basedOn w:val="20"/>
    <w:link w:val="8"/>
    <w:semiHidden/>
    <w:uiPriority w:val="99"/>
    <w:rPr>
      <w:rFonts w:ascii="Times New Roman" w:hAnsi="Times New Roman"/>
      <w:b/>
      <w:bCs/>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EDB9A-BF25-4DE3-AE84-056B34972914}">
  <ds:schemaRefs/>
</ds:datastoreItem>
</file>

<file path=docProps/app.xml><?xml version="1.0" encoding="utf-8"?>
<Properties xmlns="http://schemas.openxmlformats.org/officeDocument/2006/extended-properties" xmlns:vt="http://schemas.openxmlformats.org/officeDocument/2006/docPropsVTypes">
  <Template>Normal.dotm</Template>
  <Pages>37</Pages>
  <Words>3670</Words>
  <Characters>20925</Characters>
  <Lines>174</Lines>
  <Paragraphs>49</Paragraphs>
  <TotalTime>1384</TotalTime>
  <ScaleCrop>false</ScaleCrop>
  <LinksUpToDate>false</LinksUpToDate>
  <CharactersWithSpaces>24546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2021-11-11T10:16:00Z</dcterms:created>
  <dc:creator>tempuser</dc:creator>
  <cp:lastModifiedBy>何佳俊</cp:lastModifiedBy>
  <dcterms:modified xsi:type="dcterms:W3CDTF">2022-10-09T06:41:36Z</dcterms:modified>
  <dc:title>Guidance for Industry</dc:title>
  <cp:revision>292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A324A9098B444E0D91B839B312CA13C0</vt:lpwstr>
  </property>
</Properties>
</file>