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494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sz w:val="21"/>
          <w:szCs w:val="21"/>
        </w:rPr>
      </w:pPr>
      <w:r>
        <w:rPr>
          <w:rFonts w:ascii="Times New Roman" w:hAnsi="Times New Roman" w:eastAsia="宋体" w:cs="MS Gothic"/>
          <w:i w:val="0"/>
          <w:iCs w:val="0"/>
          <w:caps w:val="0"/>
          <w:color w:val="000000"/>
          <w:spacing w:val="0"/>
          <w:sz w:val="21"/>
          <w:szCs w:val="21"/>
          <w:bdr w:val="none" w:color="auto" w:sz="0" w:space="0"/>
          <w:shd w:val="clear" w:fill="FFFFFF"/>
        </w:rPr>
        <w:t>○ 根据药事法第 77-2 条第 1 款的规定指定孤儿药或孤儿医疗器械</w:t>
      </w:r>
    </w:p>
    <w:p w14:paraId="162F07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（2007 年 4 月 3 日）</w:t>
      </w:r>
    </w:p>
    <w:p w14:paraId="651B49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（厚生省告示第86号）</w:t>
      </w:r>
    </w:p>
    <w:p w14:paraId="647B3F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根据药事法（昭和 35 年第 145 号法律）第 77 条第 2 款第 1 项的规定，自 2007 年 4 月 1 日起，以下项目已被指定为孤儿药和孤儿病医疗器械，并按照该条第 2 款的规定进行公告。</w:t>
      </w:r>
    </w:p>
    <w:p w14:paraId="7AA875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1. 孤儿药</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792"/>
        <w:gridCol w:w="3908"/>
        <w:gridCol w:w="4327"/>
        <w:gridCol w:w="2931"/>
      </w:tblGrid>
      <w:tr w14:paraId="7168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4553" w:type="dxa"/>
            <w:tcBorders>
              <w:top w:val="nil"/>
              <w:left w:val="nil"/>
              <w:bottom w:val="nil"/>
              <w:right w:val="nil"/>
            </w:tcBorders>
            <w:shd w:val="clear"/>
            <w:tcMar>
              <w:top w:w="0" w:type="dxa"/>
              <w:left w:w="0" w:type="dxa"/>
              <w:bottom w:w="0" w:type="dxa"/>
              <w:right w:w="0" w:type="dxa"/>
            </w:tcMar>
            <w:vAlign w:val="top"/>
          </w:tcPr>
          <w:p w14:paraId="171D75BC">
            <w:pPr>
              <w:rPr>
                <w:rFonts w:hint="eastAsia" w:ascii="Times New Roman" w:hAnsi="Times New Roman" w:eastAsia="宋体"/>
                <w:sz w:val="21"/>
                <w:szCs w:val="21"/>
              </w:rPr>
            </w:pPr>
          </w:p>
        </w:tc>
        <w:tc>
          <w:tcPr>
            <w:tcW w:w="6374" w:type="dxa"/>
            <w:tcBorders>
              <w:top w:val="nil"/>
              <w:left w:val="nil"/>
              <w:bottom w:val="nil"/>
              <w:right w:val="nil"/>
            </w:tcBorders>
            <w:shd w:val="clear"/>
            <w:tcMar>
              <w:top w:w="0" w:type="dxa"/>
              <w:left w:w="0" w:type="dxa"/>
              <w:bottom w:w="0" w:type="dxa"/>
              <w:right w:w="0" w:type="dxa"/>
            </w:tcMar>
            <w:vAlign w:val="top"/>
          </w:tcPr>
          <w:p w14:paraId="34F4010D">
            <w:pPr>
              <w:rPr>
                <w:rFonts w:hint="eastAsia" w:ascii="Times New Roman" w:hAnsi="Times New Roman" w:eastAsia="宋体"/>
                <w:sz w:val="21"/>
                <w:szCs w:val="21"/>
              </w:rPr>
            </w:pPr>
          </w:p>
        </w:tc>
        <w:tc>
          <w:tcPr>
            <w:tcW w:w="7057" w:type="dxa"/>
            <w:tcBorders>
              <w:top w:val="nil"/>
              <w:left w:val="nil"/>
              <w:bottom w:val="nil"/>
              <w:right w:val="nil"/>
            </w:tcBorders>
            <w:shd w:val="clear"/>
            <w:tcMar>
              <w:top w:w="0" w:type="dxa"/>
              <w:left w:w="0" w:type="dxa"/>
              <w:bottom w:w="0" w:type="dxa"/>
              <w:right w:w="0" w:type="dxa"/>
            </w:tcMar>
            <w:vAlign w:val="top"/>
          </w:tcPr>
          <w:p w14:paraId="4855CCC9">
            <w:pPr>
              <w:rPr>
                <w:rFonts w:hint="eastAsia" w:ascii="Times New Roman" w:hAnsi="Times New Roman" w:eastAsia="宋体"/>
                <w:sz w:val="21"/>
                <w:szCs w:val="21"/>
              </w:rPr>
            </w:pPr>
          </w:p>
        </w:tc>
        <w:tc>
          <w:tcPr>
            <w:tcW w:w="4781" w:type="dxa"/>
            <w:tcBorders>
              <w:top w:val="nil"/>
              <w:left w:val="nil"/>
              <w:bottom w:val="nil"/>
              <w:right w:val="nil"/>
            </w:tcBorders>
            <w:shd w:val="clear"/>
            <w:tcMar>
              <w:top w:w="0" w:type="dxa"/>
              <w:left w:w="0" w:type="dxa"/>
              <w:bottom w:w="0" w:type="dxa"/>
              <w:right w:w="0" w:type="dxa"/>
            </w:tcMar>
            <w:vAlign w:val="top"/>
          </w:tcPr>
          <w:p w14:paraId="1D9C31C7">
            <w:pPr>
              <w:rPr>
                <w:rFonts w:hint="eastAsia" w:ascii="Times New Roman" w:hAnsi="Times New Roman" w:eastAsia="宋体"/>
                <w:sz w:val="21"/>
                <w:szCs w:val="21"/>
              </w:rPr>
            </w:pPr>
          </w:p>
        </w:tc>
      </w:tr>
      <w:tr w14:paraId="44D9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9C1D4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药物名称</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2D82B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计划的适应症或效果</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9B21B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申请人的姓名和地址</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E3736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指定日期</w:t>
            </w:r>
          </w:p>
        </w:tc>
      </w:tr>
      <w:tr w14:paraId="12B3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DC06A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克拉屈滨</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2FF79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毛细胞白血病</w:t>
            </w:r>
            <w:bookmarkStart w:id="0" w:name="_GoBack"/>
            <w:bookmarkEnd w:id="0"/>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D0475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Janssen Kyowa Co.， Ltd.， 3-15 Higashi-Gotanda， Shinagawa-ku， 东京都</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57F3F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2007 年 4 月 1 日</w:t>
            </w:r>
          </w:p>
        </w:tc>
      </w:tr>
      <w:tr w14:paraId="55E8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5F929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环磷酰胺</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216E2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急性白血病、慢性髓系白血病、骨髓增生异常综合征、恶性淋巴</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石雨</w:instrText>
            </w:r>
            <w:r>
              <w:rPr>
                <w:rFonts w:ascii="Times New Roman" w:hAnsi="Times New Roman" w:eastAsia="宋体"/>
                <w:sz w:val="21"/>
                <w:szCs w:val="21"/>
                <w:bdr w:val="none" w:color="auto" w:sz="0" w:space="0"/>
              </w:rPr>
              <w:instrText xml:space="preserve">),瘤)</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 多发性骨髓</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石雨</w:instrText>
            </w:r>
            <w:r>
              <w:rPr>
                <w:rFonts w:ascii="Times New Roman" w:hAnsi="Times New Roman" w:eastAsia="宋体"/>
                <w:sz w:val="21"/>
                <w:szCs w:val="21"/>
                <w:bdr w:val="none" w:color="auto" w:sz="0" w:space="0"/>
              </w:rPr>
              <w:instrText xml:space="preserve">),瘤)</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再生障碍性贫血等骨髓移植的预处理。</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06E94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Shionogi Pharmaceutical Co.， Ltd.， Osaka， Osaka-shi， Chuo-ku， Doshomachi， 3-chōme-ichihachi</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9B604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2007 年 4 月 1 日</w:t>
            </w:r>
          </w:p>
        </w:tc>
      </w:tr>
      <w:tr w14:paraId="2A1E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890A7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斯塔夫津</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9A8B5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获得性免疫缺陷综合征和有症状和无症状 HIV 感染 6 号</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D1E42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Bristol-Myers Squibb Co.， Ltd.， 7-chome， Ichiban， Akasaka， Minato-ku， 东京都</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DFE94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2007 年 4 月 1 日</w:t>
            </w:r>
          </w:p>
        </w:tc>
      </w:tr>
      <w:tr w14:paraId="5ADA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5B1D6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膦甲酸钠水合物</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8B738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获得性免疫缺陷综合征中的巨细胞病毒性视网膜炎</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2CC41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Astra Japan Co.， Ltd.， Osaka， 大阪， Chuo-ku， Kyutaro-cho， 3-6-8</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64DE2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2007 年 4 月 1 日</w:t>
            </w:r>
          </w:p>
        </w:tc>
      </w:tr>
      <w:tr w14:paraId="784A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22A23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美司那</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4F661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与环磷酰胺相关的泌尿系统疾病（骨髓移植前治疗）（出血性</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突击</w:instrText>
            </w:r>
            <w:r>
              <w:rPr>
                <w:rFonts w:ascii="Times New Roman" w:hAnsi="Times New Roman" w:eastAsia="宋体"/>
                <w:sz w:val="21"/>
                <w:szCs w:val="21"/>
                <w:bdr w:val="none" w:color="auto" w:sz="0" w:space="0"/>
              </w:rPr>
              <w:instrText xml:space="preserve">),膀胱)</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抑制炎症、排尿困难等的表达。</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BB6AC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Shionogi Pharmaceutical Co.， Ltd.， Osaka， Osaka-shi， Chuo-ku， Doshomachi， 3-chōme-ichihachi</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1DFE4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2007 年 4 月 1 日</w:t>
            </w:r>
          </w:p>
        </w:tc>
      </w:tr>
      <w:tr w14:paraId="54BD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F7BB3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异构细胞酶（基因重组）</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3B08E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戈谢病患者的症状（贫血、血小板减少症、肝脏</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日汤</w:instrText>
            </w:r>
            <w:r>
              <w:rPr>
                <w:rFonts w:ascii="Times New Roman" w:hAnsi="Times New Roman" w:eastAsia="宋体"/>
                <w:sz w:val="21"/>
                <w:szCs w:val="21"/>
                <w:bdr w:val="none" w:color="auto" w:sz="0" w:space="0"/>
              </w:rPr>
              <w:instrText xml:space="preserve">),脾肿大)</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改善骨骼症状等</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2E1EB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Genzyme Japan Co.， Ltd.， 333 Yamabuki-cho， Shinjuku-ku， 东京都</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9AB81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6045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45542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盐酸吉西他滨</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325A2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风格</w:instrText>
            </w:r>
            <w:r>
              <w:rPr>
                <w:rFonts w:ascii="Times New Roman" w:hAnsi="Times New Roman" w:eastAsia="宋体"/>
                <w:sz w:val="21"/>
                <w:szCs w:val="21"/>
                <w:bdr w:val="none" w:color="auto" w:sz="0" w:space="0"/>
              </w:rPr>
              <w:instrText xml:space="preserve">),胰腺)</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癌症</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CAFFA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Japan Eli Lilly Co.， Ltd. 三宫广场 神户市中央区矶神通一番一护 7 丁目</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DCA98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3DD2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D68AD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氧氟沙星</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8FDC1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麻风</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43ABC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Daiichi Pharmaceutical Co.， Ltd. 东京都中央区日本桥 3-14-10</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DC7D0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784C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0507A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干磺类人免疫球蛋白</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35548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吉兰-巴雷综合征（行走困难的严重急性加重病例）</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13ED1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化学和血清疗法研究所，熊本县，熊本县，熊本市，清水町，大久保，668 帝人有限公司，1-6-7 南本町，中央区，大阪</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0AF6D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3D04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62894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氯法齐明</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6893E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麻风</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77F5A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日本 千叶嘉基有限公司 兵库县 宝冢市 美雪町 10-66</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B039A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6270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8373D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凝血因子 IX（基因重组）</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083FF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B 型血友病患者出血或并发症的预防和治疗</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D30AD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遗传学研究所，美国马萨诸塞州剑桥市，剑桥公园大道，87</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C138A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6C87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4C8EB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抗人 TNF-α 嵌合单克隆抗体</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B4018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克罗恩病</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B6060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Tanabe Pharmaceutical Co.， Ltd. 3-2-10 Doshomachi， 大阪市</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A6006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563F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C92AC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阿糖胞苷</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0B438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复发或难治性急性白血病（包括慢性粒细胞白血病的急性转化） )</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2E6A1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Japan Shinyaku Co.， Ltd.， 14-ban， Kichijoin Nishinoshomonguchi-cho， Minami-ku， Kyoto</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BCC0C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048A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7C951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人促甲状腺激素 α（重组）</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F019B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甲状腺</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千</w:instrText>
            </w:r>
            <w:r>
              <w:rPr>
                <w:rFonts w:ascii="Times New Roman" w:hAnsi="Times New Roman" w:eastAsia="宋体"/>
                <w:sz w:val="21"/>
                <w:szCs w:val="21"/>
                <w:bdr w:val="none" w:color="auto" w:sz="0" w:space="0"/>
              </w:rPr>
              <w:instrText xml:space="preserve">),腺)</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癌症引起的甲状腺</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千</w:instrText>
            </w:r>
            <w:r>
              <w:rPr>
                <w:rFonts w:ascii="Times New Roman" w:hAnsi="Times New Roman" w:eastAsia="宋体"/>
                <w:sz w:val="21"/>
                <w:szCs w:val="21"/>
                <w:bdr w:val="none" w:color="auto" w:sz="0" w:space="0"/>
              </w:rPr>
              <w:instrText xml:space="preserve">),腺)</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切除后残留甲状腺</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千</w:instrText>
            </w:r>
            <w:r>
              <w:rPr>
                <w:rFonts w:ascii="Times New Roman" w:hAnsi="Times New Roman" w:eastAsia="宋体"/>
                <w:sz w:val="21"/>
                <w:szCs w:val="21"/>
                <w:bdr w:val="none" w:color="auto" w:sz="0" w:space="0"/>
              </w:rPr>
              <w:instrText xml:space="preserve">),腺)</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发现与心痛</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千</w:instrText>
            </w:r>
            <w:r>
              <w:rPr>
                <w:rFonts w:ascii="Times New Roman" w:hAnsi="Times New Roman" w:eastAsia="宋体"/>
                <w:sz w:val="21"/>
                <w:szCs w:val="21"/>
                <w:bdr w:val="none" w:color="auto" w:sz="0" w:space="0"/>
              </w:rPr>
              <w:instrText xml:space="preserve">),腺)</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补充体内诊断以识别转移性癌症中的转移部位和放射性碘治疗的预处理以促进放射性碘治疗中的碘摄取</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5C63F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Sato Pharmaceutical Co.， Ltd.， 1-5-27 Motoakasaka， Minato-ku， 东京都</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5AF85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3C17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370F7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贝拉前列素钠</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C6A92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原发性肺动脉高压和</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这边</w:instrText>
            </w:r>
            <w:r>
              <w:rPr>
                <w:rFonts w:ascii="Times New Roman" w:hAnsi="Times New Roman" w:eastAsia="宋体"/>
                <w:sz w:val="21"/>
                <w:szCs w:val="21"/>
                <w:bdr w:val="none" w:color="auto" w:sz="0" w:space="0"/>
              </w:rPr>
              <w:instrText xml:space="preserve">),胶)</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肺动脉高压并发原发性疾病</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BD4F9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Kaken Pharmaceutical Co.， Ltd. 东京都文京区本驹込 2-28-8</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D7C55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14CA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C649A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利托那韦</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8F94C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获得性免疫缺陷综合征以及有症状和无症状的 HIV 感染</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93330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Dynabot Co.， Ltd.， 1-9-9 Roppongi， Minato-ku， 东京都</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8FEB3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02C2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B5476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利福平</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6F04F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麻风</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EF11E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Kaken Pharmaceutical Co.， Ltd. 东京都文京区本驹込 2-28-8</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D7CB3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653D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A3DDD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利福平</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6CC93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麻风</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9E7B7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5-17-4 Sumida， Sumida-ku， 东京都</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A3F73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7033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DF55D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利福平</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169DC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麻风</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47E05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Daiichi Pharmaceutical Co.， Ltd. 东京都中央区日本桥 3-14-10</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308A2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7038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2B27C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利福平</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60CF6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麻风</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EA7B9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日本 千叶嘉基有限公司 兵库县 宝冢市 美雪町 10-66</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B638F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0146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06516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利福平</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65BFD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麻风</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98483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Hishiyama Pharmaceutical Co.， Ltd.， 2-2-7 Doshomachi， Chuo-ku， Osaka</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3E339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6E89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BF2FD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茚地那韦乙醇加合物硫酸盐</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9D0C5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获得性免疫缺陷综合征以及治疗前 CD 四淋巴细胞计数小于或等于每立方毫米 500 的有症状和无症状 HIV 感染</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156EC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Manyu Pharmaceutical Co.， Ltd. 2-2-3 Japan Hashimoto-cho， Chuo-ku， 东京都</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7302B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2008 年 4 月 1 日</w:t>
            </w:r>
          </w:p>
        </w:tc>
      </w:tr>
      <w:tr w14:paraId="6BB9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9FED9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α-半乳糖苷酶 A</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DC602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Fabry 病患者症状的改善</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F65CC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Sumitomo Pharma Co.， Ltd.， Osaka， Chuo-ku， Doshomachi， 2-chōme-2-8</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EF742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1911 年 5 月 27 日</w:t>
            </w:r>
          </w:p>
        </w:tc>
      </w:tr>
      <w:tr w14:paraId="5C13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94B4F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巴利昔单抗</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C0E3C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抑制肾移植后急性排斥反应</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CA17C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Novartis Pharma Co.， Ltd.， 4-17-30 Nishiazabu， Minato-ku， 东京都</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747A0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八月 25， 11</w:t>
            </w:r>
          </w:p>
        </w:tc>
      </w:tr>
      <w:tr w14:paraId="430F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FA984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环孢素滴眼液</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3DB17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春季卡他症（当抗过敏药效果不佳时）</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C2071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Santen Pharmaceutical Co.， Ltd.， Osaka， Osaka， Higashiyodogawa-ku， Shimoshinjo 3-chōme-19</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E9D82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八月 25， 11</w:t>
            </w:r>
          </w:p>
        </w:tc>
      </w:tr>
      <w:tr w14:paraId="1C3B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1EEA2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曲妥珠单抗</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ABE53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确诊 HER2 过表达的转移性乳腺癌</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5B392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Japan Roche Co.， Ltd. 东京都港区柴 2-6-1</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A0096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八月 25， 11</w:t>
            </w:r>
          </w:p>
        </w:tc>
      </w:tr>
      <w:tr w14:paraId="18CF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D6E9D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α-L-伊兹罗尼酶</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FD3EB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缓解 I 型粘多糖贮积症患者的症状</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88C28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Genzyme Japan Co.， Ltd.， 333 Yamabuki-cho， Shinjuku-ku， 东京都</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D6EAE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八月 25， 11</w:t>
            </w:r>
          </w:p>
        </w:tc>
      </w:tr>
      <w:tr w14:paraId="351E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ACEC8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α-半乳糖苷酶 A</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58D16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Fabry 病患者症状的改善</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BFB6C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Genzyme Japan Co.， Ltd.， 333 Yamabuki-cho， Shinjuku-ku， 东京都</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828EB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八月 25， 11</w:t>
            </w:r>
          </w:p>
        </w:tc>
      </w:tr>
      <w:tr w14:paraId="4A329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55B66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生长激素（转基因）</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E2038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Prader-Willi 综合征体成分异常的改善</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D8076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Pharmacia Upjohn Co.， Ltd.， 3-20-2 Nishi-Shinjuku， Shinjuku-ku， 东京都</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F6A91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六月 16， 12</w:t>
            </w:r>
          </w:p>
        </w:tc>
      </w:tr>
      <w:tr w14:paraId="74C2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7D3EF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巴氯芬（鞘内连续给药）</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01F1C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脑（小儿）麻痹、脊髓血管意外、颈椎病、后纵韧带骨化、多发性硬化症、脊髓小脑变性（遗传性痉挛性截瘫）或外伤后遗症（脊髓损伤或头部受伤）引起的严重痉挛性麻痹</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E1701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Daiichi Pharmaceutical Co.， Ltd. 东京都中央区日本桥 3-14-10</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D6237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四月 23， 13</w:t>
            </w:r>
          </w:p>
        </w:tc>
      </w:tr>
      <w:tr w14:paraId="000E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EF008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万古霉素眼膏</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B9204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眼部感染，如耐甲氧西林-头孢黄葡萄球菌和金黄色葡萄球菌引起的睑缘炎、结膜炎或角膜炎</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701C1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Toa Pharmaceutical Co.， Ltd. 富山县富山市美里 26 号</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BE366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四月 23， 13</w:t>
            </w:r>
          </w:p>
        </w:tc>
      </w:tr>
      <w:tr w14:paraId="30A2C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4CA51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抗 II 型志贺样毒素人源化单克隆抗体</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7AD2D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II. 抑制因大肠埃希菌感染产生志贺样毒素的溶血性尿毒症综合征、脑病或溶血性贫血</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0B2FB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Teijin Co.， Ltd. 大阪市 大阪市 南本町 1-chōme-6-7</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38A34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四月 23， 13</w:t>
            </w:r>
          </w:p>
        </w:tc>
      </w:tr>
      <w:tr w14:paraId="1C8E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D8705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Tara Polfin 钠</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B5120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恶性脑肿瘤</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C1CDE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Meiji Seika Pharma Co.， Ltd. 东京都中央区京桥 2-4-16</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56875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八月 12， 2015</w:t>
            </w:r>
          </w:p>
        </w:tc>
      </w:tr>
      <w:tr w14:paraId="4036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2B967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BYM338</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68F76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包涵体肌炎</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D155A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Novartis Pharma Co.， Ltd. 4-17-30， Nishiazabu， Minato-ku， 东京都</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87FC5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九月 3， 2015</w:t>
            </w:r>
          </w:p>
        </w:tc>
      </w:tr>
      <w:tr w14:paraId="2C48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6A62D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美泊利单抗</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C839D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Churg-Strauss 综合征</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D835D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GlaxoSmithKline K.K. 4-6-15 千驮谷， 涩谷区， 东京都</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C3A33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九月 13， 2015</w:t>
            </w:r>
          </w:p>
        </w:tc>
      </w:tr>
      <w:tr w14:paraId="2455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18120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多替拉韦钠</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B6D0A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HIV 感染</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21C52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ViiV Healthcare Co.， Ltd. 东京都涩谷区千驮谷 4-6-15</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CBA52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九月 13， 2015</w:t>
            </w:r>
          </w:p>
        </w:tc>
      </w:tr>
      <w:tr w14:paraId="1876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6EDBE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Sorafenib Tosylate</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8431D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甲状腺癌</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221F1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Bayer Pharmaceutical Co.， Ltd. 2-4-9 梅田， 北区， 大阪</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C3693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九月 13， 2015</w:t>
            </w:r>
          </w:p>
        </w:tc>
      </w:tr>
      <w:tr w14:paraId="6BB0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7DCB5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盐酸阿来替尼</w:t>
            </w:r>
          </w:p>
        </w:tc>
        <w:tc>
          <w:tcPr>
            <w:tcW w:w="14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1F5EB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ALK 融合基因阳性的不可切除的晚期或复发性非小细胞肺癌</w:t>
            </w:r>
          </w:p>
        </w:tc>
        <w:tc>
          <w:tcPr>
            <w:tcW w:w="15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102AE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Chugai Pharmaceutical Co.， Ltd. 东京都北区浮间 5-5-1</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E98A2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九月 13， 2015</w:t>
            </w:r>
          </w:p>
        </w:tc>
      </w:tr>
    </w:tbl>
    <w:p w14:paraId="739094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bdr w:val="none" w:color="auto" w:sz="0" w:space="0"/>
          <w:shd w:val="clear" w:fill="FFFFFF"/>
        </w:rPr>
        <w:t>2. 孤儿病医疗器械</w:t>
      </w:r>
    </w:p>
    <w:tbl>
      <w:tblPr>
        <w:tblW w:w="22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325"/>
        <w:gridCol w:w="6829"/>
        <w:gridCol w:w="6829"/>
        <w:gridCol w:w="4781"/>
      </w:tblGrid>
      <w:tr w14:paraId="704F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4325" w:type="dxa"/>
            <w:tcBorders>
              <w:top w:val="nil"/>
              <w:left w:val="nil"/>
              <w:bottom w:val="nil"/>
              <w:right w:val="nil"/>
            </w:tcBorders>
            <w:shd w:val="clear"/>
            <w:tcMar>
              <w:top w:w="0" w:type="dxa"/>
              <w:left w:w="0" w:type="dxa"/>
              <w:bottom w:w="0" w:type="dxa"/>
              <w:right w:w="0" w:type="dxa"/>
            </w:tcMar>
            <w:vAlign w:val="top"/>
          </w:tcPr>
          <w:p w14:paraId="13710B65">
            <w:pPr>
              <w:rPr>
                <w:rFonts w:hint="eastAsia" w:ascii="Times New Roman" w:hAnsi="Times New Roman" w:eastAsia="宋体"/>
                <w:sz w:val="21"/>
                <w:szCs w:val="21"/>
              </w:rPr>
            </w:pPr>
          </w:p>
        </w:tc>
        <w:tc>
          <w:tcPr>
            <w:tcW w:w="6829" w:type="dxa"/>
            <w:tcBorders>
              <w:top w:val="nil"/>
              <w:left w:val="nil"/>
              <w:bottom w:val="nil"/>
              <w:right w:val="nil"/>
            </w:tcBorders>
            <w:shd w:val="clear"/>
            <w:tcMar>
              <w:top w:w="0" w:type="dxa"/>
              <w:left w:w="0" w:type="dxa"/>
              <w:bottom w:w="0" w:type="dxa"/>
              <w:right w:w="0" w:type="dxa"/>
            </w:tcMar>
            <w:vAlign w:val="top"/>
          </w:tcPr>
          <w:p w14:paraId="1FBA2824">
            <w:pPr>
              <w:rPr>
                <w:rFonts w:hint="eastAsia" w:ascii="Times New Roman" w:hAnsi="Times New Roman" w:eastAsia="宋体"/>
                <w:sz w:val="21"/>
                <w:szCs w:val="21"/>
              </w:rPr>
            </w:pPr>
          </w:p>
        </w:tc>
        <w:tc>
          <w:tcPr>
            <w:tcW w:w="6829" w:type="dxa"/>
            <w:tcBorders>
              <w:top w:val="nil"/>
              <w:left w:val="nil"/>
              <w:bottom w:val="nil"/>
              <w:right w:val="nil"/>
            </w:tcBorders>
            <w:shd w:val="clear"/>
            <w:tcMar>
              <w:top w:w="0" w:type="dxa"/>
              <w:left w:w="0" w:type="dxa"/>
              <w:bottom w:w="0" w:type="dxa"/>
              <w:right w:w="0" w:type="dxa"/>
            </w:tcMar>
            <w:vAlign w:val="top"/>
          </w:tcPr>
          <w:p w14:paraId="45DB9D90">
            <w:pPr>
              <w:rPr>
                <w:rFonts w:hint="eastAsia" w:ascii="Times New Roman" w:hAnsi="Times New Roman" w:eastAsia="宋体"/>
                <w:sz w:val="21"/>
                <w:szCs w:val="21"/>
              </w:rPr>
            </w:pPr>
          </w:p>
        </w:tc>
        <w:tc>
          <w:tcPr>
            <w:tcW w:w="4781" w:type="dxa"/>
            <w:tcBorders>
              <w:top w:val="nil"/>
              <w:left w:val="nil"/>
              <w:bottom w:val="nil"/>
              <w:right w:val="nil"/>
            </w:tcBorders>
            <w:shd w:val="clear"/>
            <w:tcMar>
              <w:top w:w="0" w:type="dxa"/>
              <w:left w:w="0" w:type="dxa"/>
              <w:bottom w:w="0" w:type="dxa"/>
              <w:right w:w="0" w:type="dxa"/>
            </w:tcMar>
            <w:vAlign w:val="top"/>
          </w:tcPr>
          <w:p w14:paraId="080C8D37">
            <w:pPr>
              <w:rPr>
                <w:rFonts w:hint="eastAsia" w:ascii="Times New Roman" w:hAnsi="Times New Roman" w:eastAsia="宋体"/>
                <w:sz w:val="21"/>
                <w:szCs w:val="21"/>
              </w:rPr>
            </w:pPr>
          </w:p>
        </w:tc>
      </w:tr>
      <w:tr w14:paraId="109F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39BBE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医疗器械名称</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C5124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预期用途、适应症或效果</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214E4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申请人的姓名和地址</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94E6D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指定日期</w:t>
            </w:r>
          </w:p>
        </w:tc>
      </w:tr>
      <w:tr w14:paraId="34E0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CC0FB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磁性细胞分离系统</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5701D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同种异体骨髓移植、自体骨髓移植和自体外周血干细胞移植过程中造血干细胞（CD34 阳性细胞）的分离和收集</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76833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Baxter Co.， Ltd.， 东京都千代田区</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50166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2007 年 4 月 1 日</w:t>
            </w:r>
          </w:p>
        </w:tc>
      </w:tr>
      <w:tr w14:paraId="1F7B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D330F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植入式心室辅助装置</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EDAB9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它用于扩张型心肌病、缺血性心脏病、获得性瓣膜病、已转变为慢性心力衰竭的急性心肌炎症等终末期心力衰竭患者，以及心源性循环功能不全等其他终末期心力衰竭患者，他们正在等待心脏移植，其症状需要长期循环支持，即使使用日本批准使用的辅助循环和最大程度的药物治疗也难以生存， 通过预防和改善心力衰竭引起的次级器官功能障碍，减少术前服用药物的种类和用量，改善终末期心力衰竭患者的心脏功能和一般状况。</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D8F59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Nissho Co.， Ltd.， Osaka， Osaka， Kita-ku， 本庄 Nishi 3-chōme-9-3</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216D8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1911 年 5 月 27 日</w:t>
            </w:r>
          </w:p>
        </w:tc>
      </w:tr>
      <w:tr w14:paraId="46DE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D73F4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吸附式血液净化器</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EF02D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诱导活动期克罗恩病患者的缓解</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38CED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Japan Antibody Research Institute， Inc. 群马县高崎市西横手町 351 号</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D5815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四月 23， 13</w:t>
            </w:r>
          </w:p>
        </w:tc>
      </w:tr>
      <w:tr w14:paraId="6473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23914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用于连续计量的植入式可编程泵</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1A812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脑（小儿）麻痹、脊髓血管意外、颈椎病、后纵韧带骨化、多发性硬化症、脊髓小脑变性（遗传性痉挛性截瘫）或外伤后遗症（脊髓损伤或头部受伤）引起的严重痉挛性麻痹</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68517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Japan Medtronic Co.， Ltd. 神奈川县 川崎市 西外区 堀川町 580 Solid Square West Building</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890C6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八月 1， 13</w:t>
            </w:r>
          </w:p>
        </w:tc>
      </w:tr>
      <w:tr w14:paraId="7EF9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3C360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血细胞去除净化器</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76201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白塞病伴难治性视网膜葡萄膜炎患者的眼部癫痫发作抑制</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D7C81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JIMRO Co.， Ltd. 群马县 Takasaki-shi， Nishiyokote-cho， 351-ji1</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2D024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十月 14， 17</w:t>
            </w:r>
          </w:p>
        </w:tc>
      </w:tr>
      <w:tr w14:paraId="1A5C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5501A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中枢循环系统血管内</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索库</w:instrText>
            </w:r>
            <w:r>
              <w:rPr>
                <w:rFonts w:ascii="Times New Roman" w:hAnsi="Times New Roman" w:eastAsia="宋体"/>
                <w:sz w:val="21"/>
                <w:szCs w:val="21"/>
                <w:bdr w:val="none" w:color="auto" w:sz="0" w:space="0"/>
              </w:rPr>
              <w:instrText xml:space="preserve">),块)</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插头促进补充剂</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铁</w:instrText>
            </w:r>
            <w:r>
              <w:rPr>
                <w:rFonts w:ascii="Times New Roman" w:hAnsi="Times New Roman" w:eastAsia="宋体"/>
                <w:sz w:val="21"/>
                <w:szCs w:val="21"/>
                <w:bdr w:val="none" w:color="auto" w:sz="0" w:space="0"/>
              </w:rPr>
              <w:instrText xml:space="preserve">),拼写)</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材料</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4CE13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本产品不适用于外科手术（夹闭手术等）或</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索库</w:instrText>
            </w:r>
            <w:r>
              <w:rPr>
                <w:rFonts w:ascii="Times New Roman" w:hAnsi="Times New Roman" w:eastAsia="宋体"/>
                <w:sz w:val="21"/>
                <w:szCs w:val="21"/>
                <w:bdr w:val="none" w:color="auto" w:sz="0" w:space="0"/>
              </w:rPr>
              <w:instrText xml:space="preserve">),块)</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插头线圈：单手线圈</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索库</w:instrText>
            </w:r>
            <w:r>
              <w:rPr>
                <w:rFonts w:ascii="Times New Roman" w:hAnsi="Times New Roman" w:eastAsia="宋体"/>
                <w:sz w:val="21"/>
                <w:szCs w:val="21"/>
                <w:bdr w:val="none" w:color="auto" w:sz="0" w:space="0"/>
              </w:rPr>
              <w:instrText xml:space="preserve">),块)</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难以用堵塞治疗的未破裂的大脑动脉</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原因</w:instrText>
            </w:r>
            <w:r>
              <w:rPr>
                <w:rFonts w:ascii="Times New Roman" w:hAnsi="Times New Roman" w:eastAsia="宋体"/>
                <w:sz w:val="21"/>
                <w:szCs w:val="21"/>
                <w:bdr w:val="none" w:color="auto" w:sz="0" w:space="0"/>
              </w:rPr>
              <w:instrText xml:space="preserve">),肿块)</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在最大直径为 10 毫米或以上的患者中，宽颈型（定义为颈部为 4 毫米或以上或圆顶/颈比小于 2）脑动脉</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原因</w:instrText>
            </w:r>
            <w:r>
              <w:rPr>
                <w:rFonts w:ascii="Times New Roman" w:hAnsi="Times New Roman" w:eastAsia="宋体"/>
                <w:sz w:val="21"/>
                <w:szCs w:val="21"/>
                <w:bdr w:val="none" w:color="auto" w:sz="0" w:space="0"/>
              </w:rPr>
              <w:instrText xml:space="preserve">),肿块)</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对于弹簧圈</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索库</w:instrText>
            </w:r>
            <w:r>
              <w:rPr>
                <w:rFonts w:ascii="Times New Roman" w:hAnsi="Times New Roman" w:eastAsia="宋体"/>
                <w:sz w:val="21"/>
                <w:szCs w:val="21"/>
                <w:bdr w:val="none" w:color="auto" w:sz="0" w:space="0"/>
              </w:rPr>
              <w:instrText xml:space="preserve">),块)</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它用于防止栓塞过程中线圈块突出或偏向载瘤动脉。</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ABCF4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Johnson &amp; Johnson K.K. 3-5-2 Nishikanda， Chiyoda-ku， 东京</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181E6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十二月 9， 17</w:t>
            </w:r>
          </w:p>
        </w:tc>
      </w:tr>
      <w:tr w14:paraId="1CDF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1CF5E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植入式心室辅助装置系统</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39223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改善和维持符合心脏移植条件、符合心脏移植条件的患者，以及由于心脏功能恶化而面临迫在眉睫死亡风险的患者，例如扩张型心肌病或缺血性心脏病，这些患者预计无法通过常规药物治疗（药物或 IABP 的辅助循环）恢复。</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45EB1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Sun Medical Technology Research Institute， Inc. 长野县诹访市诹访市 1-3-11</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B07F6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7月 6， 19</w:t>
            </w:r>
          </w:p>
        </w:tc>
      </w:tr>
      <w:tr w14:paraId="4262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5C463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同种异体培养的角膜上皮细胞片</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9899C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角膜上皮干细胞耗竭患者角膜上皮修复或视觉功能改善</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50C61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Alblast Co.， Ltd. 兵库县， 神户市， 中央区， 港岛南町， 5丁目-5-2</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AAB35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6月 11， 2020</w:t>
            </w:r>
          </w:p>
        </w:tc>
      </w:tr>
      <w:tr w14:paraId="5D24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D5CA7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植入式心室辅助装置系统</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99FFB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它用于对符合心脏移植受者适应症标准且因心脏功能恶化而面临迫在眉睫死亡风险的严重终末期心力衰竭患者使用心脏移植桥。</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25D4C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Century Medical Co.， Ltd. 东京都品川区大崎 1-6-4</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15BF7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12月 4， 2020</w:t>
            </w:r>
          </w:p>
        </w:tc>
      </w:tr>
      <w:tr w14:paraId="62A0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ECAC8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植入式心室辅助装置系统</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F3A19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本品是一种植入式左心室辅助装置，用于改善需要心脏移植的终末期心力衰竭患者的血液循环。</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30972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Terumo Corporation 东京都涩谷区幡谷 2-44-1</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57DED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2011 年 3 月 11 日</w:t>
            </w:r>
          </w:p>
        </w:tc>
      </w:tr>
      <w:tr w14:paraId="2F28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6B2DD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血细胞去除净化器</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C21D0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脓疱型银屑病患者临床表现的改善</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CBC85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JIMRO Co.， Ltd. 群马县 高崎市 西横手町 351-1</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9F3F6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2011 年 7 月 7 日</w:t>
            </w:r>
          </w:p>
        </w:tc>
      </w:tr>
      <w:tr w14:paraId="0A5A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5D0C3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支气管填充物</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77FD2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手术困难的继发性难治性气胸、支气管</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蜡</w:instrText>
            </w:r>
            <w:r>
              <w:rPr>
                <w:rFonts w:ascii="Times New Roman" w:hAnsi="Times New Roman" w:eastAsia="宋体"/>
                <w:sz w:val="21"/>
                <w:szCs w:val="21"/>
                <w:bdr w:val="none" w:color="auto" w:sz="0" w:space="0"/>
              </w:rPr>
              <w:instrText xml:space="preserve">),瘘管)</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治疗等</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0FFD1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Harada Sangyo Co.， Ltd. 2-10-14 南船场，中央区，大阪市，大阪府</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8D1F8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2011 年 10 月 28 日</w:t>
            </w:r>
          </w:p>
        </w:tc>
      </w:tr>
      <w:tr w14:paraId="2AE5A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250C3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胎儿分流</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A2E7D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这个产品在里面</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谋生</w:instrText>
            </w:r>
            <w:r>
              <w:rPr>
                <w:rFonts w:ascii="Times New Roman" w:hAnsi="Times New Roman" w:eastAsia="宋体"/>
                <w:sz w:val="21"/>
                <w:szCs w:val="21"/>
                <w:bdr w:val="none" w:color="auto" w:sz="0" w:space="0"/>
              </w:rPr>
              <w:instrText xml:space="preserve">),腔)</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使用分流管的胎儿乳房</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谋生</w:instrText>
            </w:r>
            <w:r>
              <w:rPr>
                <w:rFonts w:ascii="Times New Roman" w:hAnsi="Times New Roman" w:eastAsia="宋体"/>
                <w:sz w:val="21"/>
                <w:szCs w:val="21"/>
                <w:bdr w:val="none" w:color="auto" w:sz="0" w:space="0"/>
              </w:rPr>
              <w:instrText xml:space="preserve">),腔)</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母体羊水来自</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谋生</w:instrText>
            </w:r>
            <w:r>
              <w:rPr>
                <w:rFonts w:ascii="Times New Roman" w:hAnsi="Times New Roman" w:eastAsia="宋体"/>
                <w:sz w:val="21"/>
                <w:szCs w:val="21"/>
                <w:bdr w:val="none" w:color="auto" w:sz="0" w:space="0"/>
              </w:rPr>
              <w:instrText xml:space="preserve">),腔)</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在整个地方，胎儿乳房</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谋生</w:instrText>
            </w:r>
            <w:r>
              <w:rPr>
                <w:rFonts w:ascii="Times New Roman" w:hAnsi="Times New Roman" w:eastAsia="宋体"/>
                <w:sz w:val="21"/>
                <w:szCs w:val="21"/>
                <w:bdr w:val="none" w:color="auto" w:sz="0" w:space="0"/>
              </w:rPr>
              <w:instrText xml:space="preserve">),腔)</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胸腔积液中储存的羊水</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谋生</w:instrText>
            </w:r>
            <w:r>
              <w:rPr>
                <w:rFonts w:ascii="Times New Roman" w:hAnsi="Times New Roman" w:eastAsia="宋体"/>
                <w:sz w:val="21"/>
                <w:szCs w:val="21"/>
                <w:bdr w:val="none" w:color="auto" w:sz="0" w:space="0"/>
              </w:rPr>
              <w:instrText xml:space="preserve">),腔)</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目的是连续排放量。 因此胎水</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石雨</w:instrText>
            </w:r>
            <w:r>
              <w:rPr>
                <w:rFonts w:ascii="Times New Roman" w:hAnsi="Times New Roman" w:eastAsia="宋体"/>
                <w:sz w:val="21"/>
                <w:szCs w:val="21"/>
                <w:bdr w:val="none" w:color="auto" w:sz="0" w:space="0"/>
              </w:rPr>
              <w:instrText xml:space="preserve">),瘤)</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改善和预防肺发育不全，延长妊娠时间。</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714F5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Hachiko Co.， Ltd. 长野县 千曲市 Oaza Tokura Onsen 3055</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1DCC7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2012 年 3 月 19 日</w:t>
            </w:r>
          </w:p>
        </w:tc>
      </w:tr>
      <w:tr w14:paraId="357C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B867A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人自体移植组织</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CA003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表皮水</w:t>
            </w:r>
            <w:r>
              <w:rPr>
                <w:rFonts w:ascii="Times New Roman" w:hAnsi="Times New Roman" w:eastAsia="宋体"/>
                <w:sz w:val="21"/>
                <w:szCs w:val="21"/>
              </w:rPr>
              <w:fldChar w:fldCharType="begin"/>
            </w:r>
            <w:r>
              <w:rPr>
                <w:rFonts w:ascii="Times New Roman" w:hAnsi="Times New Roman" w:eastAsia="宋体"/>
                <w:sz w:val="21"/>
                <w:szCs w:val="21"/>
                <w:bdr w:val="none" w:color="auto" w:sz="0" w:space="0"/>
              </w:rPr>
              <w:instrText xml:space="preserve">EQ \* jc0 \* "Font:Times New Roman" \* hps10 \o(\s\up 9(</w:instrText>
            </w:r>
            <w:r>
              <w:rPr>
                <w:rFonts w:ascii="Times New Roman" w:hAnsi="Times New Roman" w:eastAsia="宋体"/>
                <w:sz w:val="21"/>
                <w:szCs w:val="21"/>
                <w:bdr w:val="none" w:color="auto" w:sz="0" w:space="0"/>
              </w:rPr>
              <w:instrText xml:space="preserve">啊哈</w:instrText>
            </w:r>
            <w:r>
              <w:rPr>
                <w:rFonts w:ascii="Times New Roman" w:hAnsi="Times New Roman" w:eastAsia="宋体"/>
                <w:sz w:val="21"/>
                <w:szCs w:val="21"/>
                <w:bdr w:val="none" w:color="auto" w:sz="0" w:space="0"/>
              </w:rPr>
              <w:instrText xml:space="preserve">),水泡)</w:instrText>
            </w:r>
            <w:r>
              <w:rPr>
                <w:rFonts w:ascii="Times New Roman" w:hAnsi="Times New Roman" w:eastAsia="宋体"/>
                <w:sz w:val="21"/>
                <w:szCs w:val="21"/>
                <w:bdr w:val="none" w:color="auto" w:sz="0" w:space="0"/>
              </w:rPr>
              <w:fldChar w:fldCharType="end"/>
            </w:r>
            <w:r>
              <w:rPr>
                <w:rFonts w:ascii="Times New Roman" w:hAnsi="Times New Roman" w:eastAsia="宋体"/>
                <w:sz w:val="21"/>
                <w:szCs w:val="21"/>
                <w:bdr w:val="none" w:color="auto" w:sz="0" w:space="0"/>
              </w:rPr>
              <w:t>它适用于疾病患者发生的难治性糜烂和溃疡。 本品应用于难治性糜烂和溃疡部位，以达到快速上皮化的目的。</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67D5E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Japan Tissue Engineering Co.， Ltd. 爱知县蒲郡市三谷北通 6-209</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B2FE4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2013 年 3 月 18 日</w:t>
            </w:r>
          </w:p>
        </w:tc>
      </w:tr>
      <w:tr w14:paraId="6B96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36A46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体外心室辅助装置泵</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024EC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本品用于改善血液循环或恢复心脏功能，直至心脏移植的儿童严重心力衰竭患者，其症状通过常规药物治疗和辅助循环（体表面积 1.5 m2 或更小，体重 2 kg 至 60 kg 或更少）。</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17F25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Cardio Co.， Ltd. 兵库县神户市中央区港岛南町 1-5-5 神户生物医学创造中心 2 楼</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8E5C8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2013 年 6 月 17 日</w:t>
            </w:r>
          </w:p>
        </w:tc>
      </w:tr>
      <w:tr w14:paraId="17A2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7EC28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PDT 二极管激光器</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291A0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该医疗器械与光敏物质他拉泊啡钠制剂一起使用，用于治疗恶性脑肿瘤。</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128E9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Panasonic Healthcare Co.， Ltd. 爱媛县卡通市南方 1 号 213 号</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DC74C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九月 19， 2015</w:t>
            </w:r>
          </w:p>
        </w:tc>
      </w:tr>
      <w:tr w14:paraId="07FB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D429D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PDT 二极管激光器</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4508F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放化疗或放疗后局部复发的食管癌</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48372A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Panasonic Healthcare Co.， Ltd. 爱媛县卡通市南方 1 号 213 号</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8C167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九月 17， 2016</w:t>
            </w:r>
          </w:p>
        </w:tc>
      </w:tr>
      <w:tr w14:paraId="44AD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99F06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HAL 医用下肢型</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9C482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对于患有缓慢进展或慢性进展的顽固性神经和肌肉疾病的患者，定期、间歇和治疗性地应用它以帮助肌肉收缩，以抑制肌肉萎缩和肌无力的进展。</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B06B3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CYBERDYNE 公司</w:t>
            </w:r>
          </w:p>
          <w:p w14:paraId="322A6E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茨城县 筑波市学园 南 2丁目 2-ban-1</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99CA4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十二月 19， 2016</w:t>
            </w:r>
          </w:p>
        </w:tc>
      </w:tr>
      <w:tr w14:paraId="0464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16330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轮式硬性隐形眼镜 CS-100</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1168E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严重多形性渗出性红斑（Stevens-Johnson 综合征、中毒性表皮坏死松解症）眼部后遗症的视力矫正和症状缓解</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61203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Sun Contact Lens Co., Ltd.</w:t>
            </w:r>
          </w:p>
          <w:p w14:paraId="4ED15C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475 Sasaya-cho， Nakagyo-ku， Kyoto-shi， Kyoto-shi， Fuya-cho， 川上楼， 京都</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4C41B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十二月 19， 2016</w:t>
            </w:r>
          </w:p>
        </w:tc>
      </w:tr>
      <w:tr w14:paraId="1370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35EEA6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钛桥</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6D292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内收性惊厥性发音障碍症状的改善</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03FBA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Nobelpharma Inc.</w:t>
            </w:r>
          </w:p>
          <w:p w14:paraId="42A360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东京都中央区日本桥小船町 12-10 号</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52F2FF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九月 2， 28</w:t>
            </w:r>
          </w:p>
        </w:tc>
      </w:tr>
      <w:tr w14:paraId="33523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7BA1F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体外光分离疗法系统</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674486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它被用作类固醇耐药或不耐受慢性移植物抗宿主病的体外光分离法 （ECP） 治疗。</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9F2F6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Vorpal 技术公司</w:t>
            </w:r>
          </w:p>
          <w:p w14:paraId="216FD5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4-15-1 Akasaka， Minato-ku， 东京都</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39611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一月 18， 2019</w:t>
            </w:r>
          </w:p>
        </w:tc>
      </w:tr>
      <w:tr w14:paraId="0CE2B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0E3B4E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PDA 闭合套件 II. AS</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768E58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它适用于满足以下所有条件的动脉导管未闭，用于经皮闭合动脉导管。</w:t>
            </w:r>
          </w:p>
          <w:p w14:paraId="42F41E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动脉导管的直径必须为 4 毫米或更小。</w:t>
            </w:r>
          </w:p>
          <w:p w14:paraId="6FE5A3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sz w:val="21"/>
                <w:szCs w:val="21"/>
              </w:rPr>
            </w:pPr>
            <w:r>
              <w:rPr>
                <w:rFonts w:ascii="Times New Roman" w:hAnsi="Times New Roman" w:eastAsia="宋体"/>
                <w:sz w:val="21"/>
                <w:szCs w:val="21"/>
                <w:bdr w:val="none" w:color="auto" w:sz="0" w:space="0"/>
              </w:rPr>
              <w:t>动脉导管的长度必须至少为 3 毫米。</w:t>
            </w:r>
          </w:p>
        </w:tc>
        <w:tc>
          <w:tcPr>
            <w:tcW w:w="150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1D8E5F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Abbott Medical Japan K.K.</w:t>
            </w:r>
          </w:p>
          <w:p w14:paraId="167903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东京都港区东新桥 1-5-2</w:t>
            </w:r>
          </w:p>
        </w:tc>
        <w:tc>
          <w:tcPr>
            <w:tcW w:w="1050" w:type="pct"/>
            <w:tcBorders>
              <w:top w:val="single" w:color="000000" w:sz="2" w:space="0"/>
              <w:left w:val="single" w:color="000000" w:sz="2" w:space="0"/>
              <w:bottom w:val="single" w:color="000000" w:sz="2" w:space="0"/>
              <w:right w:val="single" w:color="000000" w:sz="2" w:space="0"/>
            </w:tcBorders>
            <w:shd w:val="clear"/>
            <w:tcMar>
              <w:top w:w="45" w:type="dxa"/>
              <w:left w:w="45" w:type="dxa"/>
              <w:bottom w:w="45" w:type="dxa"/>
              <w:right w:w="45" w:type="dxa"/>
            </w:tcMar>
            <w:vAlign w:val="top"/>
          </w:tcPr>
          <w:p w14:paraId="250574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sz w:val="21"/>
                <w:szCs w:val="21"/>
              </w:rPr>
            </w:pPr>
            <w:r>
              <w:rPr>
                <w:rFonts w:ascii="Times New Roman" w:hAnsi="Times New Roman" w:eastAsia="宋体"/>
                <w:sz w:val="21"/>
                <w:szCs w:val="21"/>
                <w:bdr w:val="none" w:color="auto" w:sz="0" w:space="0"/>
              </w:rPr>
              <w:t>十月 19， 30</w:t>
            </w:r>
          </w:p>
        </w:tc>
      </w:tr>
    </w:tbl>
    <w:p w14:paraId="17805D85">
      <w:pPr>
        <w:rPr>
          <w:rFonts w:ascii="Times New Roman" w:hAnsi="Times New Roman" w:eastAsia="宋体"/>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858BC"/>
    <w:rsid w:val="24011608"/>
    <w:rsid w:val="265C3FE5"/>
    <w:rsid w:val="2B681F52"/>
    <w:rsid w:val="2C067E51"/>
    <w:rsid w:val="2ED15D65"/>
    <w:rsid w:val="30692603"/>
    <w:rsid w:val="4AA80095"/>
    <w:rsid w:val="4DD37B61"/>
    <w:rsid w:val="5A7636CA"/>
    <w:rsid w:val="5BC008DF"/>
    <w:rsid w:val="5F155F94"/>
    <w:rsid w:val="6EC858BC"/>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2025-04-28T06:59:00Z</dcterms:created>
  <dc:creator>Damon</dc:creator>
  <cp:lastModifiedBy>Damon</cp:lastModifiedBy>
  <dcterms:modified xsi:type="dcterms:W3CDTF">2025-04-28T07:00:16Z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F88351130C314FA383E8E80F39C05028_11</vt:lpwstr>
  </property>
  <property fmtid="{D5CDD505-2E9C-101B-9397-08002B2CF9AE}" pid="4" name="KSOTemplateDocerSaveRecord">
    <vt:lpwstr>eyJoZGlkIjoiNmJjNGJmNmY1YWZlNmQzNjRiYjFiNmFhMDYxYTYyNzMiLCJ1c2VySWQiOiIzMTg2MjYwNjQifQ==</vt:lpwstr>
  </property>
</Properties>
</file>