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ascii="微软雅黑" w:hAnsi="微软雅黑" w:eastAsia="微软雅黑" w:cs="微软雅黑"/>
          <w:b w:val="0"/>
          <w:bCs w:val="0"/>
          <w:color w:val="333333"/>
          <w:sz w:val="39"/>
          <w:szCs w:val="39"/>
        </w:rPr>
      </w:pPr>
      <w:bookmarkStart w:id="0" w:name="_GoBack"/>
      <w:r>
        <w:rPr>
          <w:rFonts w:hint="eastAsia" w:ascii="微软雅黑" w:hAnsi="微软雅黑" w:eastAsia="微软雅黑" w:cs="微软雅黑"/>
          <w:b w:val="0"/>
          <w:bCs w:val="0"/>
          <w:color w:val="333333"/>
          <w:sz w:val="39"/>
          <w:szCs w:val="39"/>
          <w:bdr w:val="none" w:color="auto" w:sz="0" w:space="0"/>
        </w:rPr>
        <w:t>国家药监局关于发布《可重复使用医用防护服技术要求》的公告（2020年第140号）</w:t>
      </w:r>
    </w:p>
    <w:bookmarkEnd w:id="0"/>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jc w:val="right"/>
        <w:rPr>
          <w:color w:val="919191"/>
          <w:sz w:val="21"/>
          <w:szCs w:val="21"/>
        </w:rPr>
      </w:pPr>
      <w:r>
        <w:rPr>
          <w:rFonts w:ascii="宋体" w:hAnsi="宋体" w:eastAsia="宋体" w:cs="宋体"/>
          <w:color w:val="919191"/>
          <w:kern w:val="0"/>
          <w:sz w:val="21"/>
          <w:szCs w:val="21"/>
          <w:bdr w:val="none" w:color="auto" w:sz="0" w:space="0"/>
          <w:lang w:val="en-US" w:eastAsia="zh-CN" w:bidi="ar"/>
        </w:rPr>
        <w:t>发布时间：2020-12-24</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YY/T 1799—2020《可重复使用医用防护服技术要求》医疗器械行业标准已经审定通过，现予以公布。标准编号、名称、适用范围和实施日期见附件。</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特此公告。</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附件：医疗器械行业标准信息表</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国家药监局</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2020年12月22日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95" w:lineRule="atLeast"/>
        <w:ind w:left="0" w:right="0" w:firstLine="0"/>
        <w:rPr>
          <w:rFonts w:hint="eastAsia" w:ascii="微软雅黑" w:hAnsi="微软雅黑" w:eastAsia="微软雅黑" w:cs="微软雅黑"/>
          <w:i w:val="0"/>
          <w:iCs w:val="0"/>
          <w:caps w:val="0"/>
          <w:color w:val="000000"/>
          <w:spacing w:val="0"/>
          <w:sz w:val="24"/>
          <w:szCs w:val="24"/>
        </w:rPr>
      </w:pPr>
      <w:r>
        <w:rPr>
          <w:rFonts w:ascii="黑体" w:hAnsi="宋体" w:eastAsia="黑体" w:cs="黑体"/>
          <w:i w:val="0"/>
          <w:iCs w:val="0"/>
          <w:caps w:val="0"/>
          <w:color w:val="000000"/>
          <w:spacing w:val="0"/>
          <w:sz w:val="31"/>
          <w:szCs w:val="31"/>
          <w:bdr w:val="none" w:color="auto" w:sz="0" w:space="0"/>
          <w:shd w:val="clear" w:fill="FFFFFF"/>
        </w:rPr>
        <w:t>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ascii="方正小标宋简体" w:hAnsi="方正小标宋简体" w:eastAsia="方正小标宋简体" w:cs="方正小标宋简体"/>
          <w:i w:val="0"/>
          <w:iCs w:val="0"/>
          <w:caps w:val="0"/>
          <w:color w:val="000000"/>
          <w:spacing w:val="0"/>
          <w:sz w:val="43"/>
          <w:szCs w:val="43"/>
          <w:bdr w:val="none" w:color="auto" w:sz="0" w:space="0"/>
          <w:shd w:val="clear" w:fill="FFFFFF"/>
        </w:rPr>
        <w:t>医疗器械行业标准信息表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74"/>
        <w:gridCol w:w="1590"/>
        <w:gridCol w:w="1033"/>
        <w:gridCol w:w="714"/>
        <w:gridCol w:w="707"/>
        <w:gridCol w:w="3014"/>
        <w:gridCol w:w="8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Header/>
        </w:trPr>
        <w:tc>
          <w:tcPr>
            <w:tcW w:w="72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rPr>
                <w:color w:val="000000"/>
                <w:sz w:val="24"/>
                <w:szCs w:val="24"/>
              </w:rPr>
            </w:pPr>
            <w:r>
              <w:rPr>
                <w:rFonts w:hint="eastAsia" w:ascii="黑体" w:hAnsi="宋体" w:eastAsia="黑体" w:cs="黑体"/>
                <w:color w:val="000000"/>
                <w:sz w:val="24"/>
                <w:szCs w:val="24"/>
                <w:bdr w:val="none" w:color="auto" w:sz="0" w:space="0"/>
              </w:rPr>
              <w:t>序号</w:t>
            </w:r>
          </w:p>
        </w:tc>
        <w:tc>
          <w:tcPr>
            <w:tcW w:w="180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rPr>
                <w:color w:val="000000"/>
                <w:sz w:val="24"/>
                <w:szCs w:val="24"/>
              </w:rPr>
            </w:pPr>
            <w:r>
              <w:rPr>
                <w:rFonts w:hint="eastAsia" w:ascii="黑体" w:hAnsi="宋体" w:eastAsia="黑体" w:cs="黑体"/>
                <w:color w:val="000000"/>
                <w:sz w:val="24"/>
                <w:szCs w:val="24"/>
                <w:bdr w:val="none" w:color="auto" w:sz="0" w:space="0"/>
              </w:rPr>
              <w:t>标准编号</w:t>
            </w:r>
          </w:p>
        </w:tc>
        <w:tc>
          <w:tcPr>
            <w:tcW w:w="171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rPr>
                <w:color w:val="000000"/>
                <w:sz w:val="24"/>
                <w:szCs w:val="24"/>
              </w:rPr>
            </w:pPr>
            <w:r>
              <w:rPr>
                <w:rFonts w:hint="eastAsia" w:ascii="黑体" w:hAnsi="宋体" w:eastAsia="黑体" w:cs="黑体"/>
                <w:color w:val="000000"/>
                <w:sz w:val="24"/>
                <w:szCs w:val="24"/>
                <w:bdr w:val="none" w:color="auto" w:sz="0" w:space="0"/>
              </w:rPr>
              <w:t>标准名称</w:t>
            </w:r>
          </w:p>
        </w:tc>
        <w:tc>
          <w:tcPr>
            <w:tcW w:w="102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rPr>
                <w:color w:val="000000"/>
                <w:sz w:val="24"/>
                <w:szCs w:val="24"/>
              </w:rPr>
            </w:pPr>
            <w:r>
              <w:rPr>
                <w:rFonts w:hint="eastAsia" w:ascii="黑体" w:hAnsi="宋体" w:eastAsia="黑体" w:cs="黑体"/>
                <w:color w:val="000000"/>
                <w:sz w:val="24"/>
                <w:szCs w:val="24"/>
                <w:bdr w:val="none" w:color="auto" w:sz="0" w:space="0"/>
              </w:rPr>
              <w:t>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rPr>
                <w:color w:val="000000"/>
                <w:sz w:val="24"/>
                <w:szCs w:val="24"/>
              </w:rPr>
            </w:pPr>
            <w:r>
              <w:rPr>
                <w:rFonts w:hint="eastAsia" w:ascii="黑体" w:hAnsi="宋体" w:eastAsia="黑体" w:cs="黑体"/>
                <w:color w:val="000000"/>
                <w:sz w:val="24"/>
                <w:szCs w:val="24"/>
                <w:bdr w:val="none" w:color="auto" w:sz="0" w:space="0"/>
              </w:rPr>
              <w:t>性质</w:t>
            </w:r>
          </w:p>
        </w:tc>
        <w:tc>
          <w:tcPr>
            <w:tcW w:w="100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rPr>
                <w:color w:val="000000"/>
                <w:sz w:val="24"/>
                <w:szCs w:val="24"/>
              </w:rPr>
            </w:pPr>
            <w:r>
              <w:rPr>
                <w:rFonts w:hint="eastAsia" w:ascii="黑体" w:hAnsi="宋体" w:eastAsia="黑体" w:cs="黑体"/>
                <w:color w:val="000000"/>
                <w:sz w:val="24"/>
                <w:szCs w:val="24"/>
                <w:bdr w:val="none" w:color="auto" w:sz="0" w:space="0"/>
              </w:rPr>
              <w:t>制修订</w:t>
            </w:r>
          </w:p>
        </w:tc>
        <w:tc>
          <w:tcPr>
            <w:tcW w:w="571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rPr>
                <w:color w:val="000000"/>
                <w:sz w:val="24"/>
                <w:szCs w:val="24"/>
              </w:rPr>
            </w:pPr>
            <w:r>
              <w:rPr>
                <w:rFonts w:hint="eastAsia" w:ascii="黑体" w:hAnsi="宋体" w:eastAsia="黑体" w:cs="黑体"/>
                <w:color w:val="000000"/>
                <w:sz w:val="24"/>
                <w:szCs w:val="24"/>
                <w:bdr w:val="none" w:color="auto" w:sz="0" w:space="0"/>
              </w:rPr>
              <w:t>适用范围</w:t>
            </w:r>
          </w:p>
        </w:tc>
        <w:tc>
          <w:tcPr>
            <w:tcW w:w="111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rPr>
                <w:color w:val="000000"/>
                <w:sz w:val="24"/>
                <w:szCs w:val="24"/>
              </w:rPr>
            </w:pPr>
            <w:r>
              <w:rPr>
                <w:rFonts w:hint="eastAsia" w:ascii="黑体" w:hAnsi="宋体" w:eastAsia="黑体" w:cs="黑体"/>
                <w:color w:val="000000"/>
                <w:sz w:val="24"/>
                <w:szCs w:val="24"/>
                <w:bdr w:val="none" w:color="auto" w:sz="0" w:space="0"/>
              </w:rPr>
              <w:t>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rPr>
                <w:color w:val="000000"/>
                <w:sz w:val="24"/>
                <w:szCs w:val="24"/>
              </w:rPr>
            </w:pPr>
            <w:r>
              <w:rPr>
                <w:rFonts w:hint="eastAsia" w:ascii="黑体" w:hAnsi="宋体" w:eastAsia="黑体" w:cs="黑体"/>
                <w:color w:val="000000"/>
                <w:sz w:val="24"/>
                <w:szCs w:val="24"/>
                <w:bdr w:val="none" w:color="auto" w:sz="0" w:space="0"/>
              </w:rPr>
              <w:t>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40" w:hRule="atLeast"/>
        </w:trPr>
        <w:tc>
          <w:tcPr>
            <w:tcW w:w="72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rPr>
                <w:color w:val="000000"/>
                <w:sz w:val="24"/>
                <w:szCs w:val="24"/>
              </w:rPr>
            </w:pPr>
            <w:r>
              <w:rPr>
                <w:rFonts w:ascii="Times New Roman" w:hAnsi="Times New Roman" w:cs="Times New Roman"/>
                <w:color w:val="000000"/>
                <w:sz w:val="24"/>
                <w:szCs w:val="24"/>
                <w:bdr w:val="none" w:color="auto" w:sz="0" w:space="0"/>
              </w:rPr>
              <w:t>1</w:t>
            </w:r>
          </w:p>
        </w:tc>
        <w:tc>
          <w:tcPr>
            <w:tcW w:w="180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rPr>
                <w:color w:val="000000"/>
                <w:sz w:val="24"/>
                <w:szCs w:val="24"/>
              </w:rPr>
            </w:pPr>
            <w:r>
              <w:rPr>
                <w:rFonts w:hint="default" w:ascii="Times New Roman" w:hAnsi="Times New Roman" w:cs="Times New Roman"/>
                <w:color w:val="000000"/>
                <w:sz w:val="24"/>
                <w:szCs w:val="24"/>
                <w:bdr w:val="none" w:color="auto" w:sz="0" w:space="0"/>
              </w:rPr>
              <w:t>YY/T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jc w:val="center"/>
              <w:rPr>
                <w:color w:val="000000"/>
                <w:sz w:val="24"/>
                <w:szCs w:val="24"/>
              </w:rPr>
            </w:pPr>
            <w:r>
              <w:rPr>
                <w:rFonts w:hint="default" w:ascii="Times New Roman" w:hAnsi="Times New Roman" w:cs="Times New Roman"/>
                <w:color w:val="000000"/>
                <w:sz w:val="24"/>
                <w:szCs w:val="24"/>
                <w:bdr w:val="none" w:color="auto" w:sz="0" w:space="0"/>
              </w:rPr>
              <w:t>1799</w:t>
            </w:r>
            <w:r>
              <w:rPr>
                <w:rFonts w:ascii="仿宋_gb2312" w:hAnsi="仿宋_gb2312" w:eastAsia="仿宋_gb2312" w:cs="仿宋_gb2312"/>
                <w:color w:val="000000"/>
                <w:sz w:val="24"/>
                <w:szCs w:val="24"/>
                <w:bdr w:val="none" w:color="auto" w:sz="0" w:space="0"/>
              </w:rPr>
              <w:t>—</w:t>
            </w:r>
            <w:r>
              <w:rPr>
                <w:rFonts w:hint="default" w:ascii="Times New Roman" w:hAnsi="Times New Roman" w:cs="Times New Roman"/>
                <w:color w:val="000000"/>
                <w:sz w:val="24"/>
                <w:szCs w:val="24"/>
                <w:bdr w:val="none" w:color="auto" w:sz="0" w:space="0"/>
              </w:rPr>
              <w:t>2020</w:t>
            </w:r>
          </w:p>
        </w:tc>
        <w:tc>
          <w:tcPr>
            <w:tcW w:w="171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仿宋_gb2312" w:hAnsi="仿宋_gb2312" w:eastAsia="仿宋_gb2312" w:cs="仿宋_gb2312"/>
                <w:color w:val="000000"/>
                <w:sz w:val="24"/>
                <w:szCs w:val="24"/>
                <w:bdr w:val="none" w:color="auto" w:sz="0" w:space="0"/>
              </w:rPr>
              <w:t>可重复使用医用防护服技术要求</w:t>
            </w:r>
          </w:p>
        </w:tc>
        <w:tc>
          <w:tcPr>
            <w:tcW w:w="102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仿宋_gb2312" w:hAnsi="仿宋_gb2312" w:eastAsia="仿宋_gb2312" w:cs="仿宋_gb2312"/>
                <w:color w:val="000000"/>
                <w:sz w:val="24"/>
                <w:szCs w:val="24"/>
                <w:bdr w:val="none" w:color="auto" w:sz="0" w:space="0"/>
              </w:rPr>
              <w:t>推荐性</w:t>
            </w:r>
          </w:p>
        </w:tc>
        <w:tc>
          <w:tcPr>
            <w:tcW w:w="10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仿宋_gb2312" w:hAnsi="仿宋_gb2312" w:eastAsia="仿宋_gb2312" w:cs="仿宋_gb2312"/>
                <w:color w:val="000000"/>
                <w:sz w:val="24"/>
                <w:szCs w:val="24"/>
                <w:bdr w:val="none" w:color="auto" w:sz="0" w:space="0"/>
              </w:rPr>
              <w:t>制定</w:t>
            </w:r>
          </w:p>
        </w:tc>
        <w:tc>
          <w:tcPr>
            <w:tcW w:w="571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default" w:ascii="仿宋_gb2312" w:hAnsi="仿宋_gb2312" w:eastAsia="仿宋_gb2312" w:cs="仿宋_gb2312"/>
                <w:color w:val="000000"/>
                <w:sz w:val="24"/>
                <w:szCs w:val="24"/>
                <w:bdr w:val="none" w:color="auto" w:sz="0" w:space="0"/>
              </w:rPr>
              <w:t>本标准规定了可重复使用医用防护服的材料和成品的性能、分级和提供信息的要求。本标准适用于在医疗机构使用的、阻隔传染因子的、可重复使用的医用防护服。本标准不适用于外科手术过程中用于防止交叉感染的医护人员手术衣，不涉及一次性使用医用防护服，也未给出防护服洗消处理程序。</w:t>
            </w:r>
          </w:p>
        </w:tc>
        <w:tc>
          <w:tcPr>
            <w:tcW w:w="111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Times New Roman" w:hAnsi="Times New Roman" w:cs="Times New Roman"/>
                <w:color w:val="000000"/>
                <w:sz w:val="24"/>
                <w:szCs w:val="24"/>
                <w:bdr w:val="none" w:color="auto" w:sz="0" w:space="0"/>
              </w:rPr>
              <w:t>2021</w:t>
            </w:r>
            <w:r>
              <w:rPr>
                <w:rFonts w:hint="default" w:ascii="仿宋_gb2312" w:hAnsi="仿宋_gb2312" w:eastAsia="仿宋_gb2312" w:cs="仿宋_gb2312"/>
                <w:color w:val="000000"/>
                <w:sz w:val="24"/>
                <w:szCs w:val="24"/>
                <w:bdr w:val="none" w:color="auto" w:sz="0" w:space="0"/>
              </w:rPr>
              <w:t>年</w:t>
            </w:r>
            <w:r>
              <w:rPr>
                <w:rFonts w:hint="default" w:ascii="Times New Roman" w:hAnsi="Times New Roman" w:cs="Times New Roman"/>
                <w:color w:val="000000"/>
                <w:sz w:val="24"/>
                <w:szCs w:val="24"/>
                <w:bdr w:val="none" w:color="auto" w:sz="0" w:space="0"/>
              </w:rPr>
              <w:t>1</w:t>
            </w:r>
            <w:r>
              <w:rPr>
                <w:rFonts w:hint="default" w:ascii="仿宋_gb2312" w:hAnsi="仿宋_gb2312" w:eastAsia="仿宋_gb2312" w:cs="仿宋_gb2312"/>
                <w:color w:val="000000"/>
                <w:sz w:val="24"/>
                <w:szCs w:val="24"/>
                <w:bdr w:val="none" w:color="auto" w:sz="0" w:space="0"/>
              </w:rPr>
              <w:t>月</w:t>
            </w:r>
            <w:r>
              <w:rPr>
                <w:rFonts w:hint="default" w:ascii="Times New Roman" w:hAnsi="Times New Roman" w:cs="Times New Roman"/>
                <w:color w:val="000000"/>
                <w:sz w:val="24"/>
                <w:szCs w:val="24"/>
                <w:bdr w:val="none" w:color="auto" w:sz="0" w:space="0"/>
              </w:rPr>
              <w:t>1</w:t>
            </w:r>
            <w:r>
              <w:rPr>
                <w:rFonts w:hint="default" w:ascii="仿宋_gb2312" w:hAnsi="仿宋_gb2312" w:eastAsia="仿宋_gb2312" w:cs="仿宋_gb2312"/>
                <w:color w:val="000000"/>
                <w:sz w:val="24"/>
                <w:szCs w:val="24"/>
                <w:bdr w:val="none" w:color="auto" w:sz="0" w:space="0"/>
              </w:rPr>
              <w:t>日</w:t>
            </w:r>
          </w:p>
        </w:tc>
      </w:tr>
    </w:tbl>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left"/>
        <w:rPr>
          <w:color w:val="00000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48EF1822"/>
    <w:rsid w:val="48EF1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2023-09-12T03:09:00Z</dcterms:created>
  <dc:creator>Damon</dc:creator>
  <cp:lastModifiedBy>Damon</cp:lastModifiedBy>
  <dcterms:modified xsi:type="dcterms:W3CDTF">2023-09-12T03:10:15Z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0DD46DD451A64484963C3CAD9B52DC82_11</vt:lpwstr>
  </property>
</Properties>
</file>