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  <w:bdr w:val="none" w:color="auto" w:sz="0" w:space="0"/>
        </w:rPr>
        <w:t>国家药监局关于发布《医疗器械标准化技术归口单位管理细则（试行）》的通告（2022年第61号）</w:t>
      </w:r>
    </w:p>
    <w:bookmarkEnd w:id="0"/>
    <w:p>
      <w:pPr>
        <w:keepNext w:val="0"/>
        <w:keepLines w:val="0"/>
        <w:widowControl/>
        <w:suppressLineNumbers w:val="0"/>
        <w:pBdr>
          <w:top w:val="single" w:color="989898" w:sz="6" w:space="6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right"/>
        <w:rPr>
          <w:rFonts w:ascii="微软雅黑" w:hAnsi="微软雅黑" w:eastAsia="微软雅黑" w:cs="微软雅黑"/>
          <w:i w:val="0"/>
          <w:iCs w:val="0"/>
          <w:caps w:val="0"/>
          <w:color w:val="919191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19191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发布时间：2022-12-29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为进一步规范医疗器械标准化技术归口单位管理，科学开展医疗器械标准化工作，构建推动医疗器械高质量发展的标准体系，国家药监局组织制定了《医疗器械标准化技术归口单位管理细则（试行）》，现予发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特此通告。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附件：医疗器械标准化技术归口单位管理细则（试行）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jc w:val="righ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                                    国家药监局 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jc w:val="righ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　                         　 2022年12月12日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152400" cy="152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instrText xml:space="preserve"> HYPERLINK "https://www.cmde.org.cn/directory/web/cmde/images/1675042352675020732.doc" \o "医疗器械标准化技术归口单位管理细则（试行）.doc"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t>医疗器械标准化技术归口单位管理细则（试行）.doc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NGJmNmY1YWZlNmQzNjRiYjFiNmFhMDYxYTYyNzMifQ=="/>
  </w:docVars>
  <w:rsids>
    <w:rsidRoot w:val="19407190"/>
    <w:rsid w:val="1940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2023-09-11T09:30:00Z</dcterms:created>
  <dc:creator>Damon</dc:creator>
  <cp:lastModifiedBy>Damon</cp:lastModifiedBy>
  <dcterms:modified xsi:type="dcterms:W3CDTF">2023-09-11T09:30:35Z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04664DC54D9A4E0AA22AA15BBFF54030_11</vt:lpwstr>
  </property>
</Properties>
</file>