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Cs w:val="21"/>
        </w:rPr>
      </w:pPr>
      <w:r>
        <w:rPr>
          <w:szCs w:val="21"/>
        </w:rPr>
        <w:t xml:space="preserve">                         </w:t>
      </w:r>
    </w:p>
    <w:p>
      <w:pPr>
        <w:rPr>
          <w:szCs w:val="21"/>
        </w:rPr>
      </w:pPr>
      <w:r>
        <w:rPr>
          <w:szCs w:val="21"/>
        </w:rPr>
        <w:t xml:space="preserve">     </w:t>
      </w:r>
    </w:p>
    <w:p>
      <w:pPr>
        <w:rPr>
          <w:rFonts w:hint="default" w:ascii="Times New Roman" w:hAnsi="Times New Roman" w:cs="Times New Roman"/>
          <w:szCs w:val="21"/>
        </w:rPr>
      </w:pPr>
    </w:p>
    <w:p>
      <w:pPr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 xml:space="preserve">                        </w:t>
      </w:r>
    </w:p>
    <w:p>
      <w:pPr>
        <w:jc w:val="center"/>
        <w:rPr>
          <w:b/>
          <w:sz w:val="52"/>
          <w:szCs w:val="52"/>
        </w:rPr>
      </w:pPr>
      <w:r>
        <w:rPr>
          <w:rFonts w:hint="eastAsia" w:ascii="Times New Roman" w:hAnsi="Times New Roman" w:cs="Times New Roman"/>
          <w:b/>
          <w:sz w:val="52"/>
          <w:szCs w:val="52"/>
        </w:rPr>
        <w:t>PMS plan &amp; PSUR &amp; PMCF</w:t>
      </w:r>
    </w:p>
    <w:p>
      <w:pPr>
        <w:jc w:val="center"/>
        <w:rPr>
          <w:rFonts w:hint="default" w:ascii="Times New Roman" w:hAnsi="Times New Roman" w:cs="Times New Roman"/>
          <w:b/>
          <w:sz w:val="52"/>
          <w:szCs w:val="52"/>
        </w:rPr>
      </w:pP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 xml:space="preserve">              </w:t>
      </w: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Cs w:val="21"/>
        </w:rPr>
        <w:t xml:space="preserve">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Product Name: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产品名称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  <w:t>【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eastAsia="zh-CN"/>
        </w:rPr>
        <w:t>本处填写产品名称，需要确保全篇技术文档及报告等的名称一致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  <w:t>】</w:t>
      </w:r>
      <w:bookmarkStart w:id="0" w:name="OLE_LINK21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Model: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产品型号1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产品型号2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产品型号N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【需要罗列本次认证的所有产品型号清单，如型号很多，可以采用另外附件文档的方式给出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  <w:t>】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Document No.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文件编号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【本处填写本文件的编号】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Edition: 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文件版本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【本处填写本文件的版本】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eastAsia="华文细黑" w:cs="Times New Roman"/>
          <w:b/>
          <w:color w:val="auto"/>
          <w:sz w:val="30"/>
          <w:szCs w:val="30"/>
        </w:rPr>
      </w:pPr>
    </w:p>
    <w:p>
      <w:pPr>
        <w:ind w:firstLine="42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Approved by: </w:t>
      </w:r>
    </w:p>
    <w:p>
      <w:pPr>
        <w:ind w:firstLine="42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Audited  by: </w:t>
      </w:r>
    </w:p>
    <w:p>
      <w:pPr>
        <w:ind w:firstLine="420"/>
        <w:rPr>
          <w:rFonts w:hint="default" w:ascii="Times New Roman" w:hAnsi="Times New Roman" w:eastAsia="华文细黑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Applied  by：</w:t>
      </w:r>
    </w:p>
    <w:p>
      <w:pPr>
        <w:pStyle w:val="2"/>
        <w:rPr>
          <w:rFonts w:hint="default" w:ascii="Times New Roman" w:hAnsi="Times New Roman" w:eastAsia="华文细黑" w:cs="Times New Roman"/>
          <w:b/>
          <w:color w:val="auto"/>
          <w:sz w:val="30"/>
          <w:szCs w:val="30"/>
        </w:rPr>
      </w:pPr>
    </w:p>
    <w:p>
      <w:pPr>
        <w:pStyle w:val="2"/>
        <w:rPr>
          <w:rFonts w:hint="default" w:ascii="Times New Roman" w:hAnsi="Times New Roman" w:eastAsia="华文细黑" w:cs="Times New Roman"/>
          <w:b/>
          <w:color w:val="auto"/>
          <w:sz w:val="30"/>
          <w:szCs w:val="30"/>
        </w:rPr>
      </w:pPr>
    </w:p>
    <w:p>
      <w:pPr>
        <w:pStyle w:val="2"/>
        <w:rPr>
          <w:rFonts w:hint="default" w:ascii="Times New Roman" w:hAnsi="Times New Roman" w:eastAsia="华文细黑" w:cs="Times New Roman"/>
          <w:b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  <w:t>{XXXX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s-ES" w:eastAsia="zh-CN"/>
        </w:rPr>
        <w:t>公司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  <w:t>}</w:t>
      </w: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b/>
          <w:bCs/>
          <w:sz w:val="30"/>
          <w:szCs w:val="30"/>
        </w:rPr>
      </w:pPr>
      <w:bookmarkStart w:id="1" w:name="_Toc13987"/>
      <w:r>
        <w:rPr>
          <w:rFonts w:hint="default" w:ascii="Times New Roman" w:hAnsi="Times New Roman" w:cs="Times New Roman"/>
          <w:b/>
          <w:bCs/>
          <w:sz w:val="30"/>
          <w:szCs w:val="30"/>
        </w:rPr>
        <w:br w:type="page"/>
      </w:r>
    </w:p>
    <w:bookmarkEnd w:id="1"/>
    <w:p>
      <w:pP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Revision records:</w:t>
      </w:r>
    </w:p>
    <w:tbl>
      <w:tblPr>
        <w:tblStyle w:val="9"/>
        <w:tblW w:w="89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701"/>
        <w:gridCol w:w="2409"/>
        <w:gridCol w:w="1236"/>
        <w:gridCol w:w="1275"/>
        <w:gridCol w:w="14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bookmarkStart w:id="2" w:name="OLE_LINK10" w:colFirst="0" w:colLast="5"/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Edition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Effective Date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Summary of revision</w:t>
            </w:r>
          </w:p>
        </w:tc>
        <w:tc>
          <w:tcPr>
            <w:tcW w:w="12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Drafted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Checked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Approved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First release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bookmarkEnd w:id="2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{</w:t>
            </w:r>
            <w:r>
              <w:rPr>
                <w:rFonts w:hint="eastAsia"/>
                <w:lang w:eastAsia="zh-CN"/>
              </w:rPr>
              <w:t>本版本相对上一版本版本更新了</w:t>
            </w:r>
            <w:r>
              <w:rPr>
                <w:rFonts w:hint="eastAsia"/>
                <w:lang w:val="en-US" w:eastAsia="zh-CN"/>
              </w:rPr>
              <w:t>****，主要原因是****, 涉及到修改的小节是*****</w:t>
            </w:r>
            <w:r>
              <w:rPr>
                <w:rFonts w:hint="eastAsia"/>
              </w:rPr>
              <w:t>}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B5FD1"/>
                <w:kern w:val="2"/>
                <w:sz w:val="21"/>
                <w:szCs w:val="21"/>
                <w:lang w:val="en-US" w:eastAsia="zh-CN" w:bidi="ar-SA"/>
              </w:rPr>
              <w:t>【填写本技术文档的版本相对于上一版本更新了哪些内容？为什么更新？以及更新内容具体的地方及小节编号？】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文件版本N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{</w:t>
            </w:r>
            <w:r>
              <w:rPr>
                <w:rFonts w:hint="eastAsia"/>
                <w:lang w:eastAsia="zh-CN"/>
              </w:rPr>
              <w:t>本版本相对上一版本版本更新了</w:t>
            </w:r>
            <w:r>
              <w:rPr>
                <w:rFonts w:hint="eastAsia"/>
                <w:lang w:val="en-US" w:eastAsia="zh-CN"/>
              </w:rPr>
              <w:t>****，主要原因是****, 涉及到修改的小节是*****</w:t>
            </w:r>
            <w:r>
              <w:rPr>
                <w:rFonts w:hint="eastAsia"/>
              </w:rPr>
              <w:t>}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B5FD1"/>
                <w:kern w:val="2"/>
                <w:sz w:val="21"/>
                <w:szCs w:val="21"/>
                <w:lang w:val="en-US" w:eastAsia="zh-CN" w:bidi="ar-SA"/>
              </w:rPr>
              <w:t>【填写本技术文档的版本相对于上一版本更新了哪些内容？为什么更新？以及更新内容具体的地方及小节编号？】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</w:tbl>
    <w:p>
      <w:pPr>
        <w:pStyle w:val="2"/>
        <w:rPr>
          <w:rFonts w:eastAsia="Arial"/>
          <w:color w:val="auto"/>
          <w:kern w:val="2"/>
          <w:sz w:val="21"/>
          <w:szCs w:val="21"/>
        </w:rPr>
      </w:pPr>
    </w:p>
    <w:p>
      <w:pPr>
        <w:jc w:val="both"/>
        <w:rPr>
          <w:b/>
          <w:bCs/>
          <w:color w:val="auto"/>
          <w:sz w:val="30"/>
          <w:szCs w:val="30"/>
        </w:rPr>
      </w:pPr>
      <w:r>
        <w:rPr>
          <w:b/>
          <w:bCs/>
          <w:color w:val="auto"/>
          <w:sz w:val="30"/>
          <w:szCs w:val="30"/>
        </w:rPr>
        <w:br w:type="page"/>
      </w:r>
    </w:p>
    <w:p>
      <w:pPr>
        <w:jc w:val="center"/>
        <w:outlineLvl w:val="0"/>
        <w:rPr>
          <w:rFonts w:hint="default" w:ascii="Times New Roman" w:hAnsi="Times New Roman" w:cs="Times New Roman"/>
          <w:b/>
          <w:bCs/>
          <w:color w:val="auto"/>
          <w:sz w:val="30"/>
          <w:szCs w:val="30"/>
        </w:rPr>
      </w:pPr>
      <w:bookmarkStart w:id="3" w:name="_Toc32516"/>
      <w:bookmarkStart w:id="4" w:name="_Toc11116"/>
      <w:bookmarkStart w:id="5" w:name="_Toc13155"/>
      <w:bookmarkStart w:id="6" w:name="_Toc10038"/>
      <w:r>
        <w:rPr>
          <w:rFonts w:hint="default" w:ascii="Times New Roman" w:hAnsi="Times New Roman" w:cs="Times New Roman"/>
          <w:b/>
          <w:bCs/>
          <w:color w:val="auto"/>
          <w:sz w:val="30"/>
          <w:szCs w:val="30"/>
        </w:rPr>
        <w:t>Table of Contents</w:t>
      </w:r>
      <w:bookmarkEnd w:id="3"/>
      <w:bookmarkEnd w:id="4"/>
      <w:bookmarkEnd w:id="5"/>
      <w:bookmarkEnd w:id="6"/>
    </w:p>
    <w:sdt>
      <w:sdtPr>
        <w:rPr>
          <w:rFonts w:ascii="宋体" w:hAnsi="宋体" w:eastAsia="宋体" w:cs="Times New Roman"/>
          <w:kern w:val="2"/>
          <w:sz w:val="21"/>
          <w:lang w:val="en-US" w:eastAsia="zh-CN" w:bidi="ar-SA"/>
        </w:rPr>
        <w:id w:val="147455643"/>
        <w15:color w:val="DBDBDB"/>
        <w:docPartObj>
          <w:docPartGallery w:val="Table of Contents"/>
          <w:docPartUnique/>
        </w:docPartObj>
      </w:sdtPr>
      <w:sdtEndPr>
        <w:rPr>
          <w:rFonts w:ascii="Times New Roman" w:hAnsi="Times New Roman" w:eastAsia="Tahoma-Bold" w:cs="Times New Roman"/>
          <w:b/>
          <w:bCs w:val="0"/>
          <w:color w:val="auto"/>
          <w:kern w:val="0"/>
          <w:sz w:val="24"/>
          <w:szCs w:val="20"/>
          <w:lang w:val="en-US" w:eastAsia="zh-CN" w:bidi="ar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>
          <w:pPr>
            <w:pStyle w:val="7"/>
            <w:tabs>
              <w:tab w:val="right" w:leader="dot" w:pos="8306"/>
            </w:tabs>
          </w:pPr>
          <w:r>
            <w:rPr>
              <w:rFonts w:ascii="Times New Roman" w:hAnsi="Times New Roman" w:eastAsia="Tahoma-Bold" w:cs="Times New Roman"/>
              <w:b w:val="0"/>
              <w:bCs w:val="0"/>
              <w:color w:val="auto"/>
              <w:kern w:val="0"/>
              <w:sz w:val="21"/>
              <w:szCs w:val="20"/>
              <w:lang w:val="en-US" w:eastAsia="zh-CN" w:bidi="ar"/>
            </w:rPr>
            <w:fldChar w:fldCharType="begin"/>
          </w:r>
          <w:r>
            <w:rPr>
              <w:rFonts w:ascii="Times New Roman" w:hAnsi="Times New Roman" w:eastAsia="Tahoma-Bold" w:cs="Times New Roman"/>
              <w:b w:val="0"/>
              <w:bCs w:val="0"/>
              <w:color w:val="auto"/>
              <w:kern w:val="0"/>
              <w:sz w:val="21"/>
              <w:szCs w:val="20"/>
              <w:lang w:val="en-US" w:eastAsia="zh-CN" w:bidi="ar"/>
            </w:rPr>
            <w:instrText xml:space="preserve">TOC \o "1-3" \h \u </w:instrText>
          </w:r>
          <w:r>
            <w:rPr>
              <w:rFonts w:ascii="Times New Roman" w:hAnsi="Times New Roman" w:eastAsia="Tahoma-Bold" w:cs="Times New Roman"/>
              <w:b w:val="0"/>
              <w:bCs w:val="0"/>
              <w:color w:val="auto"/>
              <w:kern w:val="0"/>
              <w:sz w:val="21"/>
              <w:szCs w:val="20"/>
              <w:lang w:val="en-US" w:eastAsia="zh-CN" w:bidi="ar"/>
            </w:rPr>
            <w:fldChar w:fldCharType="separate"/>
          </w: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begin"/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instrText xml:space="preserve"> HYPERLINK \l _Toc1785 </w:instrText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fldChar w:fldCharType="separate"/>
          </w:r>
          <w:r>
            <w:rPr>
              <w:rFonts w:hint="eastAsia" w:ascii="Times New Roman" w:hAnsi="Times New Roman" w:eastAsia="Tahoma-Bold" w:cs="Times New Roman"/>
              <w:bCs/>
              <w:iCs/>
              <w:kern w:val="0"/>
              <w:szCs w:val="20"/>
              <w:lang w:val="en-US" w:eastAsia="zh-CN" w:bidi="ar"/>
            </w:rPr>
            <w:t>12 PMS plan &amp; PSUR &amp; PMCF</w:t>
          </w:r>
          <w:r>
            <w:tab/>
          </w:r>
          <w:r>
            <w:fldChar w:fldCharType="begin"/>
          </w:r>
          <w:r>
            <w:instrText xml:space="preserve"> PAGEREF _Toc1785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begin"/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instrText xml:space="preserve"> HYPERLINK \l _Toc15205 </w:instrText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fldChar w:fldCharType="separate"/>
          </w:r>
          <w:r>
            <w:rPr>
              <w:rFonts w:hint="eastAsia" w:ascii="Times New Roman" w:hAnsi="Times New Roman" w:eastAsia="Tahoma-Bold" w:cs="Times New Roman"/>
              <w:bCs/>
              <w:kern w:val="0"/>
              <w:szCs w:val="20"/>
              <w:highlight w:val="none"/>
              <w:lang w:val="en-US" w:eastAsia="zh-CN" w:bidi="ar"/>
            </w:rPr>
            <w:t>12.1 PMS plan</w:t>
          </w:r>
          <w:r>
            <w:tab/>
          </w:r>
          <w:r>
            <w:fldChar w:fldCharType="begin"/>
          </w:r>
          <w:r>
            <w:instrText xml:space="preserve"> PAGEREF _Toc15205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begin"/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instrText xml:space="preserve"> HYPERLINK \l _Toc26628 </w:instrText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fldChar w:fldCharType="separate"/>
          </w:r>
          <w:r>
            <w:rPr>
              <w:rFonts w:hint="eastAsia" w:ascii="Times New Roman" w:hAnsi="Times New Roman" w:eastAsia="Tahoma-Bold" w:cs="Times New Roman"/>
              <w:bCs/>
              <w:kern w:val="0"/>
              <w:szCs w:val="20"/>
              <w:highlight w:val="none"/>
              <w:lang w:val="en-US" w:eastAsia="zh-CN" w:bidi="ar"/>
            </w:rPr>
            <w:t>12.2 Periodic safety update report</w:t>
          </w:r>
          <w:r>
            <w:tab/>
          </w:r>
          <w:r>
            <w:fldChar w:fldCharType="begin"/>
          </w:r>
          <w:r>
            <w:instrText xml:space="preserve"> PAGEREF _Toc26628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begin"/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instrText xml:space="preserve"> HYPERLINK \l _Toc15919 </w:instrText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fldChar w:fldCharType="separate"/>
          </w:r>
          <w:r>
            <w:rPr>
              <w:rFonts w:hint="eastAsia" w:ascii="Times New Roman" w:hAnsi="Times New Roman" w:eastAsia="Tahoma-Bold" w:cs="Times New Roman"/>
              <w:bCs/>
              <w:kern w:val="0"/>
              <w:szCs w:val="20"/>
              <w:highlight w:val="none"/>
              <w:lang w:val="en-US" w:eastAsia="zh-CN" w:bidi="ar"/>
            </w:rPr>
            <w:t>12.3 Post-market clinical follow-up (PMCF) plan</w:t>
          </w:r>
          <w:r>
            <w:tab/>
          </w:r>
          <w:r>
            <w:fldChar w:fldCharType="begin"/>
          </w:r>
          <w:r>
            <w:instrText xml:space="preserve"> PAGEREF _Toc15919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begin"/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instrText xml:space="preserve"> HYPERLINK \l _Toc14983 </w:instrText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fldChar w:fldCharType="separate"/>
          </w:r>
          <w:r>
            <w:rPr>
              <w:rFonts w:hint="eastAsia" w:ascii="Times New Roman" w:hAnsi="Times New Roman" w:eastAsia="Tahoma-Bold" w:cs="Times New Roman"/>
              <w:bCs/>
              <w:kern w:val="0"/>
              <w:szCs w:val="20"/>
              <w:lang w:val="en-US" w:eastAsia="zh-CN" w:bidi="ar"/>
            </w:rPr>
            <w:t>12.4 Post-market clinical follow-up (PMCF) report</w:t>
          </w:r>
          <w:r>
            <w:tab/>
          </w:r>
          <w:r>
            <w:fldChar w:fldCharType="begin"/>
          </w:r>
          <w:r>
            <w:instrText xml:space="preserve"> PAGEREF _Toc14983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begin"/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instrText xml:space="preserve"> HYPERLINK \l _Toc20520 </w:instrText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fldChar w:fldCharType="separate"/>
          </w:r>
          <w:r>
            <w:rPr>
              <w:rFonts w:hint="eastAsia" w:ascii="Times New Roman" w:hAnsi="Times New Roman" w:eastAsia="Tahoma-Bold" w:cs="Times New Roman"/>
              <w:bCs/>
              <w:kern w:val="0"/>
              <w:szCs w:val="20"/>
              <w:lang w:val="en-US" w:eastAsia="zh-CN" w:bidi="ar"/>
            </w:rPr>
            <w:t>12.5</w:t>
          </w:r>
          <w:r>
            <w:rPr>
              <w:rFonts w:hint="default" w:ascii="Times New Roman" w:hAnsi="Times New Roman" w:eastAsia="Tahoma-Bold" w:cs="Times New Roman"/>
              <w:bCs/>
              <w:kern w:val="0"/>
              <w:szCs w:val="20"/>
              <w:lang w:val="en-US" w:eastAsia="zh-CN" w:bidi="ar"/>
            </w:rPr>
            <w:t xml:space="preserve"> Summary of safety and clinical performance (SSCP)</w:t>
          </w:r>
          <w:r>
            <w:tab/>
          </w:r>
          <w:r>
            <w:fldChar w:fldCharType="begin"/>
          </w:r>
          <w:r>
            <w:instrText xml:space="preserve"> PAGEREF _Toc20520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end"/>
          </w:r>
        </w:p>
        <w:p>
          <w:pPr>
            <w:pStyle w:val="3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after="0" w:line="360" w:lineRule="auto"/>
            <w:ind w:leftChars="0"/>
            <w:textAlignment w:val="auto"/>
            <w:outlineLvl w:val="9"/>
            <w:rPr>
              <w:rFonts w:ascii="Times New Roman" w:hAnsi="Times New Roman" w:eastAsia="Tahoma-Bold" w:cs="Times New Roman"/>
              <w:b w:val="0"/>
              <w:bCs w:val="0"/>
              <w:color w:val="auto"/>
              <w:kern w:val="0"/>
              <w:sz w:val="21"/>
              <w:szCs w:val="20"/>
              <w:lang w:val="en-US" w:eastAsia="zh-CN" w:bidi="ar"/>
            </w:rPr>
          </w:pP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end"/>
          </w:r>
        </w:p>
      </w:sdtContent>
    </w:sdt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0"/>
        <w:textAlignment w:val="auto"/>
        <w:outlineLvl w:val="9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  <w:bookmarkStart w:id="13" w:name="_GoBack"/>
      <w:bookmarkEnd w:id="13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eastAsia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  <w:bookmarkStart w:id="7" w:name="_Toc1785"/>
      <w:r>
        <w:rPr>
          <w:rFonts w:hint="eastAsia" w:ascii="Times New Roman" w:hAnsi="Times New Roman" w:eastAsia="Tahoma-Bold" w:cs="Times New Roman"/>
          <w:b/>
          <w:bCs/>
          <w:iCs/>
          <w:color w:val="auto"/>
          <w:kern w:val="0"/>
          <w:sz w:val="21"/>
          <w:szCs w:val="20"/>
          <w:lang w:val="en-US" w:eastAsia="zh-CN" w:bidi="ar"/>
        </w:rPr>
        <w:t>12 PMS plan &amp; PSUR &amp; PMCF</w:t>
      </w:r>
      <w:bookmarkEnd w:id="7"/>
    </w:p>
    <w:p>
      <w:pPr>
        <w:pStyle w:val="2"/>
        <w:outlineLvl w:val="1"/>
        <w:rPr>
          <w:rFonts w:hint="default" w:ascii="Times New Roman" w:hAnsi="Times New Roman" w:eastAsia="Tahoma-Bold" w:cs="Times New Roman"/>
          <w:b/>
          <w:bCs/>
          <w:color w:val="auto"/>
          <w:kern w:val="0"/>
          <w:sz w:val="21"/>
          <w:szCs w:val="20"/>
          <w:highlight w:val="none"/>
          <w:lang w:val="en-US" w:eastAsia="zh-CN" w:bidi="ar"/>
        </w:rPr>
      </w:pPr>
      <w:bookmarkStart w:id="8" w:name="_Toc15205"/>
      <w:r>
        <w:rPr>
          <w:rFonts w:hint="eastAsia" w:ascii="Times New Roman" w:hAnsi="Times New Roman" w:eastAsia="Tahoma-Bold" w:cs="Times New Roman"/>
          <w:b/>
          <w:bCs/>
          <w:color w:val="auto"/>
          <w:kern w:val="0"/>
          <w:sz w:val="21"/>
          <w:szCs w:val="20"/>
          <w:highlight w:val="none"/>
          <w:lang w:val="en-US" w:eastAsia="zh-CN" w:bidi="ar"/>
        </w:rPr>
        <w:t>12.1 PMS plan</w:t>
      </w:r>
      <w:bookmarkEnd w:id="8"/>
    </w:p>
    <w:p>
      <w:pPr>
        <w:pStyle w:val="2"/>
        <w:outlineLvl w:val="9"/>
        <w:rPr>
          <w:rFonts w:hint="default" w:ascii="Times New Roman" w:hAnsi="Times New Roman" w:eastAsia="Tahoma-Bold" w:cs="Times New Roman"/>
          <w:b/>
          <w:bCs/>
          <w:i/>
          <w:iCs/>
          <w:color w:val="0000FF"/>
          <w:kern w:val="0"/>
          <w:sz w:val="21"/>
          <w:szCs w:val="20"/>
          <w:highlight w:val="none"/>
          <w:lang w:val="en-US" w:eastAsia="zh-CN" w:bidi="ar"/>
        </w:rPr>
      </w:pPr>
      <w:r>
        <w:rPr>
          <w:rFonts w:hint="eastAsia" w:ascii="Times New Roman" w:hAnsi="Times New Roman" w:eastAsia="Tahoma-Bold" w:cs="Times New Roman"/>
          <w:b/>
          <w:bCs/>
          <w:i/>
          <w:iCs/>
          <w:color w:val="0000FF"/>
          <w:kern w:val="0"/>
          <w:sz w:val="21"/>
          <w:szCs w:val="20"/>
          <w:highlight w:val="none"/>
          <w:lang w:val="en-US" w:eastAsia="zh-CN" w:bidi="ar"/>
        </w:rPr>
        <w:t>(</w:t>
      </w:r>
    </w:p>
    <w:p>
      <w:pPr>
        <w:pStyle w:val="2"/>
        <w:outlineLvl w:val="9"/>
        <w:rPr>
          <w:rFonts w:hint="eastAsia" w:ascii="Times New Roman" w:hAnsi="Times New Roman" w:eastAsia="Tahoma-Bold" w:cs="Times New Roman"/>
          <w:b/>
          <w:bCs/>
          <w:i/>
          <w:iCs/>
          <w:color w:val="0000FF"/>
          <w:kern w:val="0"/>
          <w:sz w:val="21"/>
          <w:szCs w:val="20"/>
          <w:highlight w:val="none"/>
          <w:lang w:val="en-US" w:eastAsia="zh-CN" w:bidi="ar"/>
        </w:rPr>
      </w:pPr>
      <w:r>
        <w:rPr>
          <w:rFonts w:hint="eastAsia" w:ascii="Times New Roman" w:hAnsi="Times New Roman" w:eastAsia="Tahoma-Bold" w:cs="Times New Roman"/>
          <w:b/>
          <w:bCs/>
          <w:i/>
          <w:iCs/>
          <w:color w:val="0000FF"/>
          <w:kern w:val="0"/>
          <w:sz w:val="21"/>
          <w:szCs w:val="20"/>
          <w:highlight w:val="none"/>
          <w:lang w:val="en-US" w:eastAsia="zh-CN" w:bidi="ar"/>
        </w:rPr>
        <w:t>The device has not been put into the market. It does not contain a Periodic safety update report. It only contains a PMS plan. The details of PMS plan can refer to Appendix 12.1 Post Market Surveillance Plan.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3450"/>
        <w:gridCol w:w="4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outlineLvl w:val="9"/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1"/>
                <w:szCs w:val="20"/>
                <w:lang w:val="en-US" w:eastAsia="zh-CN" w:bidi="ar"/>
              </w:rPr>
              <w:t>SN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outlineLvl w:val="9"/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1"/>
                <w:szCs w:val="20"/>
                <w:lang w:val="en-US" w:eastAsia="zh-CN" w:bidi="ar"/>
              </w:rPr>
              <w:t>Document</w:t>
            </w:r>
          </w:p>
        </w:tc>
        <w:tc>
          <w:tcPr>
            <w:tcW w:w="4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outlineLvl w:val="9"/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1"/>
                <w:szCs w:val="20"/>
                <w:lang w:val="en-US" w:eastAsia="zh-CN" w:bidi="ar"/>
              </w:rPr>
              <w:t>Refer 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outlineLvl w:val="9"/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outlineLvl w:val="9"/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1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1"/>
                <w:szCs w:val="20"/>
                <w:highlight w:val="none"/>
                <w:lang w:val="en-US" w:eastAsia="zh-CN" w:bidi="ar"/>
              </w:rPr>
              <w:t>Post Market Surveillance Plan</w:t>
            </w:r>
          </w:p>
        </w:tc>
        <w:tc>
          <w:tcPr>
            <w:tcW w:w="4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outlineLvl w:val="9"/>
              <w:rPr>
                <w:rFonts w:hint="default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1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1"/>
                <w:szCs w:val="20"/>
                <w:highlight w:val="none"/>
                <w:lang w:val="en-US" w:eastAsia="zh-CN" w:bidi="ar"/>
              </w:rPr>
              <w:t>Appendix 12.1 Post Market Surveillance Plan</w:t>
            </w:r>
          </w:p>
        </w:tc>
      </w:tr>
    </w:tbl>
    <w:p>
      <w:pPr>
        <w:pStyle w:val="2"/>
        <w:outlineLvl w:val="9"/>
        <w:rPr>
          <w:rFonts w:hint="default" w:ascii="Times New Roman" w:hAnsi="Times New Roman" w:eastAsia="Tahoma-Bold" w:cs="Times New Roman"/>
          <w:b/>
          <w:bCs/>
          <w:i/>
          <w:iCs/>
          <w:color w:val="0000FF"/>
          <w:kern w:val="0"/>
          <w:sz w:val="21"/>
          <w:szCs w:val="20"/>
          <w:highlight w:val="none"/>
          <w:lang w:val="en-US" w:eastAsia="zh-CN" w:bidi="ar"/>
        </w:rPr>
      </w:pPr>
      <w:r>
        <w:rPr>
          <w:rFonts w:hint="eastAsia" w:ascii="Times New Roman" w:hAnsi="Times New Roman" w:eastAsia="Tahoma-Bold" w:cs="Times New Roman"/>
          <w:b/>
          <w:bCs/>
          <w:i/>
          <w:iCs/>
          <w:color w:val="0000FF"/>
          <w:kern w:val="0"/>
          <w:sz w:val="21"/>
          <w:szCs w:val="20"/>
          <w:highlight w:val="none"/>
          <w:lang w:val="en-US" w:eastAsia="zh-CN" w:bidi="ar"/>
        </w:rPr>
        <w:t>)</w:t>
      </w:r>
    </w:p>
    <w:p>
      <w:pPr>
        <w:pStyle w:val="2"/>
        <w:outlineLvl w:val="9"/>
        <w:rPr>
          <w:rFonts w:hint="eastAsia" w:ascii="Times New Roman" w:hAnsi="Times New Roman" w:eastAsia="Tahoma-Bold" w:cs="Times New Roman"/>
          <w:b/>
          <w:bCs/>
          <w:color w:val="auto"/>
          <w:kern w:val="0"/>
          <w:sz w:val="21"/>
          <w:szCs w:val="20"/>
          <w:highlight w:val="none"/>
          <w:lang w:val="en-US" w:eastAsia="zh-CN" w:bidi="ar"/>
        </w:rPr>
      </w:pPr>
    </w:p>
    <w:p>
      <w:pPr>
        <w:pStyle w:val="2"/>
        <w:outlineLvl w:val="1"/>
        <w:rPr>
          <w:rFonts w:hint="eastAsia" w:ascii="Times New Roman" w:hAnsi="Times New Roman" w:eastAsia="Tahoma-Bold" w:cs="Times New Roman"/>
          <w:b/>
          <w:bCs/>
          <w:color w:val="auto"/>
          <w:kern w:val="0"/>
          <w:sz w:val="21"/>
          <w:szCs w:val="20"/>
          <w:highlight w:val="none"/>
          <w:lang w:val="en-US" w:eastAsia="zh-CN" w:bidi="ar"/>
        </w:rPr>
      </w:pPr>
      <w:bookmarkStart w:id="9" w:name="_Toc26628"/>
      <w:r>
        <w:rPr>
          <w:rFonts w:hint="eastAsia" w:ascii="Times New Roman" w:hAnsi="Times New Roman" w:eastAsia="Tahoma-Bold" w:cs="Times New Roman"/>
          <w:b/>
          <w:bCs/>
          <w:color w:val="auto"/>
          <w:kern w:val="0"/>
          <w:sz w:val="21"/>
          <w:szCs w:val="20"/>
          <w:highlight w:val="none"/>
          <w:lang w:val="en-US" w:eastAsia="zh-CN" w:bidi="ar"/>
        </w:rPr>
        <w:t>12.2 Periodic safety update report</w:t>
      </w:r>
      <w:bookmarkEnd w:id="9"/>
    </w:p>
    <w:p>
      <w:pPr>
        <w:pStyle w:val="2"/>
        <w:outlineLvl w:val="9"/>
        <w:rPr>
          <w:rFonts w:hint="default" w:ascii="Times New Roman" w:hAnsi="Times New Roman" w:eastAsia="Tahoma-Bold" w:cs="Times New Roman"/>
          <w:b/>
          <w:bCs/>
          <w:i/>
          <w:iCs/>
          <w:color w:val="0000FF"/>
          <w:kern w:val="0"/>
          <w:sz w:val="21"/>
          <w:szCs w:val="20"/>
          <w:highlight w:val="none"/>
          <w:lang w:val="en-US" w:eastAsia="zh-CN" w:bidi="ar"/>
        </w:rPr>
      </w:pPr>
      <w:r>
        <w:rPr>
          <w:rFonts w:hint="eastAsia" w:ascii="Times New Roman" w:hAnsi="Times New Roman" w:eastAsia="Tahoma-Bold" w:cs="Times New Roman"/>
          <w:b/>
          <w:bCs/>
          <w:i/>
          <w:iCs/>
          <w:color w:val="0000FF"/>
          <w:kern w:val="0"/>
          <w:sz w:val="21"/>
          <w:szCs w:val="20"/>
          <w:highlight w:val="none"/>
          <w:lang w:val="en-US" w:eastAsia="zh-CN" w:bidi="ar"/>
        </w:rPr>
        <w:t>(</w:t>
      </w:r>
    </w:p>
    <w:p>
      <w:pPr>
        <w:pStyle w:val="2"/>
        <w:outlineLvl w:val="9"/>
        <w:rPr>
          <w:rFonts w:hint="eastAsia" w:ascii="Times New Roman" w:hAnsi="Times New Roman" w:eastAsia="Tahoma-Bold" w:cs="Times New Roman"/>
          <w:b/>
          <w:bCs/>
          <w:i/>
          <w:iCs/>
          <w:color w:val="0000FF"/>
          <w:kern w:val="0"/>
          <w:sz w:val="21"/>
          <w:szCs w:val="20"/>
          <w:highlight w:val="none"/>
          <w:lang w:val="en-US" w:eastAsia="zh-CN" w:bidi="ar"/>
        </w:rPr>
      </w:pPr>
      <w:r>
        <w:rPr>
          <w:rFonts w:hint="eastAsia" w:ascii="Times New Roman" w:hAnsi="Times New Roman" w:eastAsia="Tahoma-Bold" w:cs="Times New Roman"/>
          <w:b/>
          <w:bCs/>
          <w:i/>
          <w:iCs/>
          <w:color w:val="0000FF"/>
          <w:kern w:val="0"/>
          <w:sz w:val="21"/>
          <w:szCs w:val="20"/>
          <w:highlight w:val="none"/>
          <w:lang w:val="en-US" w:eastAsia="zh-CN" w:bidi="ar"/>
        </w:rPr>
        <w:t>NA. The device has not been put into the market. It does not contain a Periodic safety update report.</w:t>
      </w:r>
    </w:p>
    <w:p>
      <w:pPr>
        <w:pStyle w:val="2"/>
        <w:rPr>
          <w:rFonts w:hint="eastAsia" w:ascii="Times New Roman" w:hAnsi="Times New Roman" w:eastAsia="Tahoma-Bold" w:cs="Times New Roman"/>
          <w:b/>
          <w:bCs/>
          <w:i/>
          <w:iCs/>
          <w:color w:val="0000FF"/>
          <w:kern w:val="0"/>
          <w:sz w:val="21"/>
          <w:szCs w:val="20"/>
          <w:highlight w:val="none"/>
          <w:lang w:val="en-US" w:eastAsia="zh-CN" w:bidi="ar"/>
        </w:rPr>
      </w:pPr>
      <w:r>
        <w:rPr>
          <w:rFonts w:hint="eastAsia" w:ascii="Times New Roman" w:hAnsi="Times New Roman" w:eastAsia="Tahoma-Bold" w:cs="Times New Roman"/>
          <w:b/>
          <w:bCs/>
          <w:i/>
          <w:iCs/>
          <w:color w:val="0000FF"/>
          <w:kern w:val="0"/>
          <w:sz w:val="21"/>
          <w:szCs w:val="20"/>
          <w:highlight w:val="none"/>
          <w:lang w:val="en-US" w:eastAsia="zh-CN" w:bidi="ar"/>
        </w:rPr>
        <w:t>)</w:t>
      </w:r>
    </w:p>
    <w:p>
      <w:pPr>
        <w:pStyle w:val="2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highlight w:val="none"/>
          <w:lang w:val="en-US" w:eastAsia="zh-CN" w:bidi="ar"/>
        </w:rPr>
      </w:pPr>
    </w:p>
    <w:p>
      <w:pPr>
        <w:pStyle w:val="2"/>
        <w:outlineLvl w:val="1"/>
        <w:rPr>
          <w:rFonts w:hint="eastAsia" w:ascii="Times New Roman" w:hAnsi="Times New Roman" w:eastAsia="Tahoma-Bold" w:cs="Times New Roman"/>
          <w:b/>
          <w:bCs/>
          <w:color w:val="auto"/>
          <w:kern w:val="0"/>
          <w:sz w:val="21"/>
          <w:szCs w:val="20"/>
          <w:highlight w:val="none"/>
          <w:lang w:val="en-US" w:eastAsia="zh-CN" w:bidi="ar"/>
        </w:rPr>
      </w:pPr>
      <w:bookmarkStart w:id="10" w:name="_Toc15919"/>
      <w:r>
        <w:rPr>
          <w:rFonts w:hint="eastAsia" w:ascii="Times New Roman" w:hAnsi="Times New Roman" w:eastAsia="Tahoma-Bold" w:cs="Times New Roman"/>
          <w:b/>
          <w:bCs/>
          <w:color w:val="auto"/>
          <w:kern w:val="0"/>
          <w:sz w:val="21"/>
          <w:szCs w:val="20"/>
          <w:highlight w:val="none"/>
          <w:lang w:val="en-US" w:eastAsia="zh-CN" w:bidi="ar"/>
        </w:rPr>
        <w:t>12.3 Post-market clinical follow-up (PMCF) plan</w:t>
      </w:r>
      <w:bookmarkEnd w:id="10"/>
    </w:p>
    <w:p>
      <w:pPr>
        <w:pStyle w:val="2"/>
        <w:rPr>
          <w:rFonts w:hint="eastAsia" w:ascii="Times New Roman" w:hAnsi="Times New Roman" w:eastAsia="Tahoma-Bold" w:cs="Times New Roman"/>
          <w:b/>
          <w:bCs/>
          <w:i/>
          <w:iCs/>
          <w:color w:val="0000FF"/>
          <w:kern w:val="0"/>
          <w:sz w:val="21"/>
          <w:szCs w:val="20"/>
          <w:lang w:val="en-US" w:eastAsia="zh-CN" w:bidi="ar"/>
        </w:rPr>
      </w:pPr>
      <w:r>
        <w:rPr>
          <w:rFonts w:hint="eastAsia" w:ascii="Times New Roman" w:hAnsi="Times New Roman" w:eastAsia="Tahoma-Bold" w:cs="Times New Roman"/>
          <w:b/>
          <w:bCs/>
          <w:i/>
          <w:iCs/>
          <w:color w:val="0000FF"/>
          <w:kern w:val="0"/>
          <w:sz w:val="21"/>
          <w:szCs w:val="20"/>
          <w:lang w:val="en-US" w:eastAsia="zh-CN" w:bidi="ar"/>
        </w:rPr>
        <w:t>(</w:t>
      </w:r>
    </w:p>
    <w:p>
      <w:pPr>
        <w:pStyle w:val="2"/>
        <w:rPr>
          <w:rFonts w:hint="default" w:ascii="Times New Roman" w:hAnsi="Times New Roman" w:eastAsia="Tahoma-Bold" w:cs="Times New Roman"/>
          <w:b/>
          <w:bCs/>
          <w:i/>
          <w:iCs/>
          <w:color w:val="0000FF"/>
          <w:kern w:val="0"/>
          <w:sz w:val="21"/>
          <w:szCs w:val="20"/>
          <w:lang w:val="en-US" w:eastAsia="zh-CN" w:bidi="ar"/>
        </w:rPr>
      </w:pPr>
      <w:r>
        <w:rPr>
          <w:rFonts w:hint="eastAsia" w:ascii="Times New Roman" w:hAnsi="Times New Roman" w:eastAsia="Tahoma-Bold" w:cs="Times New Roman"/>
          <w:b/>
          <w:bCs/>
          <w:i/>
          <w:iCs/>
          <w:color w:val="0000FF"/>
          <w:kern w:val="0"/>
          <w:sz w:val="21"/>
          <w:szCs w:val="20"/>
          <w:lang w:val="en-US" w:eastAsia="zh-CN" w:bidi="ar"/>
        </w:rPr>
        <w:t>The device has not been put into the market. It does not contain a PMCF evaluation report. The details of Post-market clinical follow-up (PMCF) plan can refer to Appendix 12.2 Post Market Clinical Follow-up Plan.</w:t>
      </w:r>
    </w:p>
    <w:p>
      <w:pPr>
        <w:pStyle w:val="2"/>
        <w:rPr>
          <w:rFonts w:hint="eastAsia" w:ascii="Times New Roman" w:hAnsi="Times New Roman" w:eastAsia="Tahoma-Bold" w:cs="Times New Roman"/>
          <w:b/>
          <w:bCs/>
          <w:i/>
          <w:iCs/>
          <w:color w:val="0000FF"/>
          <w:kern w:val="0"/>
          <w:sz w:val="21"/>
          <w:szCs w:val="20"/>
          <w:lang w:val="en-US" w:eastAsia="zh-CN" w:bidi="ar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3427"/>
        <w:gridCol w:w="4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jc w:val="left"/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1"/>
                <w:szCs w:val="20"/>
                <w:lang w:val="en-US" w:eastAsia="zh-CN" w:bidi="ar"/>
              </w:rPr>
              <w:t>SN</w:t>
            </w:r>
          </w:p>
        </w:tc>
        <w:tc>
          <w:tcPr>
            <w:tcW w:w="3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jc w:val="left"/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1"/>
                <w:szCs w:val="20"/>
                <w:lang w:val="en-US" w:eastAsia="zh-CN" w:bidi="ar"/>
              </w:rPr>
              <w:t>Document</w:t>
            </w:r>
          </w:p>
        </w:tc>
        <w:tc>
          <w:tcPr>
            <w:tcW w:w="4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jc w:val="left"/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1"/>
                <w:szCs w:val="20"/>
                <w:lang w:val="en-US" w:eastAsia="zh-CN" w:bidi="ar"/>
              </w:rPr>
              <w:t>Refer 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jc w:val="left"/>
              <w:rPr>
                <w:rFonts w:hint="default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1"/>
                <w:szCs w:val="20"/>
                <w:lang w:val="en-US" w:eastAsia="zh-CN" w:bidi="ar"/>
              </w:rPr>
              <w:t>1</w:t>
            </w:r>
          </w:p>
        </w:tc>
        <w:tc>
          <w:tcPr>
            <w:tcW w:w="3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jc w:val="left"/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1"/>
                <w:szCs w:val="20"/>
                <w:lang w:val="en-US" w:eastAsia="zh-CN" w:bidi="ar"/>
              </w:rPr>
              <w:t>Post Market Clinical Follow-up Plan</w:t>
            </w:r>
          </w:p>
        </w:tc>
        <w:tc>
          <w:tcPr>
            <w:tcW w:w="4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jc w:val="left"/>
              <w:rPr>
                <w:rFonts w:hint="default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1"/>
                <w:szCs w:val="20"/>
                <w:lang w:val="en-US" w:eastAsia="zh-CN" w:bidi="ar"/>
              </w:rPr>
              <w:t>Appendix 12.2 Post Market Clinical Follow-up Plan</w:t>
            </w:r>
          </w:p>
        </w:tc>
      </w:tr>
    </w:tbl>
    <w:p>
      <w:pPr>
        <w:pStyle w:val="2"/>
        <w:rPr>
          <w:rFonts w:hint="eastAsia" w:ascii="Times New Roman" w:hAnsi="Times New Roman" w:eastAsia="Tahoma-Bold" w:cs="Times New Roman"/>
          <w:b/>
          <w:bCs/>
          <w:i/>
          <w:iCs/>
          <w:color w:val="0000FF"/>
          <w:kern w:val="0"/>
          <w:sz w:val="21"/>
          <w:szCs w:val="20"/>
          <w:lang w:val="en-US" w:eastAsia="zh-CN" w:bidi="ar"/>
        </w:rPr>
      </w:pPr>
      <w:r>
        <w:rPr>
          <w:rFonts w:hint="eastAsia" w:ascii="Times New Roman" w:hAnsi="Times New Roman" w:eastAsia="Tahoma-Bold" w:cs="Times New Roman"/>
          <w:b/>
          <w:bCs/>
          <w:i/>
          <w:iCs/>
          <w:color w:val="0000FF"/>
          <w:kern w:val="0"/>
          <w:sz w:val="21"/>
          <w:szCs w:val="20"/>
          <w:lang w:val="en-US" w:eastAsia="zh-CN" w:bidi="ar"/>
        </w:rPr>
        <w:t>)</w:t>
      </w:r>
    </w:p>
    <w:p>
      <w:pPr>
        <w:pStyle w:val="2"/>
        <w:rPr>
          <w:rFonts w:hint="default" w:ascii="Times New Roman" w:hAnsi="Times New Roman" w:eastAsia="Tahoma-Bold" w:cs="Times New Roman"/>
          <w:b/>
          <w:bCs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outlineLvl w:val="1"/>
        <w:rPr>
          <w:rFonts w:hint="default" w:ascii="Times New Roman" w:hAnsi="Times New Roman" w:eastAsia="Tahoma-Bold" w:cs="Times New Roman"/>
          <w:b/>
          <w:bCs/>
          <w:color w:val="auto"/>
          <w:kern w:val="0"/>
          <w:sz w:val="21"/>
          <w:szCs w:val="20"/>
          <w:lang w:val="en-US" w:eastAsia="zh-CN" w:bidi="ar"/>
        </w:rPr>
      </w:pPr>
      <w:bookmarkStart w:id="11" w:name="_Toc14983"/>
      <w:r>
        <w:rPr>
          <w:rFonts w:hint="eastAsia" w:ascii="Times New Roman" w:hAnsi="Times New Roman" w:eastAsia="Tahoma-Bold" w:cs="Times New Roman"/>
          <w:b/>
          <w:bCs/>
          <w:color w:val="auto"/>
          <w:kern w:val="0"/>
          <w:sz w:val="21"/>
          <w:szCs w:val="20"/>
          <w:lang w:val="en-US" w:eastAsia="zh-CN" w:bidi="ar"/>
        </w:rPr>
        <w:t>12.4 Post-market clinical follow-up (PMCF) report</w:t>
      </w:r>
      <w:bookmarkEnd w:id="11"/>
    </w:p>
    <w:p>
      <w:pPr>
        <w:pStyle w:val="2"/>
        <w:rPr>
          <w:rFonts w:hint="eastAsia" w:ascii="Times New Roman" w:hAnsi="Times New Roman" w:eastAsia="Tahoma-Bold" w:cs="Times New Roman"/>
          <w:b/>
          <w:bCs/>
          <w:i/>
          <w:iCs/>
          <w:color w:val="0000FF"/>
          <w:kern w:val="0"/>
          <w:sz w:val="21"/>
          <w:szCs w:val="20"/>
          <w:lang w:val="en-US" w:eastAsia="zh-CN" w:bidi="ar"/>
        </w:rPr>
      </w:pPr>
      <w:r>
        <w:rPr>
          <w:rFonts w:hint="eastAsia" w:ascii="Times New Roman" w:hAnsi="Times New Roman" w:eastAsia="Tahoma-Bold" w:cs="Times New Roman"/>
          <w:b/>
          <w:bCs/>
          <w:i/>
          <w:iCs/>
          <w:color w:val="0000FF"/>
          <w:kern w:val="0"/>
          <w:sz w:val="21"/>
          <w:szCs w:val="20"/>
          <w:lang w:val="en-US" w:eastAsia="zh-CN" w:bidi="ar"/>
        </w:rPr>
        <w:t>(</w:t>
      </w:r>
    </w:p>
    <w:p>
      <w:pPr>
        <w:pStyle w:val="2"/>
        <w:rPr>
          <w:rFonts w:hint="eastAsia" w:ascii="Times New Roman" w:hAnsi="Times New Roman" w:eastAsia="Tahoma-Bold" w:cs="Times New Roman"/>
          <w:b/>
          <w:bCs/>
          <w:i/>
          <w:iCs/>
          <w:color w:val="0000FF"/>
          <w:kern w:val="0"/>
          <w:sz w:val="21"/>
          <w:szCs w:val="20"/>
          <w:lang w:val="en-US" w:eastAsia="zh-CN" w:bidi="ar"/>
        </w:rPr>
      </w:pPr>
      <w:r>
        <w:rPr>
          <w:rFonts w:hint="eastAsia" w:ascii="Times New Roman" w:hAnsi="Times New Roman" w:eastAsia="Tahoma-Bold" w:cs="Times New Roman"/>
          <w:b/>
          <w:bCs/>
          <w:i/>
          <w:iCs/>
          <w:color w:val="0000FF"/>
          <w:kern w:val="0"/>
          <w:sz w:val="21"/>
          <w:szCs w:val="20"/>
          <w:lang w:val="en-US" w:eastAsia="zh-CN" w:bidi="ar"/>
        </w:rPr>
        <w:t>NA. The device has not been put into the market. It does not contain a PMCF evaluation report.</w:t>
      </w:r>
    </w:p>
    <w:p>
      <w:pPr>
        <w:pStyle w:val="2"/>
        <w:rPr>
          <w:rFonts w:hint="eastAsia" w:ascii="Times New Roman" w:hAnsi="Times New Roman" w:eastAsia="Tahoma-Bold" w:cs="Times New Roman"/>
          <w:b/>
          <w:bCs/>
          <w:i/>
          <w:iCs/>
          <w:color w:val="0000FF"/>
          <w:kern w:val="0"/>
          <w:sz w:val="21"/>
          <w:szCs w:val="20"/>
          <w:lang w:val="en-US" w:eastAsia="zh-CN" w:bidi="ar"/>
        </w:rPr>
      </w:pPr>
      <w:r>
        <w:rPr>
          <w:rFonts w:hint="eastAsia" w:ascii="Times New Roman" w:hAnsi="Times New Roman" w:eastAsia="Tahoma-Bold" w:cs="Times New Roman"/>
          <w:b/>
          <w:bCs/>
          <w:i/>
          <w:iCs/>
          <w:color w:val="0000FF"/>
          <w:kern w:val="0"/>
          <w:sz w:val="21"/>
          <w:szCs w:val="20"/>
          <w:lang w:val="en-US" w:eastAsia="zh-CN" w:bidi="ar"/>
        </w:rPr>
        <w:t>)</w:t>
      </w:r>
    </w:p>
    <w:p>
      <w:pPr>
        <w:pStyle w:val="2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outlineLvl w:val="1"/>
        <w:rPr>
          <w:rFonts w:hint="eastAsia" w:ascii="Times New Roman" w:hAnsi="Times New Roman" w:eastAsia="Tahoma-Bold" w:cs="Times New Roman"/>
          <w:b/>
          <w:bCs/>
          <w:color w:val="auto"/>
          <w:kern w:val="0"/>
          <w:sz w:val="21"/>
          <w:szCs w:val="20"/>
          <w:lang w:val="en-US" w:eastAsia="zh-CN" w:bidi="ar"/>
        </w:rPr>
      </w:pPr>
      <w:bookmarkStart w:id="12" w:name="_Toc20520"/>
      <w:r>
        <w:rPr>
          <w:rFonts w:hint="eastAsia" w:ascii="Times New Roman" w:hAnsi="Times New Roman" w:eastAsia="Tahoma-Bold" w:cs="Times New Roman"/>
          <w:b/>
          <w:bCs/>
          <w:color w:val="auto"/>
          <w:kern w:val="0"/>
          <w:sz w:val="21"/>
          <w:szCs w:val="20"/>
          <w:lang w:val="en-US" w:eastAsia="zh-CN" w:bidi="ar"/>
        </w:rPr>
        <w:t>12.5</w:t>
      </w:r>
      <w:r>
        <w:rPr>
          <w:rFonts w:hint="default" w:ascii="Times New Roman" w:hAnsi="Times New Roman" w:eastAsia="Tahoma-Bold" w:cs="Times New Roman"/>
          <w:b/>
          <w:bCs/>
          <w:color w:val="auto"/>
          <w:kern w:val="0"/>
          <w:sz w:val="21"/>
          <w:szCs w:val="20"/>
          <w:lang w:val="en-US" w:eastAsia="zh-CN" w:bidi="ar"/>
        </w:rPr>
        <w:t xml:space="preserve"> Summary of safety and clinical performance (SSCP)</w:t>
      </w:r>
      <w:bookmarkEnd w:id="12"/>
      <w:r>
        <w:rPr>
          <w:rFonts w:hint="default" w:ascii="Times New Roman" w:hAnsi="Times New Roman" w:eastAsia="Tahoma-Bold" w:cs="Times New Roman"/>
          <w:b/>
          <w:bCs/>
          <w:color w:val="auto"/>
          <w:kern w:val="0"/>
          <w:sz w:val="21"/>
          <w:szCs w:val="20"/>
          <w:lang w:val="en-US" w:eastAsia="zh-CN" w:bidi="ar"/>
        </w:rPr>
        <w:t xml:space="preserve"> </w:t>
      </w:r>
    </w:p>
    <w:p>
      <w:pPr>
        <w:pStyle w:val="2"/>
        <w:rPr>
          <w:rFonts w:hint="eastAsia" w:ascii="Times New Roman" w:hAnsi="Times New Roman" w:eastAsia="Tahoma-Bold" w:cs="Times New Roman"/>
          <w:b/>
          <w:bCs/>
          <w:i/>
          <w:iCs/>
          <w:color w:val="0000FF"/>
          <w:kern w:val="0"/>
          <w:sz w:val="21"/>
          <w:szCs w:val="20"/>
          <w:lang w:val="en-US" w:eastAsia="zh-CN" w:bidi="ar"/>
        </w:rPr>
      </w:pPr>
      <w:r>
        <w:rPr>
          <w:rFonts w:hint="eastAsia" w:ascii="Times New Roman" w:hAnsi="Times New Roman" w:eastAsia="Tahoma-Bold" w:cs="Times New Roman"/>
          <w:b/>
          <w:bCs/>
          <w:i/>
          <w:iCs/>
          <w:color w:val="0000FF"/>
          <w:kern w:val="0"/>
          <w:sz w:val="21"/>
          <w:szCs w:val="20"/>
          <w:lang w:val="en-US" w:eastAsia="zh-CN" w:bidi="ar"/>
        </w:rPr>
        <w:t>(</w:t>
      </w:r>
    </w:p>
    <w:p>
      <w:pPr>
        <w:pStyle w:val="2"/>
        <w:rPr>
          <w:rFonts w:hint="default" w:ascii="Times New Roman" w:hAnsi="Times New Roman" w:eastAsia="Tahoma-Bold" w:cs="Times New Roman"/>
          <w:b/>
          <w:bCs/>
          <w:i/>
          <w:iCs/>
          <w:color w:val="0000FF"/>
          <w:kern w:val="0"/>
          <w:sz w:val="21"/>
          <w:szCs w:val="20"/>
          <w:lang w:val="en-US" w:eastAsia="zh-CN" w:bidi="ar"/>
        </w:rPr>
      </w:pPr>
      <w:r>
        <w:rPr>
          <w:rFonts w:hint="eastAsia" w:ascii="Times New Roman" w:hAnsi="Times New Roman" w:eastAsia="Tahoma-Bold" w:cs="Times New Roman"/>
          <w:b/>
          <w:bCs/>
          <w:i/>
          <w:iCs/>
          <w:color w:val="0000FF"/>
          <w:kern w:val="0"/>
          <w:sz w:val="21"/>
          <w:szCs w:val="20"/>
          <w:lang w:val="en-US" w:eastAsia="zh-CN" w:bidi="ar"/>
        </w:rPr>
        <w:t>NA</w:t>
      </w:r>
      <w:r>
        <w:rPr>
          <w:rFonts w:hint="default" w:ascii="Times New Roman" w:hAnsi="Times New Roman" w:eastAsia="Tahoma-Bold" w:cs="Times New Roman"/>
          <w:b/>
          <w:bCs/>
          <w:i/>
          <w:iCs/>
          <w:color w:val="0000FF"/>
          <w:kern w:val="0"/>
          <w:sz w:val="21"/>
          <w:szCs w:val="20"/>
          <w:lang w:val="en-US" w:eastAsia="zh-CN" w:bidi="ar"/>
        </w:rPr>
        <w:t>. The device is not an implantable device or class III device.</w:t>
      </w:r>
      <w:r>
        <w:rPr>
          <w:rFonts w:hint="eastAsia" w:ascii="Times New Roman" w:hAnsi="Times New Roman" w:eastAsia="Tahoma-Bold" w:cs="Times New Roman"/>
          <w:b/>
          <w:bCs/>
          <w:i/>
          <w:iCs/>
          <w:color w:val="0000FF"/>
          <w:kern w:val="0"/>
          <w:sz w:val="21"/>
          <w:szCs w:val="20"/>
          <w:lang w:val="en-US" w:eastAsia="zh-CN" w:bidi="ar"/>
        </w:rPr>
        <w:t xml:space="preserve"> It does not contain a SSCP.</w:t>
      </w:r>
    </w:p>
    <w:p>
      <w:pPr>
        <w:pStyle w:val="2"/>
        <w:rPr>
          <w:rFonts w:hint="default" w:ascii="Times New Roman" w:hAnsi="Times New Roman" w:eastAsia="Tahoma-Bold" w:cs="Times New Roman"/>
          <w:b/>
          <w:bCs/>
          <w:i/>
          <w:iCs/>
          <w:color w:val="0000FF"/>
          <w:kern w:val="0"/>
          <w:sz w:val="21"/>
          <w:szCs w:val="20"/>
          <w:lang w:val="en-US" w:eastAsia="zh-CN" w:bidi="ar"/>
        </w:rPr>
      </w:pPr>
      <w:r>
        <w:rPr>
          <w:rFonts w:hint="eastAsia" w:ascii="Times New Roman" w:hAnsi="Times New Roman" w:eastAsia="Tahoma-Bold" w:cs="Times New Roman"/>
          <w:b/>
          <w:bCs/>
          <w:i/>
          <w:iCs/>
          <w:color w:val="0000FF"/>
          <w:kern w:val="0"/>
          <w:sz w:val="21"/>
          <w:szCs w:val="20"/>
          <w:lang w:val="en-US" w:eastAsia="zh-CN" w:bidi="ar"/>
        </w:rPr>
        <w:t>)</w:t>
      </w:r>
    </w:p>
    <w:p>
      <w:pPr>
        <w:pStyle w:val="2"/>
        <w:rPr>
          <w:rFonts w:hint="eastAsia" w:ascii="Times New Roman" w:hAnsi="Times New Roman" w:eastAsia="Tahoma-Bold" w:cs="Times New Roman"/>
          <w:b/>
          <w:bCs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Univers 57 Condensed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-Bold">
    <w:altName w:val="Tahoma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5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B07083A"/>
    <w:rsid w:val="42491C0F"/>
    <w:rsid w:val="462E437E"/>
    <w:rsid w:val="46561FD1"/>
    <w:rsid w:val="48A96BCF"/>
    <w:rsid w:val="4B950155"/>
    <w:rsid w:val="52B550F9"/>
    <w:rsid w:val="543A6A17"/>
    <w:rsid w:val="5854681A"/>
    <w:rsid w:val="5B3D4524"/>
    <w:rsid w:val="5DEA1794"/>
    <w:rsid w:val="61F875F0"/>
    <w:rsid w:val="638C3F6B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120" w:after="120" w:line="360" w:lineRule="auto"/>
      <w:outlineLvl w:val="0"/>
    </w:pPr>
    <w:rPr>
      <w:rFonts w:eastAsia="Times New Roman"/>
      <w:b/>
      <w:bCs/>
      <w:kern w:val="44"/>
      <w:sz w:val="2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4">
    <w:name w:val="toc 3"/>
    <w:basedOn w:val="1"/>
    <w:next w:val="1"/>
    <w:unhideWhenUsed/>
    <w:qFormat/>
    <w:uiPriority w:val="39"/>
    <w:pPr>
      <w:ind w:left="420"/>
      <w:jc w:val="left"/>
    </w:pPr>
    <w:rPr>
      <w:rFonts w:asciiTheme="minorHAnsi" w:eastAsiaTheme="minorHAnsi"/>
      <w:i/>
      <w:iCs/>
      <w:sz w:val="20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Theme="minorHAnsi" w:eastAsiaTheme="minorHAnsi"/>
      <w:b/>
      <w:bCs/>
      <w:caps/>
      <w:sz w:val="20"/>
    </w:rPr>
  </w:style>
  <w:style w:type="paragraph" w:styleId="8">
    <w:name w:val="toc 2"/>
    <w:basedOn w:val="1"/>
    <w:next w:val="1"/>
    <w:unhideWhenUsed/>
    <w:qFormat/>
    <w:uiPriority w:val="39"/>
    <w:pPr>
      <w:ind w:left="210"/>
      <w:jc w:val="left"/>
    </w:pPr>
    <w:rPr>
      <w:rFonts w:asciiTheme="minorHAnsi" w:eastAsiaTheme="minorHAnsi"/>
      <w:smallCaps/>
      <w:sz w:val="20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iPriority w:val="0"/>
    <w:rPr>
      <w:color w:val="0000FF"/>
      <w:u w:val="single"/>
    </w:rPr>
  </w:style>
  <w:style w:type="character" w:customStyle="1" w:styleId="13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semiHidden/>
    <w:qFormat/>
    <w:uiPriority w:val="99"/>
    <w:rPr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2023-10-25T05:47:08Z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