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Sterilization, disinfection, and reprocessing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eastAsia="Arial"/>
          <w:color w:val="auto"/>
          <w:kern w:val="2"/>
          <w:sz w:val="21"/>
          <w:szCs w:val="21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b/>
          <w:bCs/>
          <w:color w:val="auto"/>
          <w:sz w:val="30"/>
          <w:szCs w:val="30"/>
        </w:rPr>
      </w:pPr>
      <w:bookmarkStart w:id="3" w:name="_Toc879"/>
      <w:bookmarkStart w:id="4" w:name="_Toc11116"/>
      <w:bookmarkStart w:id="5" w:name="_Toc32516"/>
      <w:bookmarkStart w:id="6" w:name="_Toc10038"/>
      <w:r>
        <w:rPr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_Toc17316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10 Sterilization, disinfection, and reprocessing</w:t>
          </w:r>
          <w:r>
            <w:tab/>
          </w:r>
          <w:r>
            <w:fldChar w:fldCharType="begin"/>
          </w:r>
          <w:r>
            <w:instrText xml:space="preserve"> PAGEREF _Toc17316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_Toc29452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10.1 Sterile device or devices with defined microbiological condition (MDR Annex II Section 6.2(e))</w:t>
          </w:r>
          <w:r>
            <w:tab/>
          </w:r>
          <w:r>
            <w:fldChar w:fldCharType="begin"/>
          </w:r>
          <w:r>
            <w:instrText xml:space="preserve"> PAGEREF _Toc29452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_Toc23532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10.2 Stability and shelf life of the device (MDR Annex II Section 6.1(b))</w:t>
          </w:r>
          <w:r>
            <w:tab/>
          </w:r>
          <w:r>
            <w:fldChar w:fldCharType="begin"/>
          </w:r>
          <w:r>
            <w:instrText xml:space="preserve"> PAGEREF _Toc23532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_Toc9843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10.3 Infection risk and reusable device(s) (MDR Annex II Section 6.2(e); Annex VI Section 4.10)</w:t>
          </w:r>
          <w:r>
            <w:tab/>
          </w:r>
          <w:r>
            <w:fldChar w:fldCharType="begin"/>
          </w:r>
          <w:r>
            <w:instrText xml:space="preserve"> PAGEREF _Toc9843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_Toc14357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10.4  Disinfection verification</w:t>
          </w:r>
          <w:r>
            <w:tab/>
          </w:r>
          <w:r>
            <w:fldChar w:fldCharType="begin"/>
          </w:r>
          <w:r>
            <w:instrText xml:space="preserve"> PAGEREF _Toc14357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bookmarkStart w:id="7" w:name="_Toc17316"/>
      <w:bookmarkStart w:id="8" w:name="_Toc15839"/>
      <w:bookmarkStart w:id="9" w:name="_Toc11774"/>
      <w:bookmarkStart w:id="15" w:name="_GoBack"/>
      <w:bookmarkEnd w:id="15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10 Sterilization, disinfection, and reprocessing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bookmarkStart w:id="10" w:name="_Toc29452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10.1 Sterile device or devices with defined microbiological condition (MDR Annex II Section 6.2(e))</w:t>
      </w:r>
      <w:bookmarkEnd w:id="8"/>
      <w:bookmarkEnd w:id="1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(Not applicable. The device is not delivered in sterile condition. The device is not intended to be sterilised or delivered with defined microbiological conditions.)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bookmarkStart w:id="11" w:name="_Toc23532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10.2 Stability and shelf life of the device (MDR Annex II Section 6.1(b))</w:t>
      </w:r>
      <w:bookmarkEnd w:id="1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(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The details of accelerated and real-time ageing test protocols reports can refer to Appendix 10.1 Shelf life verification protocol and report.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439"/>
        <w:gridCol w:w="4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SN</w:t>
            </w:r>
          </w:p>
        </w:tc>
        <w:tc>
          <w:tcPr>
            <w:tcW w:w="3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Document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Shelf life verification protocol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Appendix 10.1 Shelf life verification protocol and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Shelf life verification report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Appendix 10.1 Shelf life verification protocol and report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</w:p>
    <w:bookmarkEnd w:id="9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bookmarkStart w:id="12" w:name="_Toc7036"/>
      <w:bookmarkStart w:id="13" w:name="_Toc9843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10.3 Infection risk and reusable device(s) (MDR Annex II Section 6.2(e); Annex VI Section 4.10)</w:t>
      </w:r>
      <w:bookmarkEnd w:id="12"/>
      <w:bookmarkEnd w:id="1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(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 xml:space="preserve">The device is a reusable device. It need to clean and disinfection after use. We conduct effective life cycle verification. The details can refer to </w:t>
      </w: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 xml:space="preserve">Appendix </w:t>
      </w: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10.2</w:t>
      </w: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 xml:space="preserve"> Re-processing validation protocols</w:t>
      </w: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 xml:space="preserve"> and report.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427"/>
        <w:gridCol w:w="4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SN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Document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Re-processing validation protocols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Appendix </w:t>
            </w: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10.2</w:t>
            </w: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Re-processing validation protocols</w:t>
            </w: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and report.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Re-processing validati</w:t>
            </w: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on report.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Appendix </w:t>
            </w: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10.2</w:t>
            </w: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Re-processing validation protocols</w:t>
            </w: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and report.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Instructions for use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Appendix 2.2 Instructions for use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red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bookmarkStart w:id="14" w:name="_Toc14357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10.4  Disinfection verification</w:t>
      </w:r>
      <w:bookmarkEnd w:id="1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 xml:space="preserve">The details of disinfection verification can refer to </w:t>
      </w: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 xml:space="preserve">Appendix </w:t>
      </w: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10.3 Disinfection verification protocol and report.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427"/>
        <w:gridCol w:w="4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SN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Document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Disinfection verification protocol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Appendix </w:t>
            </w: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10.3 Disinfection verification protocol and report.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Disinfection verification report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outlineLvl w:val="9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Appendix </w:t>
            </w:r>
            <w:r>
              <w:rPr>
                <w:rFonts w:hint="eastAsia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10.3 Disinfection verification protocol and report.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FAA0CDE"/>
    <w:rsid w:val="73041C9C"/>
    <w:rsid w:val="76BC1F7A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2023-10-25T05:39:19Z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