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Appendix 8.2.4 Qualification of test laboratories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eastAsia"/>
          <w:b/>
          <w:bCs/>
          <w:i/>
          <w:iCs/>
          <w:color w:val="0000FF"/>
          <w:sz w:val="24"/>
          <w:szCs w:val="24"/>
          <w:lang w:val="en-US" w:eastAsia="zh-CN"/>
        </w:rPr>
        <w:t>提供生物相容性测试机构的资质，测试对应的生物相容性标准需要涵盖在资质清单里面。</w:t>
      </w:r>
      <w:r>
        <w:rPr>
          <w:rFonts w:hint="eastAsia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46181D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5F4158BD"/>
    <w:rsid w:val="638C3F6B"/>
    <w:rsid w:val="681F3395"/>
    <w:rsid w:val="6FAA0CDE"/>
    <w:rsid w:val="73041C9C"/>
    <w:rsid w:val="75455393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2023-10-25T03:00:36Z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