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Biocompatibility Evaluation Report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eastAsia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需要罗列本次认证的所有产品型号清单，如型号很多，可以采用另外附件文档的方式给出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Edition: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本处填写本文件的版本】</w:t>
      </w:r>
    </w:p>
    <w:p>
      <w:pPr>
        <w:pStyle w:val="2"/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7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eastAsia="华文细黑"/>
          <w:b/>
          <w:color w:val="auto"/>
          <w:sz w:val="30"/>
          <w:szCs w:val="30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32516"/>
      <w:bookmarkStart w:id="4" w:name="_Toc11116"/>
      <w:bookmarkStart w:id="5" w:name="_Toc10038"/>
      <w:bookmarkStart w:id="6" w:name="_Toc25356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6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</w:p>
        <w:p>
          <w:pPr>
            <w:pStyle w:val="6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_Toc22762 </w:instrText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 Biocompatibility Evaluation Report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_Toc22762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  <w:bookmarkStart w:id="10" w:name="_GoBack"/>
      <w:bookmarkEnd w:id="10"/>
    </w:p>
    <w:p>
      <w:pPr>
        <w:jc w:val="both"/>
        <w:outlineLvl w:val="0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7" w:name="_Toc11570"/>
      <w:bookmarkStart w:id="8" w:name="_Toc22762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 xml:space="preserve">1 </w:t>
      </w:r>
      <w:bookmarkEnd w:id="7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Biocompatibility Evaluation Report</w:t>
      </w:r>
      <w:bookmarkEnd w:id="8"/>
    </w:p>
    <w:p>
      <w:pPr>
        <w:pStyle w:val="2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9" w:name="_Toc11774"/>
    </w:p>
    <w:p>
      <w:pPr>
        <w:pStyle w:val="2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  <w:t xml:space="preserve">The details can refer to </w:t>
      </w:r>
    </w:p>
    <w:p>
      <w:pPr>
        <w:pStyle w:val="2"/>
        <w:numPr>
          <w:ilvl w:val="0"/>
          <w:numId w:val="2"/>
        </w:numPr>
        <w:ind w:left="420" w:leftChars="0" w:hanging="420" w:firstLineChars="0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  <w:t>Appendix 8.2.1 Biocompatibility test protocols and reports</w:t>
      </w:r>
    </w:p>
    <w:p>
      <w:pPr>
        <w:pStyle w:val="2"/>
        <w:numPr>
          <w:ilvl w:val="0"/>
          <w:numId w:val="2"/>
        </w:numPr>
        <w:ind w:left="420" w:leftChars="0" w:hanging="420" w:firstLineChars="0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  <w:t>Appendix 8.2.2 Overall biological safety assessment</w:t>
      </w:r>
    </w:p>
    <w:p>
      <w:pPr>
        <w:pStyle w:val="2"/>
        <w:numPr>
          <w:ilvl w:val="0"/>
          <w:numId w:val="2"/>
        </w:numPr>
        <w:ind w:left="420" w:leftChars="0" w:hanging="420" w:firstLineChars="0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  <w:t>Appendix 8.2.3 Evidence of qualification of experts</w:t>
      </w:r>
    </w:p>
    <w:p>
      <w:pPr>
        <w:pStyle w:val="2"/>
        <w:numPr>
          <w:ilvl w:val="0"/>
          <w:numId w:val="2"/>
        </w:numPr>
        <w:ind w:left="420" w:leftChars="0" w:hanging="420" w:firstLineChars="0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  <w:t>Appendix 8.2.4 Qualification of test laboratories</w:t>
      </w:r>
    </w:p>
    <w:p>
      <w:pPr>
        <w:pStyle w:val="2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bookmarkEnd w:id="9"/>
    <w:p>
      <w:pPr>
        <w:pStyle w:val="2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outlineLvl w:val="9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4EFF64F"/>
    <w:multiLevelType w:val="singleLevel"/>
    <w:tmpl w:val="64EFF64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0724E98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2023-10-25T02:55:46Z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