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p>
    <w:p>
      <w:pPr>
        <w:pStyle w:val="2"/>
        <w:rPr>
          <w:rFonts w:hint="default" w:ascii="Times New Roman" w:hAnsi="Times New Roman" w:eastAsia="Univers 57 Condensed" w:cs="Times New Roman"/>
          <w:lang w:val="en-US" w:eastAsia="zh-CN"/>
        </w:rPr>
      </w:pPr>
      <w:bookmarkStart w:id="70" w:name="_GoBack"/>
      <w:bookmarkEnd w:id="70"/>
    </w:p>
    <w:p>
      <w:pPr>
        <w:jc w:val="center"/>
        <w:rPr>
          <w:rFonts w:hint="default" w:ascii="Times New Roman" w:hAnsi="Times New Roman" w:cs="Times New Roman"/>
          <w:b/>
          <w:sz w:val="52"/>
          <w:szCs w:val="52"/>
        </w:rPr>
      </w:pPr>
      <w:r>
        <w:rPr>
          <w:rFonts w:hint="default" w:ascii="Times New Roman" w:hAnsi="Times New Roman" w:cs="Times New Roman"/>
          <w:b/>
          <w:sz w:val="52"/>
          <w:szCs w:val="52"/>
        </w:rPr>
        <w:t>Product Verification and validation</w:t>
      </w:r>
    </w:p>
    <w:p>
      <w:pPr>
        <w:jc w:val="center"/>
        <w:rPr>
          <w:rFonts w:hint="default" w:ascii="Times New Roman" w:hAnsi="Times New Roman" w:cs="Times New Roman"/>
          <w:sz w:val="24"/>
          <w:szCs w:val="24"/>
        </w:rPr>
      </w:pPr>
      <w:r>
        <w:rPr>
          <w:rFonts w:hint="default" w:ascii="Times New Roman" w:hAnsi="Times New Roman" w:cs="Times New Roman"/>
          <w:b/>
          <w:sz w:val="44"/>
          <w:szCs w:val="44"/>
        </w:rPr>
        <w:t xml:space="preserve">              </w:t>
      </w:r>
    </w:p>
    <w:p>
      <w:pPr>
        <w:pStyle w:val="2"/>
        <w:rPr>
          <w:rFonts w:hint="default" w:ascii="Times New Roman" w:hAnsi="Times New Roman" w:cs="Times New Roman"/>
          <w:color w:val="auto"/>
        </w:rPr>
      </w:pPr>
    </w:p>
    <w:p>
      <w:pPr>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bookmarkStart w:id="0"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bookmarkEnd w:id="0"/>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Edition: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2"/>
        <w:rPr>
          <w:rFonts w:hint="default" w:ascii="Times New Roman" w:hAnsi="Times New Roman" w:cs="Times New Roman"/>
        </w:rPr>
      </w:pPr>
    </w:p>
    <w:p>
      <w:pPr>
        <w:pStyle w:val="2"/>
        <w:rPr>
          <w:rFonts w:hint="default" w:ascii="Times New Roman" w:hAnsi="Times New Roman" w:eastAsia="华文细黑" w:cs="Times New Roman"/>
          <w:b/>
          <w:color w:val="auto"/>
          <w:sz w:val="30"/>
          <w:szCs w:val="30"/>
        </w:rPr>
      </w:pP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Approved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eastAsia="华文细黑" w:cs="Times New Roman"/>
          <w:b/>
          <w:sz w:val="30"/>
          <w:szCs w:val="30"/>
        </w:rPr>
      </w:pPr>
      <w:r>
        <w:rPr>
          <w:rFonts w:hint="default" w:ascii="Times New Roman" w:hAnsi="Times New Roman" w:cs="Times New Roman"/>
          <w:b/>
          <w:bCs/>
          <w:sz w:val="28"/>
          <w:szCs w:val="28"/>
        </w:rPr>
        <w:t>Applied</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t xml:space="preserve"> by</w:t>
      </w:r>
      <w:r>
        <w:rPr>
          <w:rFonts w:hint="default" w:ascii="Times New Roman" w:hAnsi="Times New Roman" w:cs="Times New Roman"/>
          <w:b/>
          <w:bCs/>
          <w:sz w:val="28"/>
          <w:szCs w:val="28"/>
        </w:rPr>
        <w:t>：</w:t>
      </w:r>
    </w:p>
    <w:p>
      <w:pPr>
        <w:pStyle w:val="2"/>
        <w:rPr>
          <w:rFonts w:hint="default" w:ascii="Times New Roman" w:hAnsi="Times New Roman" w:eastAsia="华文细黑" w:cs="Times New Roman"/>
          <w:b/>
          <w:color w:val="auto"/>
          <w:sz w:val="30"/>
          <w:szCs w:val="30"/>
        </w:rPr>
      </w:pPr>
    </w:p>
    <w:p>
      <w:pPr>
        <w:pStyle w:val="2"/>
        <w:rPr>
          <w:rFonts w:hint="default" w:ascii="Times New Roman" w:hAnsi="Times New Roman" w:eastAsia="华文细黑" w:cs="Times New Roman"/>
          <w:b/>
          <w:color w:val="auto"/>
          <w:sz w:val="30"/>
          <w:szCs w:val="30"/>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color w:val="auto"/>
        </w:rPr>
      </w:pPr>
    </w:p>
    <w:p>
      <w:pPr>
        <w:rPr>
          <w:b/>
          <w:bCs/>
          <w:sz w:val="30"/>
          <w:szCs w:val="30"/>
        </w:rPr>
      </w:pPr>
      <w:bookmarkStart w:id="1" w:name="_Toc13987"/>
      <w:r>
        <w:rPr>
          <w:b/>
          <w:bCs/>
          <w:sz w:val="30"/>
          <w:szCs w:val="30"/>
        </w:rPr>
        <w:br w:type="page"/>
      </w:r>
    </w:p>
    <w:bookmarkEnd w:id="1"/>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1"/>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2"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pStyle w:val="2"/>
        <w:rPr>
          <w:color w:val="auto"/>
          <w:sz w:val="36"/>
          <w:szCs w:val="36"/>
        </w:rPr>
      </w:pPr>
    </w:p>
    <w:p>
      <w:pPr>
        <w:jc w:val="both"/>
        <w:rPr>
          <w:b/>
          <w:bCs/>
          <w:color w:val="auto"/>
          <w:sz w:val="30"/>
          <w:szCs w:val="30"/>
        </w:rPr>
      </w:pPr>
      <w:r>
        <w:rPr>
          <w:b/>
          <w:bCs/>
          <w:color w:val="auto"/>
          <w:sz w:val="30"/>
          <w:szCs w:val="30"/>
        </w:rPr>
        <w:br w:type="page"/>
      </w:r>
    </w:p>
    <w:p>
      <w:pPr>
        <w:jc w:val="center"/>
        <w:outlineLvl w:val="0"/>
        <w:rPr>
          <w:b/>
          <w:bCs/>
          <w:color w:val="auto"/>
          <w:sz w:val="30"/>
          <w:szCs w:val="30"/>
        </w:rPr>
      </w:pPr>
      <w:bookmarkStart w:id="3" w:name="_Toc10038"/>
      <w:bookmarkStart w:id="4" w:name="_Toc32516"/>
      <w:bookmarkStart w:id="5" w:name="_Toc11116"/>
      <w:bookmarkStart w:id="6" w:name="_Toc5663"/>
      <w:r>
        <w:rPr>
          <w:b/>
          <w:bCs/>
          <w:color w:val="auto"/>
          <w:sz w:val="30"/>
          <w:szCs w:val="30"/>
        </w:rPr>
        <w:t>Table of Contents</w:t>
      </w:r>
      <w:bookmarkEnd w:id="3"/>
      <w:bookmarkEnd w:id="4"/>
      <w:bookmarkEnd w:id="5"/>
      <w:bookmarkEnd w:id="6"/>
    </w:p>
    <w:sdt>
      <w:sdtPr>
        <w:rPr>
          <w:rFonts w:ascii="宋体" w:hAnsi="宋体" w:eastAsia="宋体" w:cs="Times New Roman"/>
          <w:kern w:val="2"/>
          <w:sz w:val="21"/>
          <w:lang w:val="en-US" w:eastAsia="zh-CN" w:bidi="ar-SA"/>
        </w:rPr>
        <w:id w:val="147455643"/>
        <w15:color w:val="DBDBDB"/>
        <w:docPartObj>
          <w:docPartGallery w:val="Table of Contents"/>
          <w:docPartUnique/>
        </w:docPartObj>
      </w:sdtPr>
      <w:sdtEndPr>
        <w:rPr>
          <w:rFonts w:ascii="Times New Roman" w:hAnsi="Times New Roman" w:eastAsia="Tahoma-Bold" w:cs="Times New Roman"/>
          <w:b/>
          <w:bCs w:val="0"/>
          <w:color w:val="auto"/>
          <w:kern w:val="0"/>
          <w:sz w:val="24"/>
          <w:szCs w:val="20"/>
          <w:lang w:val="en-US" w:eastAsia="zh-CN" w:bidi="ar"/>
        </w:rPr>
      </w:sdtEndPr>
      <w:sdtContent>
        <w:p>
          <w:pPr>
            <w:spacing w:before="0" w:beforeLines="0" w:after="0" w:afterLines="0" w:line="240" w:lineRule="auto"/>
            <w:ind w:left="0" w:leftChars="0" w:right="0" w:rightChars="0" w:firstLine="0" w:firstLineChars="0"/>
            <w:jc w:val="center"/>
          </w:pPr>
        </w:p>
        <w:p>
          <w:pPr>
            <w:pStyle w:val="9"/>
            <w:tabs>
              <w:tab w:val="right" w:leader="dot" w:pos="8306"/>
            </w:tabs>
          </w:pPr>
          <w:r>
            <w:rPr>
              <w:rFonts w:ascii="Times New Roman" w:hAnsi="Times New Roman" w:eastAsia="Tahoma-Bold" w:cs="Times New Roman"/>
              <w:b w:val="0"/>
              <w:bCs w:val="0"/>
              <w:color w:val="auto"/>
              <w:kern w:val="0"/>
              <w:sz w:val="21"/>
              <w:szCs w:val="20"/>
              <w:lang w:val="en-US" w:eastAsia="zh-CN" w:bidi="ar"/>
            </w:rPr>
            <w:fldChar w:fldCharType="begin"/>
          </w:r>
          <w:r>
            <w:rPr>
              <w:rFonts w:ascii="Times New Roman" w:hAnsi="Times New Roman" w:eastAsia="Tahoma-Bold" w:cs="Times New Roman"/>
              <w:b w:val="0"/>
              <w:bCs w:val="0"/>
              <w:color w:val="auto"/>
              <w:kern w:val="0"/>
              <w:sz w:val="21"/>
              <w:szCs w:val="20"/>
              <w:lang w:val="en-US" w:eastAsia="zh-CN" w:bidi="ar"/>
            </w:rPr>
            <w:instrText xml:space="preserve">TOC \o "1-3" \h \u </w:instrText>
          </w:r>
          <w:r>
            <w:rPr>
              <w:rFonts w:ascii="Times New Roman" w:hAnsi="Times New Roman" w:eastAsia="Tahoma-Bold" w:cs="Times New Roman"/>
              <w:b w:val="0"/>
              <w:bCs w:val="0"/>
              <w:color w:val="auto"/>
              <w:kern w:val="0"/>
              <w:sz w:val="21"/>
              <w:szCs w:val="20"/>
              <w:lang w:val="en-US" w:eastAsia="zh-CN" w:bidi="ar"/>
            </w:rPr>
            <w:fldChar w:fldCharType="separate"/>
          </w: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_Toc21056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kern w:val="0"/>
              <w:szCs w:val="20"/>
              <w:lang w:val="en-US" w:eastAsia="zh-CN" w:bidi="ar"/>
            </w:rPr>
            <w:t xml:space="preserve">8 </w:t>
          </w:r>
          <w:r>
            <w:rPr>
              <w:rFonts w:ascii="Times New Roman" w:hAnsi="Times New Roman" w:eastAsia="Tahoma-Bold" w:cs="Times New Roman"/>
              <w:bCs/>
              <w:kern w:val="0"/>
              <w:szCs w:val="20"/>
              <w:lang w:val="en-US" w:eastAsia="zh-CN" w:bidi="ar"/>
            </w:rPr>
            <w:t>Product Verification and Validation (MDR ANNEX II SECTION 6)</w:t>
          </w:r>
          <w:r>
            <w:tab/>
          </w:r>
          <w:r>
            <w:fldChar w:fldCharType="begin"/>
          </w:r>
          <w:r>
            <w:instrText xml:space="preserve"> PAGEREF _Toc21056 \h </w:instrText>
          </w:r>
          <w:r>
            <w:fldChar w:fldCharType="separate"/>
          </w:r>
          <w:r>
            <w:t>5</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10"/>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_Toc25060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kern w:val="0"/>
              <w:szCs w:val="20"/>
              <w:lang w:val="en-US" w:eastAsia="zh-CN" w:bidi="ar"/>
            </w:rPr>
            <w:t>8.1 Pre-clinical and clinical data (MDR Annex II Section 6.1)</w:t>
          </w:r>
          <w:r>
            <w:tab/>
          </w:r>
          <w:r>
            <w:fldChar w:fldCharType="begin"/>
          </w:r>
          <w:r>
            <w:instrText xml:space="preserve"> PAGEREF _Toc25060 \h </w:instrText>
          </w:r>
          <w:r>
            <w:fldChar w:fldCharType="separate"/>
          </w:r>
          <w:r>
            <w:t>5</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_Toc13134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8.1.1 Animal tests (MDR Annex II Section 6.1(a))</w:t>
          </w:r>
          <w:r>
            <w:tab/>
          </w:r>
          <w:r>
            <w:fldChar w:fldCharType="begin"/>
          </w:r>
          <w:r>
            <w:instrText xml:space="preserve"> PAGEREF _Toc13134 \h </w:instrText>
          </w:r>
          <w:r>
            <w:fldChar w:fldCharType="separate"/>
          </w:r>
          <w:r>
            <w:t>5</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_Toc6332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8.1.2 Simulated use test (MDR Annex II Section 6.1(a))</w:t>
          </w:r>
          <w:r>
            <w:tab/>
          </w:r>
          <w:r>
            <w:fldChar w:fldCharType="begin"/>
          </w:r>
          <w:r>
            <w:instrText xml:space="preserve"> PAGEREF _Toc6332 \h </w:instrText>
          </w:r>
          <w:r>
            <w:fldChar w:fldCharType="separate"/>
          </w:r>
          <w:r>
            <w:t>5</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_Toc2911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8.1.3 Biocompatibility of the device (MDR Annex II Section 6.1(b))</w:t>
          </w:r>
          <w:r>
            <w:tab/>
          </w:r>
          <w:r>
            <w:fldChar w:fldCharType="begin"/>
          </w:r>
          <w:r>
            <w:instrText xml:space="preserve"> PAGEREF _Toc2911 \h </w:instrText>
          </w:r>
          <w:r>
            <w:fldChar w:fldCharType="separate"/>
          </w:r>
          <w:r>
            <w:t>5</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_Toc31452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8.1.4 Physical, chemical and microbiological characterisation (MDR Annex II Section 6.1(b))</w:t>
          </w:r>
          <w:r>
            <w:tab/>
          </w:r>
          <w:r>
            <w:fldChar w:fldCharType="begin"/>
          </w:r>
          <w:r>
            <w:instrText xml:space="preserve"> PAGEREF _Toc31452 \h </w:instrText>
          </w:r>
          <w:r>
            <w:fldChar w:fldCharType="separate"/>
          </w:r>
          <w:r>
            <w:t>5</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_Toc1448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8.1.5 Electrical Safety (MDR Annex II Section 6.1(b))</w:t>
          </w:r>
          <w:r>
            <w:tab/>
          </w:r>
          <w:r>
            <w:fldChar w:fldCharType="begin"/>
          </w:r>
          <w:r>
            <w:instrText xml:space="preserve"> PAGEREF _Toc1448 \h </w:instrText>
          </w:r>
          <w:r>
            <w:fldChar w:fldCharType="separate"/>
          </w:r>
          <w:r>
            <w:t>6</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_Toc2865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8.1.7 MRI safety testing of the device/device system (MDR Annex II Section 6.1(b))</w:t>
          </w:r>
          <w:r>
            <w:tab/>
          </w:r>
          <w:r>
            <w:fldChar w:fldCharType="begin"/>
          </w:r>
          <w:r>
            <w:instrText xml:space="preserve"> PAGEREF _Toc2865 \h </w:instrText>
          </w:r>
          <w:r>
            <w:fldChar w:fldCharType="separate"/>
          </w:r>
          <w:r>
            <w:t>6</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_Toc13244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8.1.8 Functional safety, software (MDR Annex II Section 6.1(b))</w:t>
          </w:r>
          <w:r>
            <w:tab/>
          </w:r>
          <w:r>
            <w:fldChar w:fldCharType="begin"/>
          </w:r>
          <w:r>
            <w:instrText xml:space="preserve"> PAGEREF _Toc13244 \h </w:instrText>
          </w:r>
          <w:r>
            <w:fldChar w:fldCharType="separate"/>
          </w:r>
          <w:r>
            <w:t>6</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_Toc19929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8.1.9 Cyber Security (MDR Annex II Section 6.1(b))</w:t>
          </w:r>
          <w:r>
            <w:tab/>
          </w:r>
          <w:r>
            <w:fldChar w:fldCharType="begin"/>
          </w:r>
          <w:r>
            <w:instrText xml:space="preserve"> PAGEREF _Toc19929 \h </w:instrText>
          </w:r>
          <w:r>
            <w:fldChar w:fldCharType="separate"/>
          </w:r>
          <w:r>
            <w:t>7</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_Toc18103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8.1.10 Software verification and validation (MDR Annex II Section 6.1(b))</w:t>
          </w:r>
          <w:r>
            <w:tab/>
          </w:r>
          <w:r>
            <w:fldChar w:fldCharType="begin"/>
          </w:r>
          <w:r>
            <w:instrText xml:space="preserve"> PAGEREF _Toc18103 \h </w:instrText>
          </w:r>
          <w:r>
            <w:fldChar w:fldCharType="separate"/>
          </w:r>
          <w:r>
            <w:t>7</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_Toc16171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8.1.11 Packaging (MDR Annex II Section 6.1(b))</w:t>
          </w:r>
          <w:r>
            <w:tab/>
          </w:r>
          <w:r>
            <w:fldChar w:fldCharType="begin"/>
          </w:r>
          <w:r>
            <w:instrText xml:space="preserve"> PAGEREF _Toc16171 \h </w:instrText>
          </w:r>
          <w:r>
            <w:fldChar w:fldCharType="separate"/>
          </w:r>
          <w:r>
            <w:t>7</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_Toc17048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The details can refer to section 09 Device packaging and transportation.</w:t>
          </w:r>
          <w:r>
            <w:tab/>
          </w:r>
          <w:r>
            <w:fldChar w:fldCharType="begin"/>
          </w:r>
          <w:r>
            <w:instrText xml:space="preserve"> PAGEREF _Toc17048 \h </w:instrText>
          </w:r>
          <w:r>
            <w:fldChar w:fldCharType="separate"/>
          </w:r>
          <w:r>
            <w:t>7</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_Toc28707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8.1.12 Stability and shelf life of the device (MDR Annex II Section 6.1(b))</w:t>
          </w:r>
          <w:r>
            <w:tab/>
          </w:r>
          <w:r>
            <w:fldChar w:fldCharType="begin"/>
          </w:r>
          <w:r>
            <w:instrText xml:space="preserve"> PAGEREF _Toc28707 \h </w:instrText>
          </w:r>
          <w:r>
            <w:fldChar w:fldCharType="separate"/>
          </w:r>
          <w:r>
            <w:t>7</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_Toc1403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8.1.13 Performance and safety (MDR Annex II Section 6.1(b))</w:t>
          </w:r>
          <w:r>
            <w:tab/>
          </w:r>
          <w:r>
            <w:fldChar w:fldCharType="begin"/>
          </w:r>
          <w:r>
            <w:instrText xml:space="preserve"> PAGEREF _Toc1403 \h </w:instrText>
          </w:r>
          <w:r>
            <w:fldChar w:fldCharType="separate"/>
          </w:r>
          <w:r>
            <w:t>7</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_Toc23356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8.1.14 Constructional and mechanical safety (MDR Annex II Section 4; 6)</w:t>
          </w:r>
          <w:r>
            <w:tab/>
          </w:r>
          <w:r>
            <w:fldChar w:fldCharType="begin"/>
          </w:r>
          <w:r>
            <w:instrText xml:space="preserve"> PAGEREF _Toc23356 \h </w:instrText>
          </w:r>
          <w:r>
            <w:fldChar w:fldCharType="separate"/>
          </w:r>
          <w:r>
            <w:t>7</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_Toc2450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8.1.15 Clinical data, CER, post-market clinical follow-up (PMCF) plan, and PMCF evaluation report (MDR Articles 10(3), 61; Annex II Section 6.1(c), 6.1(d); Annex III; Annex XIV)</w:t>
          </w:r>
          <w:r>
            <w:tab/>
          </w:r>
          <w:r>
            <w:fldChar w:fldCharType="begin"/>
          </w:r>
          <w:r>
            <w:instrText xml:space="preserve"> PAGEREF _Toc2450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10"/>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_Toc23795 </w:instrText>
          </w:r>
          <w:r>
            <w:rPr>
              <w:rFonts w:ascii="Times New Roman" w:hAnsi="Times New Roman" w:eastAsia="Tahoma-Bold" w:cs="Times New Roman"/>
              <w:bCs w:val="0"/>
              <w:kern w:val="0"/>
              <w:szCs w:val="20"/>
              <w:lang w:val="en-US" w:eastAsia="zh-CN" w:bidi="ar"/>
            </w:rPr>
            <w:fldChar w:fldCharType="separate"/>
          </w:r>
          <w:r>
            <w:rPr>
              <w:rFonts w:hint="eastAsia" w:eastAsia="Tahoma-Bold" w:cs="Times New Roman"/>
              <w:bCs w:val="0"/>
              <w:kern w:val="0"/>
              <w:szCs w:val="20"/>
              <w:lang w:val="en-US" w:eastAsia="zh-CN" w:bidi="ar"/>
            </w:rPr>
            <w:t>8</w:t>
          </w:r>
          <w:r>
            <w:rPr>
              <w:rFonts w:ascii="Times New Roman" w:hAnsi="Times New Roman" w:eastAsia="Tahoma-Bold" w:cs="Times New Roman"/>
              <w:bCs w:val="0"/>
              <w:kern w:val="0"/>
              <w:szCs w:val="20"/>
              <w:lang w:val="en-US" w:eastAsia="zh-CN" w:bidi="ar"/>
            </w:rPr>
            <w:t>.2</w:t>
          </w:r>
          <w:r>
            <w:rPr>
              <w:rFonts w:hint="eastAsia" w:eastAsia="Tahoma-Bold" w:cs="Times New Roman"/>
              <w:bCs w:val="0"/>
              <w:kern w:val="0"/>
              <w:szCs w:val="20"/>
              <w:lang w:val="en-US" w:eastAsia="zh-CN" w:bidi="ar"/>
            </w:rPr>
            <w:t xml:space="preserve"> </w:t>
          </w:r>
          <w:r>
            <w:rPr>
              <w:rFonts w:ascii="Times New Roman" w:hAnsi="Times New Roman" w:eastAsia="Tahoma-Bold" w:cs="Times New Roman"/>
              <w:bCs w:val="0"/>
              <w:kern w:val="0"/>
              <w:szCs w:val="20"/>
              <w:lang w:val="en-US" w:eastAsia="zh-CN" w:bidi="ar"/>
            </w:rPr>
            <w:t>Additional information required in specific cases (MDR Annex II Section 6.2)</w:t>
          </w:r>
          <w:r>
            <w:tab/>
          </w:r>
          <w:r>
            <w:fldChar w:fldCharType="begin"/>
          </w:r>
          <w:r>
            <w:instrText xml:space="preserve"> PAGEREF _Toc23795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_Toc16406 </w:instrText>
          </w:r>
          <w:r>
            <w:rPr>
              <w:rFonts w:ascii="Times New Roman" w:hAnsi="Times New Roman" w:eastAsia="Tahoma-Bold" w:cs="Times New Roman"/>
              <w:bCs w:val="0"/>
              <w:kern w:val="0"/>
              <w:szCs w:val="20"/>
              <w:lang w:val="en-US" w:eastAsia="zh-CN" w:bidi="ar"/>
            </w:rPr>
            <w:fldChar w:fldCharType="separate"/>
          </w:r>
          <w:r>
            <w:rPr>
              <w:rFonts w:hint="eastAsia" w:eastAsia="Tahoma-Bold" w:cs="Times New Roman"/>
              <w:bCs w:val="0"/>
              <w:kern w:val="0"/>
              <w:szCs w:val="20"/>
              <w:lang w:val="en-US" w:eastAsia="zh-CN" w:bidi="ar"/>
            </w:rPr>
            <w:t>8.2.1 Substances considered to be medicinal products</w:t>
          </w:r>
          <w:r>
            <w:tab/>
          </w:r>
          <w:r>
            <w:fldChar w:fldCharType="begin"/>
          </w:r>
          <w:r>
            <w:instrText xml:space="preserve"> PAGEREF _Toc16406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_Toc21898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8.2.2 Substances derived from human blood or human plasma (MDR Articles 1(6) lit. D and g, (8), (10); GSPR 12.1, 13.1)</w:t>
          </w:r>
          <w:r>
            <w:tab/>
          </w:r>
          <w:r>
            <w:fldChar w:fldCharType="begin"/>
          </w:r>
          <w:r>
            <w:instrText xml:space="preserve"> PAGEREF _Toc21898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_Toc5251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8.2.3 Tissues or cells of human origin (MDR Article 1(6) lit. d and g, (8), (10); GSPR 12.1, 13.1)</w:t>
          </w:r>
          <w:r>
            <w:tab/>
          </w:r>
          <w:r>
            <w:fldChar w:fldCharType="begin"/>
          </w:r>
          <w:r>
            <w:instrText xml:space="preserve"> PAGEREF _Toc5251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_Toc26058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8.2.4 Tissues of cells of animal origin (MDR Articles 1(6) lit. f; GSPR 12.1, 13.2)</w:t>
          </w:r>
          <w:r>
            <w:tab/>
          </w:r>
          <w:r>
            <w:fldChar w:fldCharType="begin"/>
          </w:r>
          <w:r>
            <w:instrText xml:space="preserve"> PAGEREF _Toc26058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_Toc25299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8.2.5 Materials of biological origin (MDR Article 1(6) lit. h; GSPR 13.3)</w:t>
          </w:r>
          <w:r>
            <w:tab/>
          </w:r>
          <w:r>
            <w:fldChar w:fldCharType="begin"/>
          </w:r>
          <w:r>
            <w:instrText xml:space="preserve"> PAGEREF _Toc25299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_Toc1737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8.2.6 Nanoparticle technology (MDR Annex II Section 1(1) lit. k)</w:t>
          </w:r>
          <w:r>
            <w:tab/>
          </w:r>
          <w:r>
            <w:fldChar w:fldCharType="begin"/>
          </w:r>
          <w:r>
            <w:instrText xml:space="preserve"> PAGEREF _Toc1737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_Toc16550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8.2.7 Substances or combinations of substances that are absorbed by or locally dispersed in the human body (MDR Annex II Section 6.2(c))</w:t>
          </w:r>
          <w:r>
            <w:tab/>
          </w:r>
          <w:r>
            <w:fldChar w:fldCharType="begin"/>
          </w:r>
          <w:r>
            <w:instrText xml:space="preserve"> PAGEREF _Toc16550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_Toc32007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8.2.8 CMR or endocrine-disrupting substances (MDR Annex II Section 6.2(d))</w:t>
          </w:r>
          <w:r>
            <w:tab/>
          </w:r>
          <w:r>
            <w:fldChar w:fldCharType="begin"/>
          </w:r>
          <w:r>
            <w:instrText xml:space="preserve"> PAGEREF _Toc32007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_Toc14440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lang w:val="en-US" w:eastAsia="zh-CN" w:bidi="ar"/>
            </w:rPr>
            <w:t>8.2.9 Sterile device or devices with defined microbiological condition (MDR Annex II Section 6.2(e))</w:t>
          </w:r>
          <w:r>
            <w:tab/>
          </w:r>
          <w:r>
            <w:fldChar w:fldCharType="begin"/>
          </w:r>
          <w:r>
            <w:instrText xml:space="preserve"> PAGEREF _Toc14440 \h </w:instrText>
          </w:r>
          <w:r>
            <w:fldChar w:fldCharType="separate"/>
          </w:r>
          <w:r>
            <w:t>8</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_Toc26982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8.2.10 Infection risk and reusable device(s) (MDR Annex II Section 6.2(e); Annex VI Section 4.10)</w:t>
          </w:r>
          <w:r>
            <w:tab/>
          </w:r>
          <w:r>
            <w:fldChar w:fldCharType="begin"/>
          </w:r>
          <w:r>
            <w:instrText xml:space="preserve"> PAGEREF _Toc26982 \h </w:instrText>
          </w:r>
          <w:r>
            <w:fldChar w:fldCharType="separate"/>
          </w:r>
          <w:r>
            <w:t>9</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_Toc20220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8.2.11 Device with a measuring function (MDR Annex II Section 6.2(f))</w:t>
          </w:r>
          <w:r>
            <w:tab/>
          </w:r>
          <w:r>
            <w:fldChar w:fldCharType="begin"/>
          </w:r>
          <w:r>
            <w:instrText xml:space="preserve"> PAGEREF _Toc20220 \h </w:instrText>
          </w:r>
          <w:r>
            <w:fldChar w:fldCharType="separate"/>
          </w:r>
          <w:r>
            <w:t>9</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_Toc3769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8.2.12 Devices connected to other device(s) (MDR Annex II Section 6.2(g))</w:t>
          </w:r>
          <w:r>
            <w:tab/>
          </w:r>
          <w:r>
            <w:fldChar w:fldCharType="begin"/>
          </w:r>
          <w:r>
            <w:instrText xml:space="preserve"> PAGEREF _Toc3769 \h </w:instrText>
          </w:r>
          <w:r>
            <w:fldChar w:fldCharType="separate"/>
          </w:r>
          <w:r>
            <w:t>9</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10"/>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_Toc12152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kern w:val="0"/>
              <w:szCs w:val="20"/>
              <w:lang w:val="en-US" w:eastAsia="zh-CN" w:bidi="ar"/>
            </w:rPr>
            <w:t>8.3 Additional regulations, procedures, directives, commission decisions</w:t>
          </w:r>
          <w:r>
            <w:tab/>
          </w:r>
          <w:r>
            <w:fldChar w:fldCharType="begin"/>
          </w:r>
          <w:r>
            <w:instrText xml:space="preserve"> PAGEREF _Toc12152 \h </w:instrText>
          </w:r>
          <w:r>
            <w:fldChar w:fldCharType="separate"/>
          </w:r>
          <w:r>
            <w:t>10</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_Toc22789 </w:instrText>
          </w:r>
          <w:r>
            <w:rPr>
              <w:rFonts w:ascii="Times New Roman" w:hAnsi="Times New Roman" w:eastAsia="Tahoma-Bold" w:cs="Times New Roman"/>
              <w:bCs w:val="0"/>
              <w:kern w:val="0"/>
              <w:szCs w:val="20"/>
              <w:lang w:val="en-US" w:eastAsia="zh-CN" w:bidi="ar"/>
            </w:rPr>
            <w:fldChar w:fldCharType="separate"/>
          </w:r>
          <w:r>
            <w:rPr>
              <w:rFonts w:hint="eastAsia" w:eastAsia="Tahoma-Bold" w:cs="Times New Roman"/>
              <w:bCs w:val="0"/>
              <w:kern w:val="0"/>
              <w:szCs w:val="20"/>
              <w:lang w:val="en-US" w:eastAsia="zh-CN" w:bidi="ar"/>
            </w:rPr>
            <w:t>8.3</w:t>
          </w:r>
          <w:r>
            <w:rPr>
              <w:rFonts w:ascii="Times New Roman" w:hAnsi="Times New Roman" w:eastAsia="Tahoma-Bold" w:cs="Times New Roman"/>
              <w:bCs w:val="0"/>
              <w:kern w:val="0"/>
              <w:szCs w:val="20"/>
              <w:lang w:val="en-US" w:eastAsia="zh-CN" w:bidi="ar"/>
            </w:rPr>
            <w:t>.1</w:t>
          </w:r>
          <w:r>
            <w:rPr>
              <w:rFonts w:hint="eastAsia" w:eastAsia="Tahoma-Bold" w:cs="Times New Roman"/>
              <w:bCs w:val="0"/>
              <w:kern w:val="0"/>
              <w:szCs w:val="20"/>
              <w:lang w:val="en-US" w:eastAsia="zh-CN" w:bidi="ar"/>
            </w:rPr>
            <w:t xml:space="preserve"> </w:t>
          </w:r>
          <w:r>
            <w:rPr>
              <w:rFonts w:ascii="Times New Roman" w:hAnsi="Times New Roman" w:eastAsia="Tahoma-Bold" w:cs="Times New Roman"/>
              <w:bCs w:val="0"/>
              <w:kern w:val="0"/>
              <w:szCs w:val="20"/>
              <w:lang w:val="en-US" w:eastAsia="zh-CN" w:bidi="ar"/>
            </w:rPr>
            <w:t>Summary of safety and clinical performance (SSCP) (MDR Article 32)</w:t>
          </w:r>
          <w:r>
            <w:tab/>
          </w:r>
          <w:r>
            <w:fldChar w:fldCharType="begin"/>
          </w:r>
          <w:r>
            <w:instrText xml:space="preserve"> PAGEREF _Toc22789 \h </w:instrText>
          </w:r>
          <w:r>
            <w:fldChar w:fldCharType="separate"/>
          </w:r>
          <w:r>
            <w:t>10</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_Toc30190 </w:instrText>
          </w:r>
          <w:r>
            <w:rPr>
              <w:rFonts w:ascii="Times New Roman" w:hAnsi="Times New Roman" w:eastAsia="Tahoma-Bold" w:cs="Times New Roman"/>
              <w:bCs w:val="0"/>
              <w:kern w:val="0"/>
              <w:szCs w:val="20"/>
              <w:lang w:val="en-US" w:eastAsia="zh-CN" w:bidi="ar"/>
            </w:rPr>
            <w:fldChar w:fldCharType="separate"/>
          </w:r>
          <w:r>
            <w:rPr>
              <w:rFonts w:hint="eastAsia" w:eastAsia="Tahoma-Bold" w:cs="Times New Roman"/>
              <w:bCs w:val="0"/>
              <w:iCs/>
              <w:kern w:val="0"/>
              <w:szCs w:val="20"/>
              <w:lang w:val="en-US" w:eastAsia="zh-CN" w:bidi="ar"/>
            </w:rPr>
            <w:t>8.3</w:t>
          </w:r>
          <w:r>
            <w:rPr>
              <w:rFonts w:hint="eastAsia" w:ascii="Times New Roman" w:hAnsi="Times New Roman" w:eastAsia="Tahoma-Bold" w:cs="Times New Roman"/>
              <w:bCs w:val="0"/>
              <w:iCs/>
              <w:kern w:val="0"/>
              <w:szCs w:val="20"/>
              <w:lang w:val="en-US" w:eastAsia="zh-CN" w:bidi="ar"/>
            </w:rPr>
            <w:t>.2 Periodic safety update report (PSUR)(MDR Article 86, Annex III)/Post-market surveillance report (PMS-report)(MDR Articles 85, Annex III)</w:t>
          </w:r>
          <w:r>
            <w:tab/>
          </w:r>
          <w:r>
            <w:fldChar w:fldCharType="begin"/>
          </w:r>
          <w:r>
            <w:instrText xml:space="preserve"> PAGEREF _Toc30190 \h </w:instrText>
          </w:r>
          <w:r>
            <w:fldChar w:fldCharType="separate"/>
          </w:r>
          <w:r>
            <w:t>10</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_Toc23474 </w:instrText>
          </w:r>
          <w:r>
            <w:rPr>
              <w:rFonts w:ascii="Times New Roman" w:hAnsi="Times New Roman" w:eastAsia="Tahoma-Bold" w:cs="Times New Roman"/>
              <w:bCs w:val="0"/>
              <w:kern w:val="0"/>
              <w:szCs w:val="20"/>
              <w:lang w:val="en-US" w:eastAsia="zh-CN" w:bidi="ar"/>
            </w:rPr>
            <w:fldChar w:fldCharType="separate"/>
          </w:r>
          <w:r>
            <w:rPr>
              <w:rFonts w:hint="eastAsia" w:ascii="Times New Roman" w:hAnsi="Times New Roman" w:eastAsia="Tahoma-Bold" w:cs="Times New Roman"/>
              <w:bCs w:val="0"/>
              <w:kern w:val="0"/>
              <w:szCs w:val="20"/>
              <w:highlight w:val="none"/>
              <w:lang w:val="en-US" w:eastAsia="zh-CN" w:bidi="ar"/>
            </w:rPr>
            <w:t>8.3</w:t>
          </w:r>
          <w:r>
            <w:rPr>
              <w:rFonts w:ascii="Times New Roman" w:hAnsi="Times New Roman" w:eastAsia="Tahoma-Bold" w:cs="Times New Roman"/>
              <w:bCs w:val="0"/>
              <w:kern w:val="0"/>
              <w:szCs w:val="20"/>
              <w:highlight w:val="none"/>
              <w:lang w:val="en-US" w:eastAsia="zh-CN" w:bidi="ar"/>
            </w:rPr>
            <w:t>.3</w:t>
          </w:r>
          <w:r>
            <w:rPr>
              <w:rFonts w:hint="eastAsia" w:eastAsia="Tahoma-Bold" w:cs="Times New Roman"/>
              <w:bCs w:val="0"/>
              <w:kern w:val="0"/>
              <w:szCs w:val="20"/>
              <w:highlight w:val="none"/>
              <w:lang w:val="en-US" w:eastAsia="zh-CN" w:bidi="ar"/>
            </w:rPr>
            <w:t xml:space="preserve"> </w:t>
          </w:r>
          <w:r>
            <w:rPr>
              <w:rFonts w:ascii="Times New Roman" w:hAnsi="Times New Roman" w:eastAsia="Tahoma-Bold" w:cs="Times New Roman"/>
              <w:bCs w:val="0"/>
              <w:kern w:val="0"/>
              <w:szCs w:val="20"/>
              <w:highlight w:val="none"/>
              <w:lang w:val="en-US" w:eastAsia="zh-CN" w:bidi="ar"/>
            </w:rPr>
            <w:t>Environmental protection, safe disposal (GSPR 14.7)</w:t>
          </w:r>
          <w:r>
            <w:tab/>
          </w:r>
          <w:r>
            <w:fldChar w:fldCharType="begin"/>
          </w:r>
          <w:r>
            <w:instrText xml:space="preserve"> PAGEREF _Toc23474 \h </w:instrText>
          </w:r>
          <w:r>
            <w:fldChar w:fldCharType="separate"/>
          </w:r>
          <w:r>
            <w:t>10</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_Toc6492 </w:instrText>
          </w:r>
          <w:r>
            <w:rPr>
              <w:rFonts w:ascii="Times New Roman" w:hAnsi="Times New Roman" w:eastAsia="Tahoma-Bold" w:cs="Times New Roman"/>
              <w:bCs w:val="0"/>
              <w:kern w:val="0"/>
              <w:szCs w:val="20"/>
              <w:lang w:val="en-US" w:eastAsia="zh-CN" w:bidi="ar"/>
            </w:rPr>
            <w:fldChar w:fldCharType="separate"/>
          </w:r>
          <w:r>
            <w:rPr>
              <w:rFonts w:hint="eastAsia" w:eastAsia="Tahoma-Bold" w:cs="Times New Roman"/>
              <w:bCs w:val="0"/>
              <w:kern w:val="0"/>
              <w:szCs w:val="20"/>
              <w:lang w:val="en-US" w:eastAsia="zh-CN" w:bidi="ar"/>
            </w:rPr>
            <w:t>8.3</w:t>
          </w:r>
          <w:r>
            <w:rPr>
              <w:rFonts w:ascii="Times New Roman" w:hAnsi="Times New Roman" w:eastAsia="Tahoma-Bold" w:cs="Times New Roman"/>
              <w:bCs w:val="0"/>
              <w:kern w:val="0"/>
              <w:szCs w:val="20"/>
              <w:lang w:val="en-US" w:eastAsia="zh-CN" w:bidi="ar"/>
            </w:rPr>
            <w:t>.4</w:t>
          </w:r>
          <w:r>
            <w:rPr>
              <w:rFonts w:hint="eastAsia" w:eastAsia="Tahoma-Bold" w:cs="Times New Roman"/>
              <w:bCs w:val="0"/>
              <w:kern w:val="0"/>
              <w:szCs w:val="20"/>
              <w:lang w:val="en-US" w:eastAsia="zh-CN" w:bidi="ar"/>
            </w:rPr>
            <w:t xml:space="preserve"> </w:t>
          </w:r>
          <w:r>
            <w:rPr>
              <w:rFonts w:ascii="Times New Roman" w:hAnsi="Times New Roman" w:eastAsia="Tahoma-Bold" w:cs="Times New Roman"/>
              <w:bCs w:val="0"/>
              <w:kern w:val="0"/>
              <w:szCs w:val="20"/>
              <w:lang w:val="en-US" w:eastAsia="zh-CN" w:bidi="ar"/>
            </w:rPr>
            <w:t>Personal Protective Equipment Directive 89/686/EEC</w:t>
          </w:r>
          <w:r>
            <w:tab/>
          </w:r>
          <w:r>
            <w:fldChar w:fldCharType="begin"/>
          </w:r>
          <w:r>
            <w:instrText xml:space="preserve"> PAGEREF _Toc6492 \h </w:instrText>
          </w:r>
          <w:r>
            <w:fldChar w:fldCharType="separate"/>
          </w:r>
          <w:r>
            <w:t>10</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6"/>
            <w:tabs>
              <w:tab w:val="right" w:leader="dot" w:pos="8306"/>
            </w:tabs>
          </w:pPr>
          <w:r>
            <w:rPr>
              <w:rFonts w:ascii="Times New Roman" w:hAnsi="Times New Roman" w:eastAsia="Tahoma-Bold" w:cs="Times New Roman"/>
              <w:bCs w:val="0"/>
              <w:color w:val="auto"/>
              <w:kern w:val="0"/>
              <w:szCs w:val="20"/>
              <w:lang w:val="en-US" w:eastAsia="zh-CN" w:bidi="ar"/>
            </w:rPr>
            <w:fldChar w:fldCharType="begin"/>
          </w:r>
          <w:r>
            <w:rPr>
              <w:rFonts w:ascii="Times New Roman" w:hAnsi="Times New Roman" w:eastAsia="Tahoma-Bold" w:cs="Times New Roman"/>
              <w:bCs w:val="0"/>
              <w:kern w:val="0"/>
              <w:szCs w:val="20"/>
              <w:lang w:val="en-US" w:eastAsia="zh-CN" w:bidi="ar"/>
            </w:rPr>
            <w:instrText xml:space="preserve"> HYPERLINK \l _Toc26158 </w:instrText>
          </w:r>
          <w:r>
            <w:rPr>
              <w:rFonts w:ascii="Times New Roman" w:hAnsi="Times New Roman" w:eastAsia="Tahoma-Bold" w:cs="Times New Roman"/>
              <w:bCs w:val="0"/>
              <w:kern w:val="0"/>
              <w:szCs w:val="20"/>
              <w:lang w:val="en-US" w:eastAsia="zh-CN" w:bidi="ar"/>
            </w:rPr>
            <w:fldChar w:fldCharType="separate"/>
          </w:r>
          <w:r>
            <w:rPr>
              <w:rFonts w:hint="eastAsia" w:eastAsia="Tahoma-Bold" w:cs="Times New Roman"/>
              <w:bCs w:val="0"/>
              <w:kern w:val="0"/>
              <w:szCs w:val="20"/>
              <w:lang w:val="en-US" w:eastAsia="zh-CN" w:bidi="ar"/>
            </w:rPr>
            <w:t>8.3</w:t>
          </w:r>
          <w:r>
            <w:rPr>
              <w:rFonts w:ascii="Times New Roman" w:hAnsi="Times New Roman" w:eastAsia="Tahoma-Bold" w:cs="Times New Roman"/>
              <w:bCs w:val="0"/>
              <w:kern w:val="0"/>
              <w:szCs w:val="20"/>
              <w:lang w:val="en-US" w:eastAsia="zh-CN" w:bidi="ar"/>
            </w:rPr>
            <w:t>.5</w:t>
          </w:r>
          <w:r>
            <w:rPr>
              <w:rFonts w:hint="eastAsia" w:eastAsia="Tahoma-Bold" w:cs="Times New Roman"/>
              <w:bCs w:val="0"/>
              <w:kern w:val="0"/>
              <w:szCs w:val="20"/>
              <w:lang w:val="en-US" w:eastAsia="zh-CN" w:bidi="ar"/>
            </w:rPr>
            <w:t xml:space="preserve"> </w:t>
          </w:r>
          <w:r>
            <w:rPr>
              <w:rFonts w:ascii="Times New Roman" w:hAnsi="Times New Roman" w:eastAsia="Tahoma-Bold" w:cs="Times New Roman"/>
              <w:bCs w:val="0"/>
              <w:kern w:val="0"/>
              <w:szCs w:val="20"/>
              <w:lang w:val="en-US" w:eastAsia="zh-CN" w:bidi="ar"/>
            </w:rPr>
            <w:t>Other regulatory requirements</w:t>
          </w:r>
          <w:r>
            <w:tab/>
          </w:r>
          <w:r>
            <w:fldChar w:fldCharType="begin"/>
          </w:r>
          <w:r>
            <w:instrText xml:space="preserve"> PAGEREF _Toc26158 \h </w:instrText>
          </w:r>
          <w:r>
            <w:fldChar w:fldCharType="separate"/>
          </w:r>
          <w:r>
            <w:t>10</w:t>
          </w:r>
          <w:r>
            <w:fldChar w:fldCharType="end"/>
          </w:r>
          <w:r>
            <w:rPr>
              <w:rFonts w:ascii="Times New Roman" w:hAnsi="Times New Roman" w:eastAsia="Tahoma-Bold" w:cs="Times New Roman"/>
              <w:bCs w:val="0"/>
              <w:color w:val="auto"/>
              <w:kern w:val="0"/>
              <w:szCs w:val="20"/>
              <w:lang w:val="en-US" w:eastAsia="zh-CN" w:bidi="ar"/>
            </w:rPr>
            <w:fldChar w:fldCharType="end"/>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ascii="Times New Roman" w:hAnsi="Times New Roman" w:eastAsia="Tahoma-Bold" w:cs="Times New Roman"/>
              <w:b w:val="0"/>
              <w:bCs w:val="0"/>
              <w:color w:val="auto"/>
              <w:kern w:val="0"/>
              <w:sz w:val="21"/>
              <w:szCs w:val="20"/>
              <w:lang w:val="en-US" w:eastAsia="zh-CN" w:bidi="ar"/>
            </w:rPr>
          </w:pPr>
          <w:r>
            <w:rPr>
              <w:rFonts w:ascii="Times New Roman" w:hAnsi="Times New Roman" w:eastAsia="Tahoma-Bold" w:cs="Times New Roman"/>
              <w:bCs w:val="0"/>
              <w:color w:val="auto"/>
              <w:kern w:val="0"/>
              <w:szCs w:val="20"/>
              <w:lang w:val="en-US" w:eastAsia="zh-CN" w:bidi="ar"/>
            </w:rPr>
            <w:fldChar w:fldCharType="end"/>
          </w:r>
        </w:p>
      </w:sdtContent>
    </w:sdt>
    <w:p>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ascii="Times New Roman" w:hAnsi="Times New Roman" w:eastAsia="Tahoma-Bold" w:cs="Times New Roman"/>
          <w:b w:val="0"/>
          <w:bCs w:val="0"/>
          <w:color w:val="auto"/>
          <w:kern w:val="0"/>
          <w:sz w:val="21"/>
          <w:szCs w:val="20"/>
          <w:lang w:val="en-US" w:eastAsia="zh-CN" w:bidi="ar"/>
        </w:rPr>
      </w:pPr>
    </w:p>
    <w:p>
      <w:pPr>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rPr>
          <w:rFonts w:hint="eastAsia" w:ascii="Times New Roman" w:hAnsi="Times New Roman" w:eastAsia="Tahoma-Bold" w:cs="Times New Roman"/>
          <w:b/>
          <w:bCs/>
          <w:color w:val="auto"/>
          <w:kern w:val="0"/>
          <w:sz w:val="21"/>
          <w:szCs w:val="20"/>
          <w:lang w:val="en-US" w:eastAsia="zh-CN" w:bidi="ar"/>
        </w:rPr>
      </w:pPr>
      <w:bookmarkStart w:id="7" w:name="_Toc21056"/>
      <w:r>
        <w:rPr>
          <w:rFonts w:hint="eastAsia" w:ascii="Times New Roman" w:hAnsi="Times New Roman" w:eastAsia="Tahoma-Bold" w:cs="Times New Roman"/>
          <w:b/>
          <w:bCs/>
          <w:color w:val="auto"/>
          <w:kern w:val="0"/>
          <w:sz w:val="21"/>
          <w:szCs w:val="20"/>
          <w:lang w:val="en-US" w:eastAsia="zh-CN" w:bidi="ar"/>
        </w:rPr>
        <w:br w:type="page"/>
      </w:r>
    </w:p>
    <w:p>
      <w:pPr>
        <w:pStyle w:val="2"/>
        <w:pageBreakBefore w:val="0"/>
        <w:numPr>
          <w:ilvl w:val="0"/>
          <w:numId w:val="0"/>
        </w:numPr>
        <w:kinsoku/>
        <w:wordWrap/>
        <w:overflowPunct/>
        <w:topLinePunct w:val="0"/>
        <w:bidi w:val="0"/>
        <w:snapToGrid/>
        <w:spacing w:line="360" w:lineRule="auto"/>
        <w:ind w:leftChars="0"/>
        <w:outlineLvl w:val="0"/>
        <w:rPr>
          <w:rFonts w:ascii="Times New Roman" w:hAnsi="Times New Roman" w:eastAsia="Tahoma-Bold" w:cs="Times New Roman"/>
          <w:b/>
          <w:bCs/>
          <w:color w:val="auto"/>
          <w:kern w:val="0"/>
          <w:sz w:val="21"/>
          <w:szCs w:val="20"/>
          <w:lang w:val="en-US" w:eastAsia="zh-CN" w:bidi="ar"/>
        </w:rPr>
      </w:pPr>
      <w:r>
        <w:rPr>
          <w:rFonts w:hint="eastAsia" w:ascii="Times New Roman" w:hAnsi="Times New Roman" w:eastAsia="Tahoma-Bold" w:cs="Times New Roman"/>
          <w:b/>
          <w:bCs/>
          <w:color w:val="auto"/>
          <w:kern w:val="0"/>
          <w:sz w:val="21"/>
          <w:szCs w:val="20"/>
          <w:lang w:val="en-US" w:eastAsia="zh-CN" w:bidi="ar"/>
        </w:rPr>
        <w:t xml:space="preserve">8 </w:t>
      </w:r>
      <w:r>
        <w:rPr>
          <w:rFonts w:ascii="Times New Roman" w:hAnsi="Times New Roman" w:eastAsia="Tahoma-Bold" w:cs="Times New Roman"/>
          <w:b/>
          <w:bCs/>
          <w:color w:val="auto"/>
          <w:kern w:val="0"/>
          <w:sz w:val="21"/>
          <w:szCs w:val="20"/>
          <w:lang w:val="en-US" w:eastAsia="zh-CN" w:bidi="ar"/>
        </w:rPr>
        <w:t>Product Verification and Validation (MDR ANNEX II SECTION 6)</w:t>
      </w:r>
      <w:bookmarkEnd w:id="7"/>
    </w:p>
    <w:p>
      <w:pPr>
        <w:pStyle w:val="2"/>
        <w:pageBreakBefore w:val="0"/>
        <w:kinsoku/>
        <w:wordWrap/>
        <w:overflowPunct/>
        <w:topLinePunct w:val="0"/>
        <w:bidi w:val="0"/>
        <w:snapToGrid/>
        <w:spacing w:line="360" w:lineRule="auto"/>
        <w:outlineLvl w:val="1"/>
        <w:rPr>
          <w:rFonts w:hint="eastAsia" w:ascii="Times New Roman" w:hAnsi="Times New Roman" w:eastAsia="Tahoma-Bold" w:cs="Times New Roman"/>
          <w:b/>
          <w:bCs/>
          <w:color w:val="auto"/>
          <w:kern w:val="0"/>
          <w:sz w:val="21"/>
          <w:szCs w:val="20"/>
          <w:lang w:val="en-US" w:eastAsia="zh-CN" w:bidi="ar"/>
        </w:rPr>
      </w:pPr>
      <w:bookmarkStart w:id="8" w:name="_Toc25060"/>
      <w:r>
        <w:rPr>
          <w:rFonts w:hint="eastAsia" w:ascii="Times New Roman" w:hAnsi="Times New Roman" w:eastAsia="Tahoma-Bold" w:cs="Times New Roman"/>
          <w:b/>
          <w:bCs/>
          <w:color w:val="auto"/>
          <w:kern w:val="0"/>
          <w:sz w:val="21"/>
          <w:szCs w:val="20"/>
          <w:lang w:val="en-US" w:eastAsia="zh-CN" w:bidi="ar"/>
        </w:rPr>
        <w:t>8.1 Pre-clinical and clinical data (MDR Annex II Section 6.1)</w:t>
      </w:r>
      <w:bookmarkEnd w:id="8"/>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9" w:name="_Toc13134"/>
      <w:bookmarkStart w:id="10" w:name="_Toc27940"/>
      <w:r>
        <w:rPr>
          <w:rFonts w:hint="eastAsia" w:ascii="Times New Roman" w:hAnsi="Times New Roman" w:eastAsia="Tahoma-Bold" w:cs="Times New Roman"/>
          <w:b w:val="0"/>
          <w:bCs w:val="0"/>
          <w:color w:val="auto"/>
          <w:kern w:val="0"/>
          <w:sz w:val="21"/>
          <w:szCs w:val="20"/>
          <w:lang w:val="en-US" w:eastAsia="zh-CN" w:bidi="ar"/>
        </w:rPr>
        <w:t>8.1.1 Animal tests (MDR Annex II Section 6.1(a))</w:t>
      </w:r>
      <w:bookmarkEnd w:id="9"/>
      <w:bookmarkEnd w:id="10"/>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No Animal tests were conducted.)</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highlight w:val="none"/>
          <w:lang w:val="en-US" w:eastAsia="zh-CN" w:bidi="ar"/>
        </w:rPr>
      </w:pPr>
      <w:bookmarkStart w:id="11" w:name="_Toc5863"/>
      <w:bookmarkStart w:id="12" w:name="_Toc6332"/>
      <w:r>
        <w:rPr>
          <w:rFonts w:hint="eastAsia" w:ascii="Times New Roman" w:hAnsi="Times New Roman" w:eastAsia="Tahoma-Bold" w:cs="Times New Roman"/>
          <w:b w:val="0"/>
          <w:bCs w:val="0"/>
          <w:color w:val="auto"/>
          <w:kern w:val="0"/>
          <w:sz w:val="21"/>
          <w:szCs w:val="20"/>
          <w:highlight w:val="none"/>
          <w:lang w:val="en-US" w:eastAsia="zh-CN" w:bidi="ar"/>
        </w:rPr>
        <w:t>8.1.2 Simulated use test (MDR Annex II Section 6.1(a))</w:t>
      </w:r>
      <w:bookmarkEnd w:id="11"/>
      <w:bookmarkEnd w:id="12"/>
    </w:p>
    <w:p>
      <w:pPr>
        <w:pageBreakBefore w:val="0"/>
        <w:widowControl/>
        <w:kinsoku/>
        <w:wordWrap/>
        <w:overflowPunct/>
        <w:topLinePunct w:val="0"/>
        <w:autoSpaceDE w:val="0"/>
        <w:bidi w:val="0"/>
        <w:snapToGrid/>
        <w:spacing w:line="360" w:lineRule="auto"/>
        <w:jc w:val="left"/>
        <w:rPr>
          <w:rFonts w:hint="eastAsia"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w:t>
      </w:r>
    </w:p>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We conduct a Simulated use test for the device. The details can refer to Appendix 8.1 Summary and simulated use test protocols reports.</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752"/>
        <w:gridCol w:w="4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Borders>
              <w:top w:val="single" w:color="auto" w:sz="4" w:space="0"/>
              <w:left w:val="single" w:color="auto" w:sz="4" w:space="0"/>
              <w:bottom w:val="single" w:color="auto" w:sz="4" w:space="0"/>
              <w:right w:val="single" w:color="auto" w:sz="4" w:space="0"/>
            </w:tcBorders>
            <w:shd w:val="clear" w:color="auto" w:fill="auto"/>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SN</w:t>
            </w:r>
          </w:p>
        </w:tc>
        <w:tc>
          <w:tcPr>
            <w:tcW w:w="1615" w:type="pct"/>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Document</w:t>
            </w:r>
          </w:p>
        </w:tc>
        <w:tc>
          <w:tcPr>
            <w:tcW w:w="2853" w:type="pct"/>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Borders>
              <w:top w:val="single" w:color="auto" w:sz="4" w:space="0"/>
              <w:left w:val="single" w:color="auto" w:sz="4" w:space="0"/>
              <w:bottom w:val="single" w:color="auto" w:sz="4" w:space="0"/>
              <w:right w:val="single" w:color="auto" w:sz="4" w:space="0"/>
            </w:tcBorders>
            <w:shd w:val="clear" w:color="auto" w:fill="auto"/>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1</w:t>
            </w:r>
          </w:p>
        </w:tc>
        <w:tc>
          <w:tcPr>
            <w:tcW w:w="1615" w:type="pct"/>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Simulation test report of Reusable temperature probe</w:t>
            </w:r>
          </w:p>
        </w:tc>
        <w:tc>
          <w:tcPr>
            <w:tcW w:w="2853" w:type="pct"/>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Appendix 8.1 Summary and simulated use test protocols/reports</w:t>
            </w:r>
          </w:p>
        </w:tc>
      </w:tr>
    </w:tbl>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highlight w:val="none"/>
          <w:lang w:val="en-US" w:eastAsia="zh-CN" w:bidi="ar"/>
        </w:rPr>
      </w:pPr>
      <w:bookmarkStart w:id="13" w:name="_Toc2911"/>
      <w:bookmarkStart w:id="14" w:name="_Toc3829"/>
      <w:r>
        <w:rPr>
          <w:rFonts w:hint="eastAsia" w:ascii="Times New Roman" w:hAnsi="Times New Roman" w:eastAsia="Tahoma-Bold" w:cs="Times New Roman"/>
          <w:b w:val="0"/>
          <w:bCs w:val="0"/>
          <w:color w:val="auto"/>
          <w:kern w:val="0"/>
          <w:sz w:val="21"/>
          <w:szCs w:val="20"/>
          <w:highlight w:val="none"/>
          <w:lang w:val="en-US" w:eastAsia="zh-CN" w:bidi="ar"/>
        </w:rPr>
        <w:t>8.1.3 Biocompatibility of the device (MDR Annex II Section 6.1(b))</w:t>
      </w:r>
      <w:bookmarkEnd w:id="13"/>
      <w:bookmarkEnd w:id="14"/>
    </w:p>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We conduct a biological safety risk assessment for the device. The details can refer to Appendix 8.2.1 Biocompatibility test protocols and reports and Appendix 8.2.2 Overall biological safety assessment. Meanwhile, the Qualification of test laboratories also can refer to Appendix 8.2.4 Qualification of test laboratories. Evidence of qualification of experts can refer to Appendix 8.2.3 Evidence of qualification of experts.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4002"/>
        <w:gridCol w:w="3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SN</w:t>
            </w:r>
          </w:p>
        </w:tc>
        <w:tc>
          <w:tcPr>
            <w:tcW w:w="4002" w:type="dxa"/>
            <w:tcBorders>
              <w:top w:val="single" w:color="auto" w:sz="4" w:space="0"/>
              <w:left w:val="nil"/>
              <w:bottom w:val="single" w:color="auto" w:sz="4" w:space="0"/>
              <w:right w:val="single" w:color="auto" w:sz="4" w:space="0"/>
            </w:tcBorders>
            <w:shd w:val="clear" w:color="auto" w:fill="auto"/>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Document</w:t>
            </w:r>
          </w:p>
        </w:tc>
        <w:tc>
          <w:tcPr>
            <w:tcW w:w="3847" w:type="dxa"/>
            <w:tcBorders>
              <w:top w:val="single" w:color="auto" w:sz="4" w:space="0"/>
              <w:left w:val="nil"/>
              <w:bottom w:val="single" w:color="auto" w:sz="4" w:space="0"/>
              <w:right w:val="single" w:color="auto" w:sz="4" w:space="0"/>
            </w:tcBorders>
            <w:shd w:val="clear" w:color="auto" w:fill="auto"/>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Borders>
              <w:top w:val="single" w:color="auto" w:sz="4" w:space="0"/>
              <w:left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1</w:t>
            </w:r>
          </w:p>
        </w:tc>
        <w:tc>
          <w:tcPr>
            <w:tcW w:w="4002" w:type="dxa"/>
            <w:tcBorders>
              <w:top w:val="single" w:color="auto" w:sz="4" w:space="0"/>
              <w:left w:val="nil"/>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Biocompatibility test protocols and reports</w:t>
            </w:r>
          </w:p>
        </w:tc>
        <w:tc>
          <w:tcPr>
            <w:tcW w:w="3847" w:type="dxa"/>
            <w:tcBorders>
              <w:top w:val="single" w:color="auto" w:sz="4" w:space="0"/>
              <w:left w:val="nil"/>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Appendix 8.2.1 Biocompatibility test protocols and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2</w:t>
            </w:r>
          </w:p>
        </w:tc>
        <w:tc>
          <w:tcPr>
            <w:tcW w:w="4002" w:type="dxa"/>
            <w:tcBorders>
              <w:left w:val="nil"/>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Overall biological safety assessment</w:t>
            </w:r>
          </w:p>
        </w:tc>
        <w:tc>
          <w:tcPr>
            <w:tcW w:w="3847" w:type="dxa"/>
            <w:tcBorders>
              <w:left w:val="nil"/>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Appendix 8.2.2 Overall biological safety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3</w:t>
            </w:r>
          </w:p>
        </w:tc>
        <w:tc>
          <w:tcPr>
            <w:tcW w:w="4002" w:type="dxa"/>
            <w:tcBorders>
              <w:left w:val="nil"/>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Evidence of qualification of experts</w:t>
            </w:r>
          </w:p>
        </w:tc>
        <w:tc>
          <w:tcPr>
            <w:tcW w:w="3847" w:type="dxa"/>
            <w:tcBorders>
              <w:left w:val="nil"/>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Appendix 8.2.3 Evidence of qualification of experts.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Borders>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4</w:t>
            </w:r>
          </w:p>
        </w:tc>
        <w:tc>
          <w:tcPr>
            <w:tcW w:w="4002" w:type="dxa"/>
            <w:tcBorders>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Qualification of test laboratories.</w:t>
            </w:r>
          </w:p>
        </w:tc>
        <w:tc>
          <w:tcPr>
            <w:tcW w:w="3847" w:type="dxa"/>
            <w:tcBorders>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 xml:space="preserve">Appendix 8.2.4 Qualification of test laboratories. </w:t>
            </w:r>
          </w:p>
        </w:tc>
      </w:tr>
    </w:tbl>
    <w:p>
      <w:pPr>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15" w:name="_Toc29303"/>
      <w:bookmarkStart w:id="16" w:name="_Toc31452"/>
      <w:r>
        <w:rPr>
          <w:rFonts w:hint="eastAsia" w:ascii="Times New Roman" w:hAnsi="Times New Roman" w:eastAsia="Tahoma-Bold" w:cs="Times New Roman"/>
          <w:b w:val="0"/>
          <w:bCs w:val="0"/>
          <w:color w:val="auto"/>
          <w:kern w:val="0"/>
          <w:sz w:val="21"/>
          <w:szCs w:val="20"/>
          <w:lang w:val="en-US" w:eastAsia="zh-CN" w:bidi="ar"/>
        </w:rPr>
        <w:t>8.1.4 Physical, chemical and microbiological characterisation (MDR Annex II Section 6.1(b))</w:t>
      </w:r>
      <w:bookmarkEnd w:id="15"/>
      <w:bookmarkEnd w:id="16"/>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r>
        <w:rPr>
          <w:rFonts w:hint="eastAsia" w:ascii="Times New Roman" w:hAnsi="Times New Roman" w:eastAsia="Tahoma-Bold" w:cs="Times New Roman"/>
          <w:b w:val="0"/>
          <w:bCs w:val="0"/>
          <w:color w:val="auto"/>
          <w:kern w:val="0"/>
          <w:sz w:val="21"/>
          <w:szCs w:val="20"/>
          <w:lang w:val="en-US" w:eastAsia="zh-CN" w:bidi="ar"/>
        </w:rPr>
        <w:t>The Physical, chemical and microbiological characterisation are as below.</w:t>
      </w:r>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210"/>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SN</w:t>
            </w:r>
          </w:p>
        </w:tc>
        <w:tc>
          <w:tcPr>
            <w:tcW w:w="32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Document</w:t>
            </w:r>
          </w:p>
        </w:tc>
        <w:tc>
          <w:tcPr>
            <w:tcW w:w="40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1</w:t>
            </w:r>
          </w:p>
        </w:tc>
        <w:tc>
          <w:tcPr>
            <w:tcW w:w="32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eastAsia="Times New Roman" w:cs="Times New Roman"/>
                <w:b/>
                <w:bCs/>
                <w:i/>
                <w:iCs/>
                <w:color w:val="0000FF"/>
                <w:lang w:val="nl-NL" w:eastAsia="zh-CN"/>
              </w:rPr>
            </w:pPr>
            <w:r>
              <w:rPr>
                <w:rFonts w:hint="default" w:eastAsia="Times New Roman" w:cs="Times New Roman"/>
                <w:b/>
                <w:bCs/>
                <w:i/>
                <w:iCs/>
                <w:color w:val="0000FF"/>
                <w:lang w:val="nl-NL" w:eastAsia="zh-CN"/>
              </w:rPr>
              <w:t>Material characterisation test protocols and reports</w:t>
            </w:r>
          </w:p>
        </w:tc>
        <w:tc>
          <w:tcPr>
            <w:tcW w:w="40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eastAsia="Times New Roman" w:cs="Times New Roman"/>
                <w:b/>
                <w:bCs/>
                <w:i/>
                <w:iCs/>
                <w:color w:val="0000FF"/>
                <w:lang w:val="nl-NL" w:eastAsia="zh-CN"/>
              </w:rPr>
            </w:pPr>
            <w:r>
              <w:rPr>
                <w:rFonts w:hint="eastAsia" w:eastAsia="Times New Roman" w:cs="Times New Roman"/>
                <w:b/>
                <w:bCs/>
                <w:i/>
                <w:iCs/>
                <w:color w:val="0000FF"/>
                <w:lang w:val="en-US" w:eastAsia="zh-CN"/>
              </w:rPr>
              <w:t xml:space="preserve">Appendix 8.3.1 </w:t>
            </w:r>
            <w:r>
              <w:rPr>
                <w:rFonts w:hint="default" w:eastAsia="Times New Roman" w:cs="Times New Roman"/>
                <w:b/>
                <w:bCs/>
                <w:i/>
                <w:iCs/>
                <w:color w:val="0000FF"/>
                <w:lang w:val="en-US" w:eastAsia="zh-CN"/>
              </w:rPr>
              <w:t>Material characterisation test protocols and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b/>
                <w:bCs/>
                <w:i/>
                <w:iCs/>
                <w:color w:val="0000FF"/>
                <w:lang w:val="nl-NL" w:eastAsia="zh-CN"/>
              </w:rPr>
            </w:pPr>
            <w:r>
              <w:rPr>
                <w:rFonts w:hint="default" w:ascii="Times New Roman" w:hAnsi="Times New Roman" w:cs="Times New Roman"/>
                <w:b/>
                <w:bCs/>
                <w:i/>
                <w:iCs/>
                <w:color w:val="0000FF"/>
                <w:lang w:val="nl-NL" w:eastAsia="zh-CN"/>
              </w:rPr>
              <w:t>2</w:t>
            </w:r>
          </w:p>
        </w:tc>
        <w:tc>
          <w:tcPr>
            <w:tcW w:w="32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kern w:val="2"/>
                <w:sz w:val="21"/>
                <w:lang w:val="nl-NL" w:eastAsia="zh-CN" w:bidi="ar-SA"/>
              </w:rPr>
            </w:pPr>
            <w:r>
              <w:rPr>
                <w:rFonts w:hint="default" w:eastAsia="Times New Roman" w:cs="Times New Roman"/>
                <w:b/>
                <w:bCs/>
                <w:i/>
                <w:iCs/>
                <w:color w:val="0000FF"/>
                <w:lang w:val="nl-NL" w:eastAsia="zh-CN"/>
              </w:rPr>
              <w:t>Qualification of test laboratories</w:t>
            </w:r>
          </w:p>
        </w:tc>
        <w:tc>
          <w:tcPr>
            <w:tcW w:w="40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imes New Roman" w:cs="Times New Roman"/>
                <w:b/>
                <w:bCs/>
                <w:i/>
                <w:iCs/>
                <w:color w:val="0000FF"/>
                <w:kern w:val="2"/>
                <w:sz w:val="21"/>
                <w:lang w:val="nl-NL" w:eastAsia="zh-CN" w:bidi="ar-SA"/>
              </w:rPr>
            </w:pPr>
            <w:r>
              <w:rPr>
                <w:rFonts w:hint="eastAsia" w:eastAsia="Times New Roman" w:cs="Times New Roman"/>
                <w:b/>
                <w:bCs/>
                <w:i/>
                <w:iCs/>
                <w:color w:val="0000FF"/>
                <w:lang w:val="en-US" w:eastAsia="zh-CN"/>
              </w:rPr>
              <w:t xml:space="preserve">Appendix 8.3.2 </w:t>
            </w:r>
            <w:r>
              <w:rPr>
                <w:rFonts w:hint="default" w:eastAsia="Times New Roman" w:cs="Times New Roman"/>
                <w:b/>
                <w:bCs/>
                <w:i/>
                <w:iCs/>
                <w:color w:val="0000FF"/>
                <w:lang w:val="en-US" w:eastAsia="zh-CN"/>
              </w:rPr>
              <w:t>Qualification of test laboratories</w:t>
            </w:r>
          </w:p>
        </w:tc>
      </w:tr>
    </w:tbl>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17" w:name="_Toc8674"/>
      <w:bookmarkStart w:id="18" w:name="_Toc1448"/>
      <w:r>
        <w:rPr>
          <w:rFonts w:hint="eastAsia" w:ascii="Times New Roman" w:hAnsi="Times New Roman" w:eastAsia="Tahoma-Bold" w:cs="Times New Roman"/>
          <w:b w:val="0"/>
          <w:bCs w:val="0"/>
          <w:color w:val="auto"/>
          <w:kern w:val="0"/>
          <w:sz w:val="21"/>
          <w:szCs w:val="20"/>
          <w:lang w:val="en-US" w:eastAsia="zh-CN" w:bidi="ar"/>
        </w:rPr>
        <w:t>8.1.5 Electrical Safety (MDR Annex II Section 6.1(b))</w:t>
      </w:r>
      <w:bookmarkEnd w:id="17"/>
      <w:bookmarkEnd w:id="18"/>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device is an active medical device.</w:t>
      </w:r>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highlight w:val="cyan"/>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details of evaluation of Electrical safety are as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14"/>
        <w:gridCol w:w="3111"/>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SN</w:t>
            </w:r>
          </w:p>
        </w:tc>
        <w:tc>
          <w:tcPr>
            <w:tcW w:w="2114"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Standard</w:t>
            </w:r>
          </w:p>
        </w:tc>
        <w:tc>
          <w:tcPr>
            <w:tcW w:w="3111"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Report No.</w:t>
            </w:r>
          </w:p>
        </w:tc>
        <w:tc>
          <w:tcPr>
            <w:tcW w:w="2686"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1</w:t>
            </w:r>
          </w:p>
        </w:tc>
        <w:tc>
          <w:tcPr>
            <w:tcW w:w="2114" w:type="dxa"/>
            <w:tcBorders>
              <w:top w:val="single" w:color="auto" w:sz="4" w:space="0"/>
              <w:left w:val="nil"/>
              <w:bottom w:val="single" w:color="auto" w:sz="4" w:space="0"/>
              <w:right w:val="single" w:color="auto" w:sz="4" w:space="0"/>
            </w:tcBorders>
            <w:shd w:val="clear" w:color="auto" w:fill="auto"/>
            <w:vAlign w:val="center"/>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EN 60601-1:2006+A1:2013+AC:2014+A12:2014 +A2:2020</w:t>
            </w:r>
          </w:p>
        </w:tc>
        <w:tc>
          <w:tcPr>
            <w:tcW w:w="3111"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IEC60601-1Test Report</w:t>
            </w:r>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p>
        </w:tc>
        <w:tc>
          <w:tcPr>
            <w:tcW w:w="2686"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Appendix 8.4.1 IEC 60601-1 Test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2</w:t>
            </w:r>
          </w:p>
        </w:tc>
        <w:tc>
          <w:tcPr>
            <w:tcW w:w="2114" w:type="dxa"/>
            <w:tcBorders>
              <w:top w:val="single" w:color="auto" w:sz="4" w:space="0"/>
              <w:left w:val="nil"/>
              <w:bottom w:val="single" w:color="auto" w:sz="4" w:space="0"/>
              <w:right w:val="single" w:color="auto" w:sz="4" w:space="0"/>
            </w:tcBorders>
            <w:shd w:val="clear" w:color="auto" w:fill="auto"/>
            <w:vAlign w:val="center"/>
          </w:tcPr>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3111"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2686"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3</w:t>
            </w:r>
          </w:p>
        </w:tc>
        <w:tc>
          <w:tcPr>
            <w:tcW w:w="2114" w:type="dxa"/>
            <w:tcBorders>
              <w:top w:val="single" w:color="auto" w:sz="4" w:space="0"/>
              <w:left w:val="nil"/>
              <w:bottom w:val="single" w:color="auto" w:sz="4" w:space="0"/>
              <w:right w:val="single" w:color="auto" w:sz="4" w:space="0"/>
            </w:tcBorders>
            <w:shd w:val="clear" w:color="auto" w:fill="auto"/>
            <w:vAlign w:val="center"/>
          </w:tcPr>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3111" w:type="dxa"/>
            <w:tcBorders>
              <w:top w:val="single" w:color="auto" w:sz="4" w:space="0"/>
              <w:left w:val="nil"/>
              <w:bottom w:val="single" w:color="auto" w:sz="4" w:space="0"/>
              <w:right w:val="single" w:color="auto" w:sz="4" w:space="0"/>
            </w:tcBorders>
            <w:shd w:val="clear" w:color="auto" w:fill="auto"/>
            <w:vAlign w:val="top"/>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2686" w:type="dxa"/>
            <w:tcBorders>
              <w:top w:val="single" w:color="auto" w:sz="4" w:space="0"/>
              <w:left w:val="nil"/>
              <w:bottom w:val="single" w:color="auto" w:sz="4" w:space="0"/>
              <w:right w:val="single" w:color="auto" w:sz="4" w:space="0"/>
            </w:tcBorders>
            <w:shd w:val="clear" w:color="auto" w:fill="auto"/>
            <w:vAlign w:val="top"/>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r>
    </w:tbl>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bookmarkStart w:id="19" w:name="_Toc3839"/>
      <w:r>
        <w:rPr>
          <w:rFonts w:hint="eastAsia" w:ascii="Times New Roman" w:hAnsi="Times New Roman" w:eastAsia="Tahoma-Bold" w:cs="Times New Roman"/>
          <w:b w:val="0"/>
          <w:bCs w:val="0"/>
          <w:color w:val="auto"/>
          <w:kern w:val="0"/>
          <w:sz w:val="21"/>
          <w:szCs w:val="20"/>
          <w:lang w:val="en-US" w:eastAsia="zh-CN" w:bidi="ar"/>
        </w:rPr>
        <w:t>8.1.6 Electromagnetic compatibility/ionising and non-ionising radiation (MDR Annex II Section 6.1(b))</w:t>
      </w:r>
      <w:bookmarkEnd w:id="19"/>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device is an active medical device.</w:t>
      </w:r>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details of evaluation of electromagnetic compatibility (EMC) are as below:</w:t>
      </w:r>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14"/>
        <w:gridCol w:w="3111"/>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SN</w:t>
            </w:r>
          </w:p>
        </w:tc>
        <w:tc>
          <w:tcPr>
            <w:tcW w:w="2114"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Standard</w:t>
            </w:r>
          </w:p>
        </w:tc>
        <w:tc>
          <w:tcPr>
            <w:tcW w:w="3111"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Report No.</w:t>
            </w:r>
          </w:p>
        </w:tc>
        <w:tc>
          <w:tcPr>
            <w:tcW w:w="2686"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val="0"/>
              <w:bidi w:val="0"/>
              <w:snapToGrid/>
              <w:spacing w:line="360" w:lineRule="auto"/>
              <w:jc w:val="left"/>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1</w:t>
            </w:r>
          </w:p>
        </w:tc>
        <w:tc>
          <w:tcPr>
            <w:tcW w:w="2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360" w:lineRule="auto"/>
              <w:jc w:val="left"/>
              <w:textAlignment w:val="center"/>
              <w:rPr>
                <w:rFonts w:hint="eastAsia"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EN 60601-1-2:2015+A1:2020</w:t>
            </w:r>
          </w:p>
        </w:tc>
        <w:tc>
          <w:tcPr>
            <w:tcW w:w="3111"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left"/>
              <w:textAlignment w:val="center"/>
              <w:rPr>
                <w:rFonts w:hint="eastAsia"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EMC EMISSION - Test Report</w:t>
            </w:r>
          </w:p>
          <w:p>
            <w:pPr>
              <w:keepNext w:val="0"/>
              <w:keepLines w:val="0"/>
              <w:pageBreakBefore w:val="0"/>
              <w:widowControl/>
              <w:kinsoku/>
              <w:wordWrap/>
              <w:overflowPunct/>
              <w:topLinePunct w:val="0"/>
              <w:bidi w:val="0"/>
              <w:snapToGrid/>
              <w:spacing w:line="360" w:lineRule="auto"/>
              <w:jc w:val="left"/>
              <w:textAlignment w:val="center"/>
              <w:rPr>
                <w:rFonts w:hint="eastAsia"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 xml:space="preserve">(Report No.: </w:t>
            </w:r>
            <w:r>
              <w:rPr>
                <w:rFonts w:hint="eastAsia" w:ascii="Times New Roman" w:hAnsi="Times New Roman" w:eastAsia="Tahoma-Bold" w:cs="Times New Roman"/>
                <w:b/>
                <w:bCs/>
                <w:i/>
                <w:iCs/>
                <w:color w:val="0000FF"/>
                <w:kern w:val="0"/>
                <w:sz w:val="21"/>
                <w:szCs w:val="20"/>
                <w:lang w:val="en-US" w:eastAsia="zh-CN" w:bidi="ar"/>
              </w:rPr>
              <w:t>***</w:t>
            </w:r>
            <w:r>
              <w:rPr>
                <w:rFonts w:hint="eastAsia" w:eastAsia="Tahoma-Bold" w:cs="Times New Roman"/>
                <w:b/>
                <w:bCs/>
                <w:i/>
                <w:iCs/>
                <w:color w:val="0000FF"/>
                <w:kern w:val="0"/>
                <w:sz w:val="21"/>
                <w:szCs w:val="20"/>
                <w:lang w:val="en-US" w:eastAsia="zh-CN" w:bidi="ar"/>
              </w:rPr>
              <w:t>)</w:t>
            </w:r>
          </w:p>
        </w:tc>
        <w:tc>
          <w:tcPr>
            <w:tcW w:w="2686"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left"/>
              <w:textAlignment w:val="center"/>
              <w:rPr>
                <w:rFonts w:hint="default" w:ascii="Times New Roman" w:hAnsi="Times New Roman"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Appendix 8.5.1 EMC EMISSION - Test Report</w:t>
            </w:r>
          </w:p>
        </w:tc>
      </w:tr>
    </w:tbl>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20" w:name="_Toc31229"/>
      <w:bookmarkStart w:id="21" w:name="_Toc2865"/>
      <w:r>
        <w:rPr>
          <w:rFonts w:hint="eastAsia" w:ascii="Times New Roman" w:hAnsi="Times New Roman" w:eastAsia="Tahoma-Bold" w:cs="Times New Roman"/>
          <w:b w:val="0"/>
          <w:bCs w:val="0"/>
          <w:color w:val="auto"/>
          <w:kern w:val="0"/>
          <w:sz w:val="21"/>
          <w:szCs w:val="20"/>
          <w:lang w:val="en-US" w:eastAsia="zh-CN" w:bidi="ar"/>
        </w:rPr>
        <w:t>8.1.7 MRI safety testing of the device/device system (MDR Annex II Section 6.1(b))</w:t>
      </w:r>
      <w:bookmarkEnd w:id="20"/>
      <w:bookmarkEnd w:id="21"/>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contain Characteristic of MRI.)</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22" w:name="_Toc29875"/>
      <w:bookmarkStart w:id="23" w:name="_Toc13244"/>
      <w:r>
        <w:rPr>
          <w:rFonts w:hint="eastAsia" w:ascii="Times New Roman" w:hAnsi="Times New Roman" w:eastAsia="Tahoma-Bold" w:cs="Times New Roman"/>
          <w:b w:val="0"/>
          <w:bCs w:val="0"/>
          <w:color w:val="auto"/>
          <w:kern w:val="0"/>
          <w:sz w:val="21"/>
          <w:szCs w:val="20"/>
          <w:lang w:val="en-US" w:eastAsia="zh-CN" w:bidi="ar"/>
        </w:rPr>
        <w:t>8.1.8 Functional safety, software (MDR Annex II Section 6.1(b))</w:t>
      </w:r>
      <w:bookmarkEnd w:id="22"/>
      <w:bookmarkEnd w:id="23"/>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contain Software.)</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24" w:name="_Toc6509"/>
      <w:bookmarkStart w:id="25" w:name="_Toc19929"/>
      <w:r>
        <w:rPr>
          <w:rFonts w:hint="eastAsia" w:ascii="Times New Roman" w:hAnsi="Times New Roman" w:eastAsia="Tahoma-Bold" w:cs="Times New Roman"/>
          <w:b w:val="0"/>
          <w:bCs w:val="0"/>
          <w:color w:val="auto"/>
          <w:kern w:val="0"/>
          <w:sz w:val="21"/>
          <w:szCs w:val="20"/>
          <w:lang w:val="en-US" w:eastAsia="zh-CN" w:bidi="ar"/>
        </w:rPr>
        <w:t>8.1.9 Cyber Security (MDR Annex II Section 6.1(b))</w:t>
      </w:r>
      <w:bookmarkEnd w:id="24"/>
      <w:bookmarkEnd w:id="25"/>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contain Characteristic of Cyber Security.)</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26" w:name="_Toc21722"/>
      <w:bookmarkStart w:id="27" w:name="_Toc18103"/>
      <w:r>
        <w:rPr>
          <w:rFonts w:hint="eastAsia" w:ascii="Times New Roman" w:hAnsi="Times New Roman" w:eastAsia="Tahoma-Bold" w:cs="Times New Roman"/>
          <w:b w:val="0"/>
          <w:bCs w:val="0"/>
          <w:color w:val="auto"/>
          <w:kern w:val="0"/>
          <w:sz w:val="21"/>
          <w:szCs w:val="20"/>
          <w:lang w:val="en-US" w:eastAsia="zh-CN" w:bidi="ar"/>
        </w:rPr>
        <w:t>8.1.10 Software verification and validation (MDR Annex II Section 6.1(b))</w:t>
      </w:r>
      <w:bookmarkEnd w:id="26"/>
      <w:bookmarkEnd w:id="27"/>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contain Software.)</w:t>
      </w: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highlight w:val="none"/>
          <w:lang w:val="en-US" w:eastAsia="zh-CN" w:bidi="ar"/>
        </w:rPr>
      </w:pPr>
      <w:bookmarkStart w:id="28" w:name="_Toc11570"/>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highlight w:val="none"/>
          <w:lang w:val="en-US" w:eastAsia="zh-CN" w:bidi="ar"/>
        </w:rPr>
      </w:pPr>
      <w:bookmarkStart w:id="29" w:name="_Toc16171"/>
      <w:r>
        <w:rPr>
          <w:rFonts w:hint="eastAsia" w:ascii="Times New Roman" w:hAnsi="Times New Roman" w:eastAsia="Tahoma-Bold" w:cs="Times New Roman"/>
          <w:b w:val="0"/>
          <w:bCs w:val="0"/>
          <w:color w:val="auto"/>
          <w:kern w:val="0"/>
          <w:sz w:val="21"/>
          <w:szCs w:val="20"/>
          <w:highlight w:val="none"/>
          <w:lang w:val="en-US" w:eastAsia="zh-CN" w:bidi="ar"/>
        </w:rPr>
        <w:t>8.1.11 Packaging (MDR Annex II Section 6.1(b))</w:t>
      </w:r>
      <w:bookmarkEnd w:id="28"/>
      <w:bookmarkEnd w:id="29"/>
    </w:p>
    <w:p>
      <w:pPr>
        <w:pStyle w:val="2"/>
        <w:pageBreakBefore w:val="0"/>
        <w:kinsoku/>
        <w:wordWrap/>
        <w:overflowPunct/>
        <w:topLinePunct w:val="0"/>
        <w:bidi w:val="0"/>
        <w:snapToGrid/>
        <w:spacing w:line="360" w:lineRule="auto"/>
        <w:outlineLvl w:val="2"/>
        <w:rPr>
          <w:rFonts w:hint="default" w:ascii="Times New Roman" w:hAnsi="Times New Roman" w:eastAsia="Tahoma-Bold" w:cs="Times New Roman"/>
          <w:b/>
          <w:bCs/>
          <w:i/>
          <w:iCs/>
          <w:color w:val="0000FF"/>
          <w:kern w:val="0"/>
          <w:sz w:val="21"/>
          <w:szCs w:val="20"/>
          <w:highlight w:val="none"/>
          <w:lang w:val="en-US" w:eastAsia="zh-CN" w:bidi="ar"/>
        </w:rPr>
      </w:pPr>
      <w:bookmarkStart w:id="30" w:name="_Toc17048"/>
      <w:bookmarkStart w:id="31" w:name="_Toc11774"/>
      <w:r>
        <w:rPr>
          <w:rFonts w:hint="eastAsia" w:ascii="Times New Roman" w:hAnsi="Times New Roman" w:eastAsia="Tahoma-Bold" w:cs="Times New Roman"/>
          <w:b/>
          <w:bCs/>
          <w:i/>
          <w:iCs/>
          <w:color w:val="0000FF"/>
          <w:kern w:val="0"/>
          <w:sz w:val="21"/>
          <w:szCs w:val="20"/>
          <w:highlight w:val="none"/>
          <w:lang w:val="en-US" w:eastAsia="zh-CN" w:bidi="ar"/>
        </w:rPr>
        <w:t>(The details can refer to section 09 Device packaging and transportation.</w:t>
      </w:r>
      <w:bookmarkEnd w:id="30"/>
      <w:r>
        <w:rPr>
          <w:rFonts w:hint="eastAsia" w:ascii="Times New Roman" w:hAnsi="Times New Roman" w:eastAsia="Tahoma-Bold" w:cs="Times New Roman"/>
          <w:b/>
          <w:bCs/>
          <w:i/>
          <w:iCs/>
          <w:color w:val="0000FF"/>
          <w:kern w:val="0"/>
          <w:sz w:val="21"/>
          <w:szCs w:val="20"/>
          <w:highlight w:val="none"/>
          <w:lang w:val="en-US" w:eastAsia="zh-CN" w:bidi="ar"/>
        </w:rPr>
        <w:t>)</w:t>
      </w:r>
    </w:p>
    <w:p>
      <w:pPr>
        <w:pStyle w:val="2"/>
        <w:pageBreakBefore w:val="0"/>
        <w:kinsoku/>
        <w:wordWrap/>
        <w:overflowPunct/>
        <w:topLinePunct w:val="0"/>
        <w:bidi w:val="0"/>
        <w:snapToGrid/>
        <w:spacing w:line="360" w:lineRule="auto"/>
        <w:outlineLvl w:val="2"/>
        <w:rPr>
          <w:rFonts w:hint="default" w:ascii="Times New Roman" w:hAnsi="Times New Roman" w:eastAsia="Tahoma-Bold" w:cs="Times New Roman"/>
          <w:b w:val="0"/>
          <w:bCs w:val="0"/>
          <w:color w:val="auto"/>
          <w:kern w:val="0"/>
          <w:sz w:val="21"/>
          <w:szCs w:val="20"/>
          <w:highlight w:val="none"/>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highlight w:val="none"/>
          <w:lang w:val="en-US" w:eastAsia="zh-CN" w:bidi="ar"/>
        </w:rPr>
      </w:pPr>
      <w:bookmarkStart w:id="32" w:name="_Toc28707"/>
      <w:r>
        <w:rPr>
          <w:rFonts w:hint="eastAsia" w:ascii="Times New Roman" w:hAnsi="Times New Roman" w:eastAsia="Tahoma-Bold" w:cs="Times New Roman"/>
          <w:b w:val="0"/>
          <w:bCs w:val="0"/>
          <w:color w:val="auto"/>
          <w:kern w:val="0"/>
          <w:sz w:val="21"/>
          <w:szCs w:val="20"/>
          <w:highlight w:val="none"/>
          <w:lang w:val="en-US" w:eastAsia="zh-CN" w:bidi="ar"/>
        </w:rPr>
        <w:t>8.1.12 Stability and shelf life of the device (MDR Annex II Section 6.1(b))</w:t>
      </w:r>
      <w:bookmarkEnd w:id="31"/>
      <w:bookmarkEnd w:id="32"/>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details can refer to Section 10 Sterilization, disinfection, and reprocessing.)</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FF0000"/>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000000" w:themeColor="text1"/>
          <w:kern w:val="0"/>
          <w:sz w:val="21"/>
          <w:szCs w:val="20"/>
          <w:highlight w:val="none"/>
          <w:lang w:val="en-US" w:eastAsia="zh-CN" w:bidi="ar"/>
        </w:rPr>
      </w:pPr>
      <w:bookmarkStart w:id="33" w:name="_Toc20751"/>
      <w:bookmarkStart w:id="34" w:name="_Toc1403"/>
      <w:r>
        <w:rPr>
          <w:rFonts w:hint="eastAsia" w:ascii="Times New Roman" w:hAnsi="Times New Roman" w:eastAsia="Tahoma-Bold" w:cs="Times New Roman"/>
          <w:b w:val="0"/>
          <w:bCs w:val="0"/>
          <w:color w:val="000000" w:themeColor="text1"/>
          <w:kern w:val="0"/>
          <w:sz w:val="21"/>
          <w:szCs w:val="20"/>
          <w:highlight w:val="none"/>
          <w:lang w:val="en-US" w:eastAsia="zh-CN" w:bidi="ar"/>
        </w:rPr>
        <w:t>8.1.13 Performance and safety (MDR Annex II Section 6.1(b))</w:t>
      </w:r>
      <w:bookmarkEnd w:id="33"/>
      <w:bookmarkEnd w:id="34"/>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highlight w:val="none"/>
          <w:lang w:val="en-US" w:eastAsia="zh-CN" w:bidi="ar"/>
        </w:rPr>
      </w:pPr>
      <w:r>
        <w:rPr>
          <w:rFonts w:hint="eastAsia" w:ascii="Times New Roman" w:hAnsi="Times New Roman" w:eastAsia="Tahoma-Bold" w:cs="Times New Roman"/>
          <w:b/>
          <w:bCs/>
          <w:i/>
          <w:iCs/>
          <w:color w:val="0000FF"/>
          <w:kern w:val="0"/>
          <w:sz w:val="21"/>
          <w:szCs w:val="20"/>
          <w:highlight w:val="none"/>
          <w:lang w:val="en-US" w:eastAsia="zh-CN" w:bidi="ar"/>
        </w:rPr>
        <w:t>(The details of performance and safety are as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427"/>
        <w:gridCol w:w="4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0" w:type="dxa"/>
            <w:tcBorders>
              <w:top w:val="single" w:color="auto" w:sz="4" w:space="0"/>
              <w:left w:val="single" w:color="auto" w:sz="4" w:space="0"/>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SN</w:t>
            </w:r>
          </w:p>
        </w:tc>
        <w:tc>
          <w:tcPr>
            <w:tcW w:w="3427"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Document</w:t>
            </w:r>
          </w:p>
        </w:tc>
        <w:tc>
          <w:tcPr>
            <w:tcW w:w="4288"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1</w:t>
            </w:r>
          </w:p>
        </w:tc>
        <w:tc>
          <w:tcPr>
            <w:tcW w:w="3427" w:type="dxa"/>
            <w:tcBorders>
              <w:top w:val="single" w:color="auto" w:sz="4" w:space="0"/>
              <w:left w:val="nil"/>
              <w:bottom w:val="single" w:color="auto" w:sz="4" w:space="0"/>
              <w:right w:val="single" w:color="auto" w:sz="4" w:space="0"/>
            </w:tcBorders>
            <w:shd w:val="clear" w:color="auto" w:fill="auto"/>
            <w:vAlign w:val="top"/>
          </w:tcPr>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Safety and performance</w:t>
            </w:r>
          </w:p>
        </w:tc>
        <w:tc>
          <w:tcPr>
            <w:tcW w:w="4288" w:type="dxa"/>
            <w:tcBorders>
              <w:top w:val="single" w:color="auto" w:sz="4" w:space="0"/>
              <w:left w:val="nil"/>
              <w:bottom w:val="single" w:color="auto" w:sz="4" w:space="0"/>
              <w:right w:val="single" w:color="auto" w:sz="4" w:space="0"/>
            </w:tcBorders>
            <w:shd w:val="clear" w:color="auto" w:fill="auto"/>
            <w:vAlign w:val="top"/>
          </w:tcPr>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Appendix 8.4 Electrical safety test and Appendix 8.5 EMC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2</w:t>
            </w:r>
          </w:p>
        </w:tc>
        <w:tc>
          <w:tcPr>
            <w:tcW w:w="3427"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4288"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3</w:t>
            </w:r>
          </w:p>
        </w:tc>
        <w:tc>
          <w:tcPr>
            <w:tcW w:w="3427"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4288"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4</w:t>
            </w:r>
          </w:p>
        </w:tc>
        <w:tc>
          <w:tcPr>
            <w:tcW w:w="3427"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4288"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5</w:t>
            </w:r>
          </w:p>
        </w:tc>
        <w:tc>
          <w:tcPr>
            <w:tcW w:w="3427"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c>
          <w:tcPr>
            <w:tcW w:w="4288"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w:t>
            </w:r>
          </w:p>
        </w:tc>
      </w:tr>
    </w:tbl>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highlight w:val="none"/>
          <w:lang w:val="en-US" w:eastAsia="zh-CN" w:bidi="ar"/>
        </w:rPr>
      </w:pPr>
      <w:r>
        <w:rPr>
          <w:rFonts w:hint="eastAsia" w:ascii="Times New Roman" w:hAnsi="Times New Roman" w:eastAsia="Tahoma-Bold" w:cs="Times New Roman"/>
          <w:b/>
          <w:bCs/>
          <w:i/>
          <w:iCs/>
          <w:color w:val="0000FF"/>
          <w:kern w:val="0"/>
          <w:sz w:val="21"/>
          <w:szCs w:val="20"/>
          <w:highlight w:val="none"/>
          <w:lang w:val="en-US" w:eastAsia="zh-CN" w:bidi="ar"/>
        </w:rPr>
        <w:t>)</w:t>
      </w: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000000" w:themeColor="text1"/>
          <w:kern w:val="0"/>
          <w:sz w:val="21"/>
          <w:szCs w:val="20"/>
          <w:highlight w:val="none"/>
          <w:lang w:val="en-US" w:eastAsia="zh-CN" w:bidi="ar"/>
        </w:rPr>
      </w:pPr>
      <w:bookmarkStart w:id="35" w:name="_Toc23356"/>
      <w:bookmarkStart w:id="36" w:name="_Toc28337"/>
      <w:r>
        <w:rPr>
          <w:rFonts w:hint="eastAsia" w:ascii="Times New Roman" w:hAnsi="Times New Roman" w:eastAsia="Tahoma-Bold" w:cs="Times New Roman"/>
          <w:b w:val="0"/>
          <w:bCs w:val="0"/>
          <w:color w:val="000000" w:themeColor="text1"/>
          <w:kern w:val="0"/>
          <w:sz w:val="21"/>
          <w:szCs w:val="20"/>
          <w:highlight w:val="none"/>
          <w:lang w:val="en-US" w:eastAsia="zh-CN" w:bidi="ar"/>
        </w:rPr>
        <w:t>8.1.14 Constructional and mechanical safety (MDR Annex II Section 4; 6)</w:t>
      </w:r>
      <w:bookmarkEnd w:id="35"/>
      <w:bookmarkEnd w:id="36"/>
    </w:p>
    <w:p>
      <w:pPr>
        <w:pStyle w:val="2"/>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details of Constructional and mechanical safety can refer to Section 9 PROTECTION AGAINST MECHANICAL HAZARDS OF ME EQUIPMENT AND ME SYSTEMS of IEC 60601-1 Test Report. The details can refer to below report.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14"/>
        <w:gridCol w:w="3111"/>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SN</w:t>
            </w:r>
          </w:p>
        </w:tc>
        <w:tc>
          <w:tcPr>
            <w:tcW w:w="2114"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Standard</w:t>
            </w:r>
          </w:p>
        </w:tc>
        <w:tc>
          <w:tcPr>
            <w:tcW w:w="3111"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Report No.</w:t>
            </w:r>
          </w:p>
        </w:tc>
        <w:tc>
          <w:tcPr>
            <w:tcW w:w="2686"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Borders>
              <w:top w:val="single" w:color="auto" w:sz="4" w:space="0"/>
              <w:left w:val="single" w:color="auto" w:sz="4" w:space="0"/>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1</w:t>
            </w:r>
          </w:p>
        </w:tc>
        <w:tc>
          <w:tcPr>
            <w:tcW w:w="2114" w:type="dxa"/>
            <w:tcBorders>
              <w:top w:val="single" w:color="auto" w:sz="4" w:space="0"/>
              <w:left w:val="nil"/>
              <w:bottom w:val="single" w:color="auto" w:sz="4" w:space="0"/>
              <w:right w:val="single" w:color="auto" w:sz="4" w:space="0"/>
            </w:tcBorders>
            <w:shd w:val="clear" w:color="auto" w:fill="auto"/>
            <w:vAlign w:val="center"/>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EN 60601-1:2006+A1:2013+AC:2014+A12:2014 +A2:2020</w:t>
            </w:r>
          </w:p>
        </w:tc>
        <w:tc>
          <w:tcPr>
            <w:tcW w:w="3111"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IEC60601-1Test Report</w:t>
            </w:r>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 xml:space="preserve"> (Report No.: ***)</w:t>
            </w:r>
          </w:p>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p>
        </w:tc>
        <w:tc>
          <w:tcPr>
            <w:tcW w:w="2686" w:type="dxa"/>
            <w:tcBorders>
              <w:top w:val="single" w:color="auto" w:sz="4" w:space="0"/>
              <w:left w:val="nil"/>
              <w:bottom w:val="single" w:color="auto" w:sz="4" w:space="0"/>
              <w:right w:val="single" w:color="auto" w:sz="4" w:space="0"/>
            </w:tcBorders>
            <w:shd w:val="clear" w:color="auto" w:fill="auto"/>
          </w:tcPr>
          <w:p>
            <w:pPr>
              <w:pStyle w:val="2"/>
              <w:pageBreakBefore w:val="0"/>
              <w:kinsoku/>
              <w:wordWrap/>
              <w:overflowPunct/>
              <w:topLinePunct w:val="0"/>
              <w:bidi w:val="0"/>
              <w:snapToGrid/>
              <w:spacing w:line="360" w:lineRule="auto"/>
              <w:rPr>
                <w:rFonts w:hint="eastAsia"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Appendix 8.4.1 IEC 60601-1 Test Report</w:t>
            </w:r>
          </w:p>
        </w:tc>
      </w:tr>
    </w:tbl>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highlight w:val="none"/>
          <w:lang w:val="en-US" w:eastAsia="zh-CN" w:bidi="ar"/>
        </w:rPr>
      </w:pPr>
    </w:p>
    <w:p>
      <w:pPr>
        <w:pStyle w:val="2"/>
        <w:pageBreakBefore w:val="0"/>
        <w:kinsoku/>
        <w:wordWrap/>
        <w:overflowPunct/>
        <w:topLinePunct w:val="0"/>
        <w:bidi w:val="0"/>
        <w:snapToGrid/>
        <w:spacing w:line="360" w:lineRule="auto"/>
        <w:jc w:val="left"/>
        <w:rPr>
          <w:rFonts w:hint="default" w:ascii="Times New Roman" w:hAnsi="Times New Roman" w:eastAsia="Tahoma-Bold" w:cs="Times New Roman"/>
          <w:b/>
          <w:bCs/>
          <w:i/>
          <w:iCs/>
          <w:color w:val="0000FF"/>
          <w:kern w:val="0"/>
          <w:sz w:val="21"/>
          <w:szCs w:val="20"/>
          <w:highlight w:val="none"/>
          <w:lang w:val="en-US" w:eastAsia="zh-CN" w:bidi="ar"/>
        </w:rPr>
      </w:pPr>
      <w:r>
        <w:rPr>
          <w:rFonts w:hint="eastAsia" w:ascii="Times New Roman" w:hAnsi="Times New Roman" w:eastAsia="Tahoma-Bold" w:cs="Times New Roman"/>
          <w:b/>
          <w:bCs/>
          <w:i/>
          <w:iCs/>
          <w:color w:val="0000FF"/>
          <w:kern w:val="0"/>
          <w:sz w:val="21"/>
          <w:szCs w:val="20"/>
          <w:highlight w:val="none"/>
          <w:lang w:val="en-US" w:eastAsia="zh-CN" w:bidi="ar"/>
        </w:rPr>
        <w:t>The constructional and mechanical test are evaluated in IEC 60601-1 Test Report. It does not need to evaluate them individually.)</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FF0000"/>
          <w:kern w:val="0"/>
          <w:sz w:val="21"/>
          <w:szCs w:val="20"/>
          <w:highlight w:val="none"/>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000000" w:themeColor="text1"/>
          <w:kern w:val="0"/>
          <w:sz w:val="21"/>
          <w:szCs w:val="20"/>
          <w:highlight w:val="none"/>
          <w:lang w:val="en-US" w:eastAsia="zh-CN" w:bidi="ar"/>
        </w:rPr>
      </w:pPr>
      <w:bookmarkStart w:id="37" w:name="_Toc2450"/>
      <w:bookmarkStart w:id="38" w:name="_Toc23487"/>
      <w:r>
        <w:rPr>
          <w:rFonts w:hint="eastAsia" w:ascii="Times New Roman" w:hAnsi="Times New Roman" w:eastAsia="Tahoma-Bold" w:cs="Times New Roman"/>
          <w:b w:val="0"/>
          <w:bCs w:val="0"/>
          <w:color w:val="000000" w:themeColor="text1"/>
          <w:kern w:val="0"/>
          <w:sz w:val="21"/>
          <w:szCs w:val="20"/>
          <w:highlight w:val="none"/>
          <w:lang w:val="en-US" w:eastAsia="zh-CN" w:bidi="ar"/>
        </w:rPr>
        <w:t>8.1.15 Clinical data, CER, post-market clinical follow-up (PMCF) plan, and PMCF evaluation report (MDR Articles 10(3), 61; Annex II Section 6.1(c), 6.1(d); Annex III; Annex XIV)</w:t>
      </w:r>
      <w:bookmarkEnd w:id="37"/>
      <w:bookmarkEnd w:id="38"/>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details can refer to Section 11 Clinical evaluation.)</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FF0000"/>
          <w:kern w:val="0"/>
          <w:sz w:val="21"/>
          <w:szCs w:val="20"/>
          <w:lang w:val="en-US" w:eastAsia="zh-CN" w:bidi="ar"/>
        </w:rPr>
      </w:pPr>
    </w:p>
    <w:p>
      <w:pPr>
        <w:pStyle w:val="4"/>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ascii="Times New Roman" w:hAnsi="Times New Roman" w:eastAsia="Tahoma-Bold" w:cs="Times New Roman"/>
          <w:b w:val="0"/>
          <w:bCs w:val="0"/>
          <w:color w:val="auto"/>
          <w:kern w:val="0"/>
          <w:sz w:val="21"/>
          <w:szCs w:val="20"/>
          <w:lang w:val="en-US" w:eastAsia="zh-CN" w:bidi="ar"/>
        </w:rPr>
      </w:pPr>
      <w:bookmarkStart w:id="39" w:name="_Toc23795"/>
      <w:r>
        <w:rPr>
          <w:rFonts w:hint="eastAsia" w:eastAsia="Tahoma-Bold" w:cs="Times New Roman"/>
          <w:b w:val="0"/>
          <w:bCs w:val="0"/>
          <w:color w:val="auto"/>
          <w:kern w:val="0"/>
          <w:sz w:val="21"/>
          <w:szCs w:val="20"/>
          <w:lang w:val="en-US" w:eastAsia="zh-CN" w:bidi="ar"/>
        </w:rPr>
        <w:t>8</w:t>
      </w:r>
      <w:r>
        <w:rPr>
          <w:rFonts w:ascii="Times New Roman" w:hAnsi="Times New Roman" w:eastAsia="Tahoma-Bold" w:cs="Times New Roman"/>
          <w:b w:val="0"/>
          <w:bCs w:val="0"/>
          <w:color w:val="auto"/>
          <w:kern w:val="0"/>
          <w:sz w:val="21"/>
          <w:szCs w:val="20"/>
          <w:lang w:val="en-US" w:eastAsia="zh-CN" w:bidi="ar"/>
        </w:rPr>
        <w:t>.2</w:t>
      </w:r>
      <w:r>
        <w:rPr>
          <w:rFonts w:hint="eastAsia" w:eastAsia="Tahoma-Bold" w:cs="Times New Roman"/>
          <w:b w:val="0"/>
          <w:bCs w:val="0"/>
          <w:color w:val="auto"/>
          <w:kern w:val="0"/>
          <w:sz w:val="21"/>
          <w:szCs w:val="20"/>
          <w:lang w:val="en-US" w:eastAsia="zh-CN" w:bidi="ar"/>
        </w:rPr>
        <w:t xml:space="preserve"> </w:t>
      </w:r>
      <w:r>
        <w:rPr>
          <w:rFonts w:ascii="Times New Roman" w:hAnsi="Times New Roman" w:eastAsia="Tahoma-Bold" w:cs="Times New Roman"/>
          <w:b w:val="0"/>
          <w:bCs w:val="0"/>
          <w:color w:val="auto"/>
          <w:kern w:val="0"/>
          <w:sz w:val="21"/>
          <w:szCs w:val="20"/>
          <w:lang w:val="en-US" w:eastAsia="zh-CN" w:bidi="ar"/>
        </w:rPr>
        <w:t>Additional information required in specific cases (MDR Annex II Section 6.2)</w:t>
      </w:r>
      <w:bookmarkEnd w:id="39"/>
    </w:p>
    <w:p>
      <w:pPr>
        <w:pageBreakBefore w:val="0"/>
        <w:kinsoku/>
        <w:wordWrap/>
        <w:overflowPunct/>
        <w:topLinePunct w:val="0"/>
        <w:bidi w:val="0"/>
        <w:snapToGrid/>
        <w:spacing w:line="360" w:lineRule="auto"/>
        <w:outlineLvl w:val="2"/>
        <w:rPr>
          <w:rFonts w:hint="eastAsia" w:eastAsia="Tahoma-Bold" w:cs="Times New Roman"/>
          <w:b w:val="0"/>
          <w:bCs w:val="0"/>
          <w:color w:val="auto"/>
          <w:kern w:val="0"/>
          <w:sz w:val="21"/>
          <w:szCs w:val="20"/>
          <w:lang w:val="en-US" w:eastAsia="zh-CN" w:bidi="ar"/>
        </w:rPr>
      </w:pPr>
      <w:bookmarkStart w:id="40" w:name="_Toc15843"/>
      <w:bookmarkStart w:id="41" w:name="_Toc16406"/>
      <w:r>
        <w:rPr>
          <w:rFonts w:hint="eastAsia" w:eastAsia="Tahoma-Bold" w:cs="Times New Roman"/>
          <w:b w:val="0"/>
          <w:bCs w:val="0"/>
          <w:color w:val="auto"/>
          <w:kern w:val="0"/>
          <w:sz w:val="21"/>
          <w:szCs w:val="20"/>
          <w:lang w:val="en-US" w:eastAsia="zh-CN" w:bidi="ar"/>
        </w:rPr>
        <w:t>8.2.1 Substances considered to be medicinal products</w:t>
      </w:r>
      <w:bookmarkEnd w:id="40"/>
      <w:bookmarkEnd w:id="41"/>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incorporates a medicinal product.)</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42" w:name="_Toc24634"/>
      <w:bookmarkStart w:id="43" w:name="_Toc21898"/>
      <w:r>
        <w:rPr>
          <w:rFonts w:hint="eastAsia" w:ascii="Times New Roman" w:hAnsi="Times New Roman" w:eastAsia="Tahoma-Bold" w:cs="Times New Roman"/>
          <w:b w:val="0"/>
          <w:bCs w:val="0"/>
          <w:color w:val="auto"/>
          <w:kern w:val="0"/>
          <w:sz w:val="21"/>
          <w:szCs w:val="20"/>
          <w:lang w:val="en-US" w:eastAsia="zh-CN" w:bidi="ar"/>
        </w:rPr>
        <w:t>8.2.2 Substances derived from human blood or human plasma (MDR Articles 1(6) lit. D and g, (8), (10); GSPR 12.1, 13.1)</w:t>
      </w:r>
      <w:bookmarkEnd w:id="42"/>
      <w:bookmarkEnd w:id="43"/>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incorporate medicinal substances derived from human blood or plasma derivatives.)</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44" w:name="_Toc5251"/>
      <w:bookmarkStart w:id="45" w:name="_Toc4428"/>
      <w:r>
        <w:rPr>
          <w:rFonts w:hint="eastAsia" w:ascii="Times New Roman" w:hAnsi="Times New Roman" w:eastAsia="Tahoma-Bold" w:cs="Times New Roman"/>
          <w:b w:val="0"/>
          <w:bCs w:val="0"/>
          <w:color w:val="auto"/>
          <w:kern w:val="0"/>
          <w:sz w:val="21"/>
          <w:szCs w:val="20"/>
          <w:lang w:val="en-US" w:eastAsia="zh-CN" w:bidi="ar"/>
        </w:rPr>
        <w:t>8.2.3 Tissues or cells of human origin (MDR Article 1(6) lit. d and g, (8), (10); GSPR 12.1, 13.1)</w:t>
      </w:r>
      <w:bookmarkEnd w:id="44"/>
      <w:bookmarkEnd w:id="45"/>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utilise tissues of human origin.)</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46" w:name="_Toc26058"/>
      <w:bookmarkStart w:id="47" w:name="_Toc7556"/>
      <w:r>
        <w:rPr>
          <w:rFonts w:hint="eastAsia" w:ascii="Times New Roman" w:hAnsi="Times New Roman" w:eastAsia="Tahoma-Bold" w:cs="Times New Roman"/>
          <w:b w:val="0"/>
          <w:bCs w:val="0"/>
          <w:color w:val="auto"/>
          <w:kern w:val="0"/>
          <w:sz w:val="21"/>
          <w:szCs w:val="20"/>
          <w:lang w:val="en-US" w:eastAsia="zh-CN" w:bidi="ar"/>
        </w:rPr>
        <w:t>8.2.4 Tissues of cells of animal origin (MDR Articles 1(6) lit. f; GSPR 12.1, 13.2)</w:t>
      </w:r>
      <w:bookmarkEnd w:id="46"/>
      <w:bookmarkEnd w:id="47"/>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utilise tissues of animal origin.)</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48" w:name="_Toc9090"/>
      <w:bookmarkStart w:id="49" w:name="_Toc25299"/>
      <w:r>
        <w:rPr>
          <w:rFonts w:hint="eastAsia" w:ascii="Times New Roman" w:hAnsi="Times New Roman" w:eastAsia="Tahoma-Bold" w:cs="Times New Roman"/>
          <w:b w:val="0"/>
          <w:bCs w:val="0"/>
          <w:color w:val="auto"/>
          <w:kern w:val="0"/>
          <w:sz w:val="21"/>
          <w:szCs w:val="20"/>
          <w:lang w:val="en-US" w:eastAsia="zh-CN" w:bidi="ar"/>
        </w:rPr>
        <w:t>8.2.5 Materials of biological origin (MDR Article 1(6) lit. h; GSPR 13.3)</w:t>
      </w:r>
      <w:bookmarkEnd w:id="48"/>
      <w:bookmarkEnd w:id="49"/>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incorporate materials of biological origin.)</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50" w:name="_Toc14018"/>
      <w:bookmarkStart w:id="51" w:name="_Toc1737"/>
      <w:r>
        <w:rPr>
          <w:rFonts w:hint="eastAsia" w:ascii="Times New Roman" w:hAnsi="Times New Roman" w:eastAsia="Tahoma-Bold" w:cs="Times New Roman"/>
          <w:b w:val="0"/>
          <w:bCs w:val="0"/>
          <w:color w:val="auto"/>
          <w:kern w:val="0"/>
          <w:sz w:val="21"/>
          <w:szCs w:val="20"/>
          <w:lang w:val="en-US" w:eastAsia="zh-CN" w:bidi="ar"/>
        </w:rPr>
        <w:t>8.2.6 Nanoparticle technology (MDR Annex II Section 1(1) lit. k)</w:t>
      </w:r>
      <w:bookmarkEnd w:id="50"/>
      <w:bookmarkEnd w:id="51"/>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incorporates nanoparticle technology.)</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52" w:name="_Toc16550"/>
      <w:bookmarkStart w:id="53" w:name="_Toc24007"/>
      <w:r>
        <w:rPr>
          <w:rFonts w:hint="eastAsia" w:ascii="Times New Roman" w:hAnsi="Times New Roman" w:eastAsia="Tahoma-Bold" w:cs="Times New Roman"/>
          <w:b w:val="0"/>
          <w:bCs w:val="0"/>
          <w:color w:val="auto"/>
          <w:kern w:val="0"/>
          <w:sz w:val="21"/>
          <w:szCs w:val="20"/>
          <w:lang w:val="en-US" w:eastAsia="zh-CN" w:bidi="ar"/>
        </w:rPr>
        <w:t>8.2.7 Substances or combinations of substances that are absorbed by or locally dispersed in the human body (MDR Annex II Section 6.2(c))</w:t>
      </w:r>
      <w:bookmarkEnd w:id="52"/>
      <w:bookmarkEnd w:id="53"/>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is not absorbable by or intended to be locally dispersed in the human body.)</w:t>
      </w:r>
    </w:p>
    <w:p>
      <w:pPr>
        <w:pStyle w:val="2"/>
        <w:pageBreakBefore w:val="0"/>
        <w:kinsoku/>
        <w:wordWrap/>
        <w:overflowPunct/>
        <w:topLinePunct w:val="0"/>
        <w:bidi w:val="0"/>
        <w:snapToGrid/>
        <w:spacing w:line="360" w:lineRule="auto"/>
        <w:rPr>
          <w:color w:val="auto"/>
          <w:lang w:val="en-US" w:eastAsia="zh-CN"/>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54" w:name="_Toc32007"/>
      <w:bookmarkStart w:id="55" w:name="_Toc5404"/>
      <w:r>
        <w:rPr>
          <w:rFonts w:hint="eastAsia" w:ascii="Times New Roman" w:hAnsi="Times New Roman" w:eastAsia="Tahoma-Bold" w:cs="Times New Roman"/>
          <w:b w:val="0"/>
          <w:bCs w:val="0"/>
          <w:color w:val="auto"/>
          <w:kern w:val="0"/>
          <w:sz w:val="21"/>
          <w:szCs w:val="20"/>
          <w:lang w:val="en-US" w:eastAsia="zh-CN" w:bidi="ar"/>
        </w:rPr>
        <w:t>8.2.8 CMR or endocrine-disrupting substances (MDR Annex II Section 6.2(d))</w:t>
      </w:r>
      <w:bookmarkEnd w:id="54"/>
      <w:bookmarkEnd w:id="55"/>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contain CMR or endocrine-disrupting substances referred to in Section 10.4.1 of Annex I.)</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lang w:val="en-US" w:eastAsia="zh-CN" w:bidi="ar"/>
        </w:rPr>
      </w:pPr>
      <w:bookmarkStart w:id="56" w:name="_Toc14440"/>
      <w:bookmarkStart w:id="57" w:name="_Toc15839"/>
      <w:r>
        <w:rPr>
          <w:rFonts w:hint="eastAsia" w:ascii="Times New Roman" w:hAnsi="Times New Roman" w:eastAsia="Tahoma-Bold" w:cs="Times New Roman"/>
          <w:b w:val="0"/>
          <w:bCs w:val="0"/>
          <w:color w:val="auto"/>
          <w:kern w:val="0"/>
          <w:sz w:val="21"/>
          <w:szCs w:val="20"/>
          <w:lang w:val="en-US" w:eastAsia="zh-CN" w:bidi="ar"/>
        </w:rPr>
        <w:t>8.2.9 Sterile device or devices with defined microbiological condition (MDR Annex II Section 6.2(e))</w:t>
      </w:r>
      <w:bookmarkEnd w:id="56"/>
      <w:bookmarkEnd w:id="57"/>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is not delivered in sterile condition. The device is not intended to be sterilised or delivered with defined microbiological conditions.)</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FF0000"/>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000000" w:themeColor="text1"/>
          <w:kern w:val="0"/>
          <w:sz w:val="21"/>
          <w:szCs w:val="20"/>
          <w:highlight w:val="none"/>
          <w:lang w:val="en-US" w:eastAsia="zh-CN" w:bidi="ar"/>
        </w:rPr>
      </w:pPr>
      <w:bookmarkStart w:id="58" w:name="_Toc7036"/>
      <w:bookmarkStart w:id="59" w:name="_Toc26982"/>
      <w:r>
        <w:rPr>
          <w:rFonts w:hint="eastAsia" w:ascii="Times New Roman" w:hAnsi="Times New Roman" w:eastAsia="Tahoma-Bold" w:cs="Times New Roman"/>
          <w:b w:val="0"/>
          <w:bCs w:val="0"/>
          <w:color w:val="000000" w:themeColor="text1"/>
          <w:kern w:val="0"/>
          <w:sz w:val="21"/>
          <w:szCs w:val="20"/>
          <w:highlight w:val="none"/>
          <w:lang w:val="en-US" w:eastAsia="zh-CN" w:bidi="ar"/>
        </w:rPr>
        <w:t>8.2.10 Infection risk and reusable device(s) (MDR Annex II Section 6.2(e); Annex VI Section 4.10)</w:t>
      </w:r>
      <w:bookmarkEnd w:id="58"/>
      <w:bookmarkEnd w:id="59"/>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details can refer to Section 10 Sterilization, disinfection, and reprocessing.)</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FF0000"/>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highlight w:val="none"/>
          <w:lang w:val="en-US" w:eastAsia="zh-CN" w:bidi="ar"/>
        </w:rPr>
      </w:pPr>
      <w:bookmarkStart w:id="60" w:name="_Toc20220"/>
      <w:bookmarkStart w:id="61" w:name="_Toc28260"/>
      <w:r>
        <w:rPr>
          <w:rFonts w:hint="eastAsia" w:ascii="Times New Roman" w:hAnsi="Times New Roman" w:eastAsia="Tahoma-Bold" w:cs="Times New Roman"/>
          <w:b w:val="0"/>
          <w:bCs w:val="0"/>
          <w:color w:val="auto"/>
          <w:kern w:val="0"/>
          <w:sz w:val="21"/>
          <w:szCs w:val="20"/>
          <w:highlight w:val="none"/>
          <w:lang w:val="en-US" w:eastAsia="zh-CN" w:bidi="ar"/>
        </w:rPr>
        <w:t>8.2.11 Device with a measuring function (MDR Annex II Section 6.2(f))</w:t>
      </w:r>
      <w:bookmarkEnd w:id="60"/>
      <w:bookmarkEnd w:id="61"/>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(Not applicable. The device does not contain a measuring function.)</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auto"/>
          <w:kern w:val="0"/>
          <w:sz w:val="21"/>
          <w:szCs w:val="20"/>
          <w:lang w:val="en-US" w:eastAsia="zh-CN" w:bidi="ar"/>
        </w:rPr>
      </w:pPr>
    </w:p>
    <w:p>
      <w:pPr>
        <w:pStyle w:val="2"/>
        <w:pageBreakBefore w:val="0"/>
        <w:kinsoku/>
        <w:wordWrap/>
        <w:overflowPunct/>
        <w:topLinePunct w:val="0"/>
        <w:bidi w:val="0"/>
        <w:snapToGrid/>
        <w:spacing w:line="360" w:lineRule="auto"/>
        <w:outlineLvl w:val="2"/>
        <w:rPr>
          <w:rFonts w:hint="eastAsia" w:ascii="Times New Roman" w:hAnsi="Times New Roman" w:eastAsia="Tahoma-Bold" w:cs="Times New Roman"/>
          <w:b w:val="0"/>
          <w:bCs w:val="0"/>
          <w:color w:val="auto"/>
          <w:kern w:val="0"/>
          <w:sz w:val="21"/>
          <w:szCs w:val="20"/>
          <w:highlight w:val="none"/>
          <w:lang w:val="en-US" w:eastAsia="zh-CN" w:bidi="ar"/>
        </w:rPr>
      </w:pPr>
      <w:bookmarkStart w:id="62" w:name="_Toc6179"/>
      <w:bookmarkStart w:id="63" w:name="_Toc3769"/>
      <w:r>
        <w:rPr>
          <w:rFonts w:hint="eastAsia" w:ascii="Times New Roman" w:hAnsi="Times New Roman" w:eastAsia="Tahoma-Bold" w:cs="Times New Roman"/>
          <w:b w:val="0"/>
          <w:bCs w:val="0"/>
          <w:color w:val="auto"/>
          <w:kern w:val="0"/>
          <w:sz w:val="21"/>
          <w:szCs w:val="20"/>
          <w:highlight w:val="none"/>
          <w:lang w:val="en-US" w:eastAsia="zh-CN" w:bidi="ar"/>
        </w:rPr>
        <w:t>8.2.12 Devices connected to other device(s) (MDR Annex II Section 6.2(g))</w:t>
      </w:r>
      <w:bookmarkEnd w:id="62"/>
      <w:bookmarkEnd w:id="63"/>
    </w:p>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The device is to be connected to other device(s) in order to operate as intended. The verification can refer to Appendix 8</w:t>
      </w:r>
      <w:r>
        <w:rPr>
          <w:rFonts w:hint="default" w:ascii="Times New Roman" w:hAnsi="Times New Roman" w:eastAsia="宋体" w:cs="Times New Roman"/>
          <w:b/>
          <w:bCs/>
          <w:i/>
          <w:iCs/>
          <w:color w:val="0000FF"/>
          <w:sz w:val="24"/>
          <w:szCs w:val="24"/>
          <w:lang w:val="en-GB" w:eastAsia="de-DE"/>
        </w:rPr>
        <w:t>.</w:t>
      </w:r>
      <w:r>
        <w:rPr>
          <w:rFonts w:hint="default" w:ascii="Times New Roman" w:hAnsi="Times New Roman" w:eastAsia="宋体" w:cs="Times New Roman"/>
          <w:b/>
          <w:bCs/>
          <w:i/>
          <w:iCs/>
          <w:color w:val="0000FF"/>
          <w:sz w:val="24"/>
          <w:szCs w:val="24"/>
          <w:lang w:val="en-US" w:eastAsia="zh-CN"/>
        </w:rPr>
        <w:t>6</w:t>
      </w:r>
      <w:r>
        <w:rPr>
          <w:rFonts w:hint="default" w:ascii="Times New Roman" w:hAnsi="Times New Roman" w:eastAsia="宋体" w:cs="Times New Roman"/>
          <w:b/>
          <w:bCs/>
          <w:i/>
          <w:iCs/>
          <w:color w:val="0000FF"/>
          <w:sz w:val="24"/>
          <w:szCs w:val="24"/>
          <w:lang w:val="en-GB" w:eastAsia="de-DE"/>
        </w:rPr>
        <w:t xml:space="preserve"> Usability engineering fil</w:t>
      </w:r>
      <w:r>
        <w:rPr>
          <w:rFonts w:hint="default" w:ascii="Times New Roman" w:hAnsi="Times New Roman" w:eastAsia="宋体" w:cs="Times New Roman"/>
          <w:b/>
          <w:bCs/>
          <w:i/>
          <w:iCs/>
          <w:color w:val="0000FF"/>
          <w:sz w:val="24"/>
          <w:szCs w:val="24"/>
          <w:lang w:val="en-US" w:eastAsia="zh-CN"/>
        </w:rPr>
        <w:t>e.</w:t>
      </w:r>
    </w:p>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The way of device connecting to the monitor is as below.</w:t>
      </w:r>
    </w:p>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【加入产品连接图片】</w:t>
      </w:r>
    </w:p>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p>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 xml:space="preserve">The combination matrix of </w:t>
      </w:r>
      <w:r>
        <w:rPr>
          <w:rFonts w:hint="eastAsia" w:ascii="Times New Roman" w:hAnsi="Times New Roman" w:eastAsia="宋体" w:cs="Times New Roman"/>
          <w:b/>
          <w:bCs/>
          <w:i/>
          <w:iCs/>
          <w:color w:val="0000FF"/>
          <w:sz w:val="24"/>
          <w:szCs w:val="24"/>
          <w:lang w:val="en-US" w:eastAsia="zh-CN"/>
        </w:rPr>
        <w:t>【产品名称】</w:t>
      </w:r>
      <w:r>
        <w:rPr>
          <w:rFonts w:hint="default" w:ascii="Times New Roman" w:hAnsi="Times New Roman" w:eastAsia="宋体" w:cs="Times New Roman"/>
          <w:b/>
          <w:bCs/>
          <w:i/>
          <w:iCs/>
          <w:color w:val="0000FF"/>
          <w:sz w:val="24"/>
          <w:szCs w:val="24"/>
          <w:lang w:val="en-US" w:eastAsia="zh-CN"/>
        </w:rPr>
        <w:t xml:space="preserve"> and compatible device is as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Product</w:t>
            </w:r>
          </w:p>
        </w:tc>
        <w:tc>
          <w:tcPr>
            <w:tcW w:w="4261" w:type="dxa"/>
            <w:noWrap w:val="0"/>
            <w:vAlign w:val="top"/>
          </w:tcPr>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Compatible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noWrap w:val="0"/>
            <w:vAlign w:val="top"/>
          </w:tcPr>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c>
          <w:tcPr>
            <w:tcW w:w="4261" w:type="dxa"/>
            <w:noWrap w:val="0"/>
            <w:vAlign w:val="top"/>
          </w:tcPr>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tc>
      </w:tr>
    </w:tbl>
    <w:p>
      <w:pPr>
        <w:pStyle w:val="2"/>
        <w:pageBreakBefore w:val="0"/>
        <w:kinsoku/>
        <w:wordWrap/>
        <w:overflowPunct/>
        <w:topLinePunct w:val="0"/>
        <w:bidi w:val="0"/>
        <w:snapToGrid/>
        <w:spacing w:line="360" w:lineRule="auto"/>
        <w:jc w:val="both"/>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FF0000"/>
          <w:kern w:val="0"/>
          <w:sz w:val="21"/>
          <w:szCs w:val="20"/>
          <w:highlight w:val="red"/>
          <w:lang w:val="en-US" w:eastAsia="zh-CN" w:bidi="ar"/>
        </w:rPr>
      </w:pPr>
    </w:p>
    <w:p>
      <w:pPr>
        <w:pStyle w:val="2"/>
        <w:pageBreakBefore w:val="0"/>
        <w:kinsoku/>
        <w:wordWrap/>
        <w:overflowPunct/>
        <w:topLinePunct w:val="0"/>
        <w:bidi w:val="0"/>
        <w:snapToGrid/>
        <w:spacing w:line="360" w:lineRule="auto"/>
        <w:outlineLvl w:val="1"/>
        <w:rPr>
          <w:rFonts w:hint="eastAsia" w:ascii="Times New Roman" w:hAnsi="Times New Roman" w:eastAsia="Tahoma-Bold" w:cs="Times New Roman"/>
          <w:b/>
          <w:bCs/>
          <w:color w:val="auto"/>
          <w:kern w:val="0"/>
          <w:sz w:val="21"/>
          <w:szCs w:val="20"/>
          <w:lang w:val="en-US" w:eastAsia="zh-CN" w:bidi="ar"/>
        </w:rPr>
      </w:pPr>
      <w:bookmarkStart w:id="64" w:name="_Toc12152"/>
      <w:r>
        <w:rPr>
          <w:rFonts w:hint="eastAsia" w:ascii="Times New Roman" w:hAnsi="Times New Roman" w:eastAsia="Tahoma-Bold" w:cs="Times New Roman"/>
          <w:b/>
          <w:bCs/>
          <w:color w:val="auto"/>
          <w:kern w:val="0"/>
          <w:sz w:val="21"/>
          <w:szCs w:val="20"/>
          <w:lang w:val="en-US" w:eastAsia="zh-CN" w:bidi="ar"/>
        </w:rPr>
        <w:t>8.3 Additional regulations, procedures, directives, commission decisions</w:t>
      </w:r>
      <w:bookmarkEnd w:id="64"/>
    </w:p>
    <w:p>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2"/>
        <w:rPr>
          <w:rFonts w:ascii="Times New Roman" w:hAnsi="Times New Roman" w:eastAsia="Tahoma-Bold" w:cs="Times New Roman"/>
          <w:b w:val="0"/>
          <w:bCs w:val="0"/>
          <w:color w:val="auto"/>
          <w:kern w:val="0"/>
          <w:sz w:val="21"/>
          <w:szCs w:val="20"/>
          <w:lang w:val="en-US" w:eastAsia="zh-CN" w:bidi="ar"/>
        </w:rPr>
      </w:pPr>
      <w:bookmarkStart w:id="65" w:name="_Toc22789"/>
      <w:r>
        <w:rPr>
          <w:rFonts w:hint="eastAsia" w:eastAsia="Tahoma-Bold" w:cs="Times New Roman"/>
          <w:b w:val="0"/>
          <w:bCs w:val="0"/>
          <w:color w:val="auto"/>
          <w:kern w:val="0"/>
          <w:sz w:val="21"/>
          <w:szCs w:val="20"/>
          <w:lang w:val="en-US" w:eastAsia="zh-CN" w:bidi="ar"/>
        </w:rPr>
        <w:t>8.3</w:t>
      </w:r>
      <w:r>
        <w:rPr>
          <w:rFonts w:ascii="Times New Roman" w:hAnsi="Times New Roman" w:eastAsia="Tahoma-Bold" w:cs="Times New Roman"/>
          <w:b w:val="0"/>
          <w:bCs w:val="0"/>
          <w:color w:val="auto"/>
          <w:kern w:val="0"/>
          <w:sz w:val="21"/>
          <w:szCs w:val="20"/>
          <w:lang w:val="en-US" w:eastAsia="zh-CN" w:bidi="ar"/>
        </w:rPr>
        <w:t>.1</w:t>
      </w:r>
      <w:r>
        <w:rPr>
          <w:rFonts w:hint="eastAsia" w:eastAsia="Tahoma-Bold" w:cs="Times New Roman"/>
          <w:b w:val="0"/>
          <w:bCs w:val="0"/>
          <w:color w:val="auto"/>
          <w:kern w:val="0"/>
          <w:sz w:val="21"/>
          <w:szCs w:val="20"/>
          <w:lang w:val="en-US" w:eastAsia="zh-CN" w:bidi="ar"/>
        </w:rPr>
        <w:t xml:space="preserve"> </w:t>
      </w:r>
      <w:r>
        <w:rPr>
          <w:rFonts w:ascii="Times New Roman" w:hAnsi="Times New Roman" w:eastAsia="Tahoma-Bold" w:cs="Times New Roman"/>
          <w:b w:val="0"/>
          <w:bCs w:val="0"/>
          <w:color w:val="auto"/>
          <w:kern w:val="0"/>
          <w:sz w:val="21"/>
          <w:szCs w:val="20"/>
          <w:lang w:val="en-US" w:eastAsia="zh-CN" w:bidi="ar"/>
        </w:rPr>
        <w:t>Summary of safety and clinical performance (SSCP) (MDR Article 32)</w:t>
      </w:r>
      <w:bookmarkEnd w:id="65"/>
    </w:p>
    <w:p>
      <w:pPr>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w:t>
      </w:r>
      <w:r>
        <w:rPr>
          <w:rFonts w:hint="eastAsia" w:ascii="Times New Roman" w:hAnsi="Times New Roman" w:eastAsia="Tahoma-Bold" w:cs="Times New Roman"/>
          <w:b/>
          <w:bCs/>
          <w:i/>
          <w:iCs/>
          <w:color w:val="0000FF"/>
          <w:kern w:val="0"/>
          <w:sz w:val="21"/>
          <w:szCs w:val="20"/>
          <w:lang w:val="en-US" w:eastAsia="zh-CN" w:bidi="ar"/>
        </w:rPr>
        <w:t>Not applicable. The device is not an implantable device or class III device.</w:t>
      </w:r>
      <w:r>
        <w:rPr>
          <w:rFonts w:hint="eastAsia" w:eastAsia="Tahoma-Bold" w:cs="Times New Roman"/>
          <w:b/>
          <w:bCs/>
          <w:i/>
          <w:iCs/>
          <w:color w:val="0000FF"/>
          <w:kern w:val="0"/>
          <w:sz w:val="21"/>
          <w:szCs w:val="20"/>
          <w:lang w:val="en-US" w:eastAsia="zh-CN" w:bidi="ar"/>
        </w:rPr>
        <w:t>)</w:t>
      </w:r>
    </w:p>
    <w:p>
      <w:pPr>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Tahoma-Bold" w:cs="Times New Roman"/>
          <w:b w:val="0"/>
          <w:bCs w:val="0"/>
          <w:iCs/>
          <w:color w:val="FF0000"/>
          <w:kern w:val="0"/>
          <w:sz w:val="21"/>
          <w:szCs w:val="20"/>
          <w:lang w:val="en-US" w:eastAsia="zh-CN" w:bidi="ar"/>
        </w:rPr>
      </w:pPr>
    </w:p>
    <w:p>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Tahoma-Bold" w:cs="Times New Roman"/>
          <w:b w:val="0"/>
          <w:bCs w:val="0"/>
          <w:iCs/>
          <w:color w:val="000000" w:themeColor="text1"/>
          <w:kern w:val="0"/>
          <w:sz w:val="21"/>
          <w:szCs w:val="20"/>
          <w:lang w:val="en-US" w:eastAsia="zh-CN" w:bidi="ar"/>
        </w:rPr>
      </w:pPr>
      <w:bookmarkStart w:id="66" w:name="_Toc30190"/>
      <w:r>
        <w:rPr>
          <w:rFonts w:hint="eastAsia" w:eastAsia="Tahoma-Bold" w:cs="Times New Roman"/>
          <w:b w:val="0"/>
          <w:bCs w:val="0"/>
          <w:iCs/>
          <w:color w:val="000000" w:themeColor="text1"/>
          <w:kern w:val="0"/>
          <w:sz w:val="21"/>
          <w:szCs w:val="20"/>
          <w:lang w:val="en-US" w:eastAsia="zh-CN" w:bidi="ar"/>
        </w:rPr>
        <w:t>8.3</w:t>
      </w:r>
      <w:r>
        <w:rPr>
          <w:rFonts w:hint="eastAsia" w:ascii="Times New Roman" w:hAnsi="Times New Roman" w:eastAsia="Tahoma-Bold" w:cs="Times New Roman"/>
          <w:b w:val="0"/>
          <w:bCs w:val="0"/>
          <w:iCs/>
          <w:color w:val="000000" w:themeColor="text1"/>
          <w:kern w:val="0"/>
          <w:sz w:val="21"/>
          <w:szCs w:val="20"/>
          <w:lang w:val="en-US" w:eastAsia="zh-CN" w:bidi="ar"/>
        </w:rPr>
        <w:t>.2 Periodic safety update report (PSUR)(MDR Article 86, Annex III)/Post-market surveillance report (PMS-report)(MDR Articles 85, Annex III)</w:t>
      </w:r>
      <w:bookmarkEnd w:id="66"/>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(The details can refer to Section 12 PMS plan &amp; PSUR &amp; PMCF.)</w:t>
      </w:r>
    </w:p>
    <w:p>
      <w:pPr>
        <w:pStyle w:val="2"/>
        <w:pageBreakBefore w:val="0"/>
        <w:kinsoku/>
        <w:wordWrap/>
        <w:overflowPunct/>
        <w:topLinePunct w:val="0"/>
        <w:bidi w:val="0"/>
        <w:snapToGrid/>
        <w:spacing w:line="360" w:lineRule="auto"/>
        <w:rPr>
          <w:rFonts w:hint="default" w:ascii="Times New Roman" w:hAnsi="Times New Roman" w:eastAsia="Tahoma-Bold" w:cs="Times New Roman"/>
          <w:b w:val="0"/>
          <w:bCs w:val="0"/>
          <w:color w:val="FF0000"/>
          <w:kern w:val="0"/>
          <w:sz w:val="21"/>
          <w:szCs w:val="20"/>
          <w:lang w:val="en-US" w:eastAsia="zh-CN" w:bidi="ar"/>
        </w:rPr>
      </w:pPr>
    </w:p>
    <w:p>
      <w:pPr>
        <w:pStyle w:val="2"/>
        <w:pageBreakBefore w:val="0"/>
        <w:kinsoku/>
        <w:wordWrap/>
        <w:overflowPunct/>
        <w:topLinePunct w:val="0"/>
        <w:bidi w:val="0"/>
        <w:snapToGrid/>
        <w:spacing w:line="360" w:lineRule="auto"/>
        <w:outlineLvl w:val="2"/>
        <w:rPr>
          <w:rFonts w:ascii="Times New Roman" w:hAnsi="Times New Roman" w:eastAsia="Tahoma-Bold" w:cs="Times New Roman"/>
          <w:b w:val="0"/>
          <w:bCs w:val="0"/>
          <w:color w:val="auto"/>
          <w:kern w:val="0"/>
          <w:sz w:val="21"/>
          <w:szCs w:val="20"/>
          <w:highlight w:val="none"/>
          <w:lang w:val="en-US" w:eastAsia="zh-CN" w:bidi="ar"/>
        </w:rPr>
      </w:pPr>
      <w:bookmarkStart w:id="67" w:name="_Toc23474"/>
      <w:r>
        <w:rPr>
          <w:rFonts w:hint="eastAsia" w:ascii="Times New Roman" w:hAnsi="Times New Roman" w:eastAsia="Tahoma-Bold" w:cs="Times New Roman"/>
          <w:b w:val="0"/>
          <w:bCs w:val="0"/>
          <w:color w:val="auto"/>
          <w:kern w:val="0"/>
          <w:sz w:val="21"/>
          <w:szCs w:val="20"/>
          <w:highlight w:val="none"/>
          <w:lang w:val="en-US" w:eastAsia="zh-CN" w:bidi="ar"/>
        </w:rPr>
        <w:t>8.3</w:t>
      </w:r>
      <w:r>
        <w:rPr>
          <w:rFonts w:ascii="Times New Roman" w:hAnsi="Times New Roman" w:eastAsia="Tahoma-Bold" w:cs="Times New Roman"/>
          <w:b w:val="0"/>
          <w:bCs w:val="0"/>
          <w:color w:val="auto"/>
          <w:kern w:val="0"/>
          <w:sz w:val="21"/>
          <w:szCs w:val="20"/>
          <w:highlight w:val="none"/>
          <w:lang w:val="en-US" w:eastAsia="zh-CN" w:bidi="ar"/>
        </w:rPr>
        <w:t>.3</w:t>
      </w:r>
      <w:r>
        <w:rPr>
          <w:rFonts w:hint="eastAsia" w:eastAsia="Tahoma-Bold" w:cs="Times New Roman"/>
          <w:b w:val="0"/>
          <w:bCs w:val="0"/>
          <w:color w:val="auto"/>
          <w:kern w:val="0"/>
          <w:sz w:val="21"/>
          <w:szCs w:val="20"/>
          <w:highlight w:val="none"/>
          <w:lang w:val="en-US" w:eastAsia="zh-CN" w:bidi="ar"/>
        </w:rPr>
        <w:t xml:space="preserve"> </w:t>
      </w:r>
      <w:r>
        <w:rPr>
          <w:rFonts w:ascii="Times New Roman" w:hAnsi="Times New Roman" w:eastAsia="Tahoma-Bold" w:cs="Times New Roman"/>
          <w:b w:val="0"/>
          <w:bCs w:val="0"/>
          <w:color w:val="auto"/>
          <w:kern w:val="0"/>
          <w:sz w:val="21"/>
          <w:szCs w:val="20"/>
          <w:highlight w:val="none"/>
          <w:lang w:val="en-US" w:eastAsia="zh-CN" w:bidi="ar"/>
        </w:rPr>
        <w:t>Environmental protection, safe disposal (GSPR 14.7)</w:t>
      </w:r>
      <w:bookmarkEnd w:id="67"/>
    </w:p>
    <w:p>
      <w:pPr>
        <w:pStyle w:val="2"/>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ascii="Times New Roman" w:hAnsi="Times New Roman" w:eastAsia="Tahoma-Bold" w:cs="Times New Roman"/>
          <w:b/>
          <w:bCs/>
          <w:i/>
          <w:iCs/>
          <w:color w:val="0000FF"/>
          <w:kern w:val="0"/>
          <w:sz w:val="21"/>
          <w:szCs w:val="20"/>
          <w:lang w:val="en-US" w:eastAsia="zh-CN" w:bidi="ar"/>
        </w:rPr>
        <w:t xml:space="preserve">(Disposal Statement of the device is noted in the Instructions for use. </w:t>
      </w:r>
      <w:r>
        <w:rPr>
          <w:rFonts w:hint="default" w:ascii="Times New Roman" w:hAnsi="Times New Roman" w:eastAsia="Tahoma-Bold" w:cs="Times New Roman"/>
          <w:b/>
          <w:bCs/>
          <w:i/>
          <w:iCs/>
          <w:color w:val="0000FF"/>
          <w:kern w:val="0"/>
          <w:sz w:val="21"/>
          <w:szCs w:val="20"/>
          <w:lang w:val="en-US" w:eastAsia="zh-CN" w:bidi="ar"/>
        </w:rPr>
        <w:t>“</w:t>
      </w:r>
      <w:r>
        <w:rPr>
          <w:rFonts w:hint="eastAsia" w:ascii="Times New Roman" w:hAnsi="Times New Roman" w:eastAsia="Tahoma-Bold" w:cs="Times New Roman"/>
          <w:b/>
          <w:bCs/>
          <w:i/>
          <w:iCs/>
          <w:color w:val="0000FF"/>
          <w:kern w:val="0"/>
          <w:sz w:val="21"/>
          <w:szCs w:val="20"/>
          <w:lang w:val="en-US" w:eastAsia="zh-CN" w:bidi="ar"/>
        </w:rPr>
        <w:t>WEEE</w:t>
      </w:r>
      <w:r>
        <w:rPr>
          <w:rFonts w:hint="default" w:ascii="Times New Roman" w:hAnsi="Times New Roman" w:eastAsia="Tahoma-Bold" w:cs="Times New Roman"/>
          <w:b/>
          <w:bCs/>
          <w:i/>
          <w:iCs/>
          <w:color w:val="0000FF"/>
          <w:kern w:val="0"/>
          <w:sz w:val="21"/>
          <w:szCs w:val="20"/>
          <w:lang w:val="en-US" w:eastAsia="zh-CN" w:bidi="ar"/>
        </w:rPr>
        <w:t>”</w:t>
      </w:r>
      <w:r>
        <w:rPr>
          <w:rFonts w:hint="eastAsia" w:ascii="Times New Roman" w:hAnsi="Times New Roman" w:eastAsia="Tahoma-Bold" w:cs="Times New Roman"/>
          <w:b/>
          <w:bCs/>
          <w:i/>
          <w:iCs/>
          <w:color w:val="0000FF"/>
          <w:kern w:val="0"/>
          <w:sz w:val="21"/>
          <w:szCs w:val="20"/>
          <w:lang w:val="en-US" w:eastAsia="zh-CN" w:bidi="ar"/>
        </w:rPr>
        <w:t xml:space="preserve"> label is included in Symbol Explanation of the Instructions for use.)</w:t>
      </w:r>
    </w:p>
    <w:p>
      <w:pPr>
        <w:pStyle w:val="2"/>
        <w:pageBreakBefore w:val="0"/>
        <w:kinsoku/>
        <w:wordWrap/>
        <w:overflowPunct/>
        <w:topLinePunct w:val="0"/>
        <w:bidi w:val="0"/>
        <w:snapToGrid/>
        <w:spacing w:line="360" w:lineRule="auto"/>
        <w:rPr>
          <w:rFonts w:hint="eastAsia" w:ascii="Times New Roman" w:hAnsi="Times New Roman" w:eastAsia="Tahoma-Bold" w:cs="Times New Roman"/>
          <w:b w:val="0"/>
          <w:bCs w:val="0"/>
          <w:color w:val="auto"/>
          <w:kern w:val="0"/>
          <w:sz w:val="21"/>
          <w:szCs w:val="20"/>
          <w:lang w:val="en-US" w:eastAsia="zh-CN" w:bidi="ar"/>
        </w:rPr>
      </w:pPr>
    </w:p>
    <w:p>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2"/>
        <w:rPr>
          <w:rFonts w:ascii="Times New Roman" w:hAnsi="Times New Roman" w:eastAsia="Tahoma-Bold" w:cs="Times New Roman"/>
          <w:b w:val="0"/>
          <w:bCs w:val="0"/>
          <w:color w:val="auto"/>
          <w:kern w:val="0"/>
          <w:sz w:val="21"/>
          <w:szCs w:val="20"/>
          <w:lang w:val="en-US" w:eastAsia="zh-CN" w:bidi="ar"/>
        </w:rPr>
      </w:pPr>
      <w:bookmarkStart w:id="68" w:name="_Toc6492"/>
      <w:r>
        <w:rPr>
          <w:rFonts w:hint="eastAsia" w:eastAsia="Tahoma-Bold" w:cs="Times New Roman"/>
          <w:b w:val="0"/>
          <w:bCs w:val="0"/>
          <w:color w:val="auto"/>
          <w:kern w:val="0"/>
          <w:sz w:val="21"/>
          <w:szCs w:val="20"/>
          <w:lang w:val="en-US" w:eastAsia="zh-CN" w:bidi="ar"/>
        </w:rPr>
        <w:t>8.3</w:t>
      </w:r>
      <w:r>
        <w:rPr>
          <w:rFonts w:ascii="Times New Roman" w:hAnsi="Times New Roman" w:eastAsia="Tahoma-Bold" w:cs="Times New Roman"/>
          <w:b w:val="0"/>
          <w:bCs w:val="0"/>
          <w:color w:val="auto"/>
          <w:kern w:val="0"/>
          <w:sz w:val="21"/>
          <w:szCs w:val="20"/>
          <w:lang w:val="en-US" w:eastAsia="zh-CN" w:bidi="ar"/>
        </w:rPr>
        <w:t>.4</w:t>
      </w:r>
      <w:r>
        <w:rPr>
          <w:rFonts w:hint="eastAsia" w:eastAsia="Tahoma-Bold" w:cs="Times New Roman"/>
          <w:b w:val="0"/>
          <w:bCs w:val="0"/>
          <w:color w:val="auto"/>
          <w:kern w:val="0"/>
          <w:sz w:val="21"/>
          <w:szCs w:val="20"/>
          <w:lang w:val="en-US" w:eastAsia="zh-CN" w:bidi="ar"/>
        </w:rPr>
        <w:t xml:space="preserve"> </w:t>
      </w:r>
      <w:r>
        <w:rPr>
          <w:rFonts w:ascii="Times New Roman" w:hAnsi="Times New Roman" w:eastAsia="Tahoma-Bold" w:cs="Times New Roman"/>
          <w:b w:val="0"/>
          <w:bCs w:val="0"/>
          <w:color w:val="auto"/>
          <w:kern w:val="0"/>
          <w:sz w:val="21"/>
          <w:szCs w:val="20"/>
          <w:lang w:val="en-US" w:eastAsia="zh-CN" w:bidi="ar"/>
        </w:rPr>
        <w:t>Personal Protective Equipment Directive 89/686/EEC</w:t>
      </w:r>
      <w:bookmarkEnd w:id="68"/>
    </w:p>
    <w:p>
      <w:pPr>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w:t>
      </w:r>
      <w:r>
        <w:rPr>
          <w:rFonts w:hint="eastAsia" w:ascii="Times New Roman" w:hAnsi="Times New Roman" w:eastAsia="Tahoma-Bold" w:cs="Times New Roman"/>
          <w:b/>
          <w:bCs/>
          <w:i/>
          <w:iCs/>
          <w:color w:val="0000FF"/>
          <w:kern w:val="0"/>
          <w:sz w:val="21"/>
          <w:szCs w:val="20"/>
          <w:lang w:val="en-US" w:eastAsia="zh-CN" w:bidi="ar"/>
        </w:rPr>
        <w:t>Not applicable. The product does not fall under the scope of Directive 89/686/EEC.</w:t>
      </w:r>
      <w:r>
        <w:rPr>
          <w:rFonts w:hint="eastAsia"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rPr>
          <w:color w:val="auto"/>
          <w:lang w:val="en-US" w:eastAsia="zh-CN"/>
        </w:rPr>
      </w:pPr>
    </w:p>
    <w:p>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2"/>
        <w:rPr>
          <w:rFonts w:ascii="Times New Roman" w:hAnsi="Times New Roman" w:eastAsia="Tahoma-Bold" w:cs="Times New Roman"/>
          <w:b w:val="0"/>
          <w:bCs w:val="0"/>
          <w:color w:val="auto"/>
          <w:kern w:val="0"/>
          <w:sz w:val="21"/>
          <w:szCs w:val="20"/>
          <w:lang w:val="en-US" w:eastAsia="zh-CN" w:bidi="ar"/>
        </w:rPr>
      </w:pPr>
      <w:bookmarkStart w:id="69" w:name="_Toc26158"/>
      <w:r>
        <w:rPr>
          <w:rFonts w:hint="eastAsia" w:eastAsia="Tahoma-Bold" w:cs="Times New Roman"/>
          <w:b w:val="0"/>
          <w:bCs w:val="0"/>
          <w:color w:val="auto"/>
          <w:kern w:val="0"/>
          <w:sz w:val="21"/>
          <w:szCs w:val="20"/>
          <w:lang w:val="en-US" w:eastAsia="zh-CN" w:bidi="ar"/>
        </w:rPr>
        <w:t>8.3</w:t>
      </w:r>
      <w:r>
        <w:rPr>
          <w:rFonts w:ascii="Times New Roman" w:hAnsi="Times New Roman" w:eastAsia="Tahoma-Bold" w:cs="Times New Roman"/>
          <w:b w:val="0"/>
          <w:bCs w:val="0"/>
          <w:color w:val="auto"/>
          <w:kern w:val="0"/>
          <w:sz w:val="21"/>
          <w:szCs w:val="20"/>
          <w:lang w:val="en-US" w:eastAsia="zh-CN" w:bidi="ar"/>
        </w:rPr>
        <w:t>.5</w:t>
      </w:r>
      <w:r>
        <w:rPr>
          <w:rFonts w:hint="eastAsia" w:eastAsia="Tahoma-Bold" w:cs="Times New Roman"/>
          <w:b w:val="0"/>
          <w:bCs w:val="0"/>
          <w:color w:val="auto"/>
          <w:kern w:val="0"/>
          <w:sz w:val="21"/>
          <w:szCs w:val="20"/>
          <w:lang w:val="en-US" w:eastAsia="zh-CN" w:bidi="ar"/>
        </w:rPr>
        <w:t xml:space="preserve"> </w:t>
      </w:r>
      <w:r>
        <w:rPr>
          <w:rFonts w:ascii="Times New Roman" w:hAnsi="Times New Roman" w:eastAsia="Tahoma-Bold" w:cs="Times New Roman"/>
          <w:b w:val="0"/>
          <w:bCs w:val="0"/>
          <w:color w:val="auto"/>
          <w:kern w:val="0"/>
          <w:sz w:val="21"/>
          <w:szCs w:val="20"/>
          <w:lang w:val="en-US" w:eastAsia="zh-CN" w:bidi="ar"/>
        </w:rPr>
        <w:t>Other regulatory requirements</w:t>
      </w:r>
      <w:bookmarkEnd w:id="69"/>
    </w:p>
    <w:p>
      <w:pPr>
        <w:pageBreakBefore w:val="0"/>
        <w:kinsoku/>
        <w:wordWrap/>
        <w:overflowPunct/>
        <w:topLinePunct w:val="0"/>
        <w:bidi w:val="0"/>
        <w:snapToGrid/>
        <w:spacing w:line="360" w:lineRule="auto"/>
        <w:rPr>
          <w:rFonts w:hint="default" w:ascii="Times New Roman" w:hAnsi="Times New Roman" w:eastAsia="Tahoma-Bold" w:cs="Times New Roman"/>
          <w:b/>
          <w:bCs/>
          <w:i/>
          <w:iCs/>
          <w:color w:val="0000FF"/>
          <w:kern w:val="0"/>
          <w:sz w:val="21"/>
          <w:szCs w:val="20"/>
          <w:lang w:val="en-US" w:eastAsia="zh-CN" w:bidi="ar"/>
        </w:rPr>
      </w:pPr>
      <w:r>
        <w:rPr>
          <w:rFonts w:hint="eastAsia" w:eastAsia="Tahoma-Bold" w:cs="Times New Roman"/>
          <w:b/>
          <w:bCs/>
          <w:i/>
          <w:iCs/>
          <w:color w:val="0000FF"/>
          <w:kern w:val="0"/>
          <w:sz w:val="21"/>
          <w:szCs w:val="20"/>
          <w:lang w:val="en-US" w:eastAsia="zh-CN" w:bidi="ar"/>
        </w:rPr>
        <w:t>(</w:t>
      </w:r>
      <w:r>
        <w:rPr>
          <w:rFonts w:hint="eastAsia" w:ascii="Times New Roman" w:hAnsi="Times New Roman" w:eastAsia="Tahoma-Bold" w:cs="Times New Roman"/>
          <w:b/>
          <w:bCs/>
          <w:i/>
          <w:iCs/>
          <w:color w:val="0000FF"/>
          <w:kern w:val="0"/>
          <w:sz w:val="21"/>
          <w:szCs w:val="20"/>
          <w:lang w:val="en-US" w:eastAsia="zh-CN" w:bidi="ar"/>
        </w:rPr>
        <w:t>Not applicable. The product does not fall under other regulatory requirements than those referenced in this document.</w:t>
      </w:r>
      <w:r>
        <w:rPr>
          <w:rFonts w:hint="eastAsia" w:eastAsia="Tahoma-Bold" w:cs="Times New Roman"/>
          <w:b/>
          <w:bCs/>
          <w:i/>
          <w:iCs/>
          <w:color w:val="0000FF"/>
          <w:kern w:val="0"/>
          <w:sz w:val="21"/>
          <w:szCs w:val="20"/>
          <w:lang w:val="en-US" w:eastAsia="zh-CN" w:bidi="ar"/>
        </w:rPr>
        <w:t>)</w:t>
      </w:r>
    </w:p>
    <w:p>
      <w:pPr>
        <w:pStyle w:val="2"/>
        <w:pageBreakBefore w:val="0"/>
        <w:kinsoku/>
        <w:wordWrap/>
        <w:overflowPunct/>
        <w:topLinePunct w:val="0"/>
        <w:bidi w:val="0"/>
        <w:snapToGrid/>
        <w:spacing w:line="360" w:lineRule="auto"/>
        <w:rPr>
          <w:rFonts w:hint="eastAsia" w:ascii="Times New Roman" w:hAnsi="Times New Roman" w:eastAsia="Tahoma-Bold" w:cs="Times New Roman"/>
          <w:b/>
          <w:bCs/>
          <w:color w:val="FF0000"/>
          <w:kern w:val="0"/>
          <w:sz w:val="21"/>
          <w:szCs w:val="20"/>
          <w:lang w:val="en-US" w:eastAsia="zh-CN" w:bidi="ar"/>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pStyle w:val="4"/>
      <w:lvlText w:val="%1.%2"/>
      <w:lvlJc w:val="left"/>
      <w:pPr>
        <w:ind w:left="425" w:hanging="425"/>
      </w:pPr>
      <w:rPr>
        <w:rFonts w:hint="eastAsia"/>
      </w:rPr>
    </w:lvl>
    <w:lvl w:ilvl="2" w:tentative="0">
      <w:start w:val="1"/>
      <w:numFmt w:val="decimal"/>
      <w:pStyle w:val="5"/>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B07083A"/>
    <w:rsid w:val="42491C0F"/>
    <w:rsid w:val="462E437E"/>
    <w:rsid w:val="46561FD1"/>
    <w:rsid w:val="4B950155"/>
    <w:rsid w:val="543A6A17"/>
    <w:rsid w:val="5688131E"/>
    <w:rsid w:val="5854681A"/>
    <w:rsid w:val="5B3D4524"/>
    <w:rsid w:val="5DEA1794"/>
    <w:rsid w:val="5F4158BD"/>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4">
    <w:name w:val="heading 2"/>
    <w:basedOn w:val="1"/>
    <w:next w:val="1"/>
    <w:qFormat/>
    <w:uiPriority w:val="0"/>
    <w:pPr>
      <w:keepNext/>
      <w:numPr>
        <w:ilvl w:val="1"/>
        <w:numId w:val="1"/>
      </w:numPr>
      <w:spacing w:line="360" w:lineRule="auto"/>
      <w:ind w:left="0" w:firstLine="0"/>
      <w:outlineLvl w:val="1"/>
    </w:pPr>
    <w:rPr>
      <w:rFonts w:eastAsia="Times New Roman"/>
      <w:b/>
      <w:bCs/>
      <w:iCs/>
      <w:kern w:val="0"/>
      <w:sz w:val="24"/>
      <w:szCs w:val="21"/>
    </w:rPr>
  </w:style>
  <w:style w:type="paragraph" w:styleId="5">
    <w:name w:val="heading 3"/>
    <w:basedOn w:val="1"/>
    <w:next w:val="1"/>
    <w:unhideWhenUsed/>
    <w:qFormat/>
    <w:uiPriority w:val="9"/>
    <w:pPr>
      <w:keepNext/>
      <w:keepLines/>
      <w:numPr>
        <w:ilvl w:val="2"/>
        <w:numId w:val="1"/>
      </w:numPr>
      <w:spacing w:before="100" w:after="100" w:line="360" w:lineRule="auto"/>
      <w:outlineLvl w:val="2"/>
    </w:pPr>
    <w:rPr>
      <w:rFonts w:eastAsia="Times New Roman"/>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toc 3"/>
    <w:basedOn w:val="1"/>
    <w:next w:val="1"/>
    <w:unhideWhenUsed/>
    <w:qFormat/>
    <w:uiPriority w:val="39"/>
    <w:pPr>
      <w:ind w:left="840" w:leftChars="4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iPriority w:val="0"/>
    <w:rPr>
      <w:color w:val="0000FF"/>
      <w:u w:val="single"/>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2023-10-25T02:53:24Z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