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sz w:val="52"/>
          <w:szCs w:val="52"/>
        </w:rPr>
      </w:pPr>
    </w:p>
    <w:p>
      <w:pPr>
        <w:pStyle w:val="2"/>
        <w:rPr>
          <w:rFonts w:hint="default" w:ascii="Times New Roman" w:hAnsi="Times New Roman" w:cs="Times New Roman"/>
          <w:b/>
          <w:sz w:val="52"/>
          <w:szCs w:val="52"/>
        </w:rPr>
      </w:pPr>
    </w:p>
    <w:p>
      <w:pPr>
        <w:pStyle w:val="2"/>
        <w:rPr>
          <w:rFonts w:hint="default" w:ascii="Times New Roman" w:hAnsi="Times New Roman" w:cs="Times New Roman"/>
          <w:b/>
          <w:sz w:val="52"/>
          <w:szCs w:val="52"/>
        </w:rPr>
      </w:pPr>
    </w:p>
    <w:p>
      <w:pPr>
        <w:jc w:val="center"/>
        <w:rPr>
          <w:rFonts w:hint="default" w:ascii="Times New Roman" w:hAnsi="Times New Roman" w:cs="Times New Roman"/>
          <w:b/>
          <w:sz w:val="52"/>
          <w:szCs w:val="52"/>
        </w:rPr>
      </w:pPr>
      <w:r>
        <w:rPr>
          <w:rFonts w:hint="default" w:ascii="Times New Roman" w:hAnsi="Times New Roman" w:cs="Times New Roman"/>
          <w:b/>
          <w:sz w:val="52"/>
          <w:szCs w:val="52"/>
        </w:rPr>
        <w:t>Benefit-risk analysis and risk management</w:t>
      </w:r>
    </w:p>
    <w:p>
      <w:pPr>
        <w:jc w:val="center"/>
        <w:rPr>
          <w:rFonts w:hint="default" w:ascii="Times New Roman" w:hAnsi="Times New Roman" w:cs="Times New Roman"/>
          <w:sz w:val="24"/>
          <w:szCs w:val="24"/>
        </w:rPr>
      </w:pPr>
      <w:r>
        <w:rPr>
          <w:rFonts w:hint="default" w:ascii="Times New Roman" w:hAnsi="Times New Roman" w:cs="Times New Roman"/>
          <w:b/>
          <w:sz w:val="44"/>
          <w:szCs w:val="44"/>
        </w:rPr>
        <w:t xml:space="preserve">              </w:t>
      </w:r>
    </w:p>
    <w:p>
      <w:pPr>
        <w:pStyle w:val="2"/>
        <w:rPr>
          <w:rFonts w:hint="default" w:ascii="Times New Roman" w:hAnsi="Times New Roman" w:cs="Times New Roman"/>
          <w:color w:val="auto"/>
        </w:rPr>
      </w:pPr>
    </w:p>
    <w:p>
      <w:pPr>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bookmarkStart w:id="0"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bookmarkEnd w:id="0"/>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Edition: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2"/>
        <w:rPr>
          <w:rFonts w:hint="default" w:ascii="Times New Roman" w:hAnsi="Times New Roman" w:cs="Times New Roman"/>
        </w:rPr>
      </w:pPr>
    </w:p>
    <w:p>
      <w:pPr>
        <w:pStyle w:val="2"/>
        <w:rPr>
          <w:rFonts w:hint="default" w:ascii="Times New Roman" w:hAnsi="Times New Roman" w:eastAsia="华文细黑" w:cs="Times New Roman"/>
          <w:b/>
          <w:color w:val="auto"/>
          <w:sz w:val="30"/>
          <w:szCs w:val="30"/>
        </w:rPr>
      </w:pP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Approved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eastAsia="华文细黑" w:cs="Times New Roman"/>
          <w:b/>
          <w:sz w:val="30"/>
          <w:szCs w:val="30"/>
        </w:rPr>
      </w:pPr>
      <w:r>
        <w:rPr>
          <w:rFonts w:hint="default" w:ascii="Times New Roman" w:hAnsi="Times New Roman" w:cs="Times New Roman"/>
          <w:b/>
          <w:bCs/>
          <w:sz w:val="28"/>
          <w:szCs w:val="28"/>
        </w:rPr>
        <w:t>Applied</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t xml:space="preserve"> by</w:t>
      </w:r>
      <w:r>
        <w:rPr>
          <w:rFonts w:hint="default" w:ascii="Times New Roman" w:hAnsi="Times New Roman" w:cs="Times New Roman"/>
          <w:b/>
          <w:bCs/>
          <w:sz w:val="28"/>
          <w:szCs w:val="28"/>
        </w:rPr>
        <w:t>：</w:t>
      </w:r>
    </w:p>
    <w:p>
      <w:pPr>
        <w:pStyle w:val="2"/>
        <w:rPr>
          <w:rFonts w:hint="default" w:ascii="Times New Roman" w:hAnsi="Times New Roman" w:eastAsia="华文细黑" w:cs="Times New Roman"/>
          <w:b/>
          <w:color w:val="auto"/>
          <w:sz w:val="30"/>
          <w:szCs w:val="30"/>
        </w:rPr>
      </w:pPr>
    </w:p>
    <w:p>
      <w:pPr>
        <w:pStyle w:val="2"/>
        <w:rPr>
          <w:rFonts w:hint="default" w:ascii="Times New Roman" w:hAnsi="Times New Roman" w:eastAsia="华文细黑" w:cs="Times New Roman"/>
          <w:b/>
          <w:color w:val="auto"/>
          <w:sz w:val="30"/>
          <w:szCs w:val="30"/>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color w:val="auto"/>
        </w:rPr>
      </w:pPr>
    </w:p>
    <w:p>
      <w:pPr>
        <w:rPr>
          <w:b/>
          <w:bCs/>
          <w:sz w:val="30"/>
          <w:szCs w:val="30"/>
        </w:rPr>
      </w:pPr>
      <w:bookmarkStart w:id="1" w:name="_Toc13987"/>
      <w:r>
        <w:rPr>
          <w:b/>
          <w:bCs/>
          <w:sz w:val="30"/>
          <w:szCs w:val="30"/>
        </w:rPr>
        <w:br w:type="page"/>
      </w:r>
    </w:p>
    <w:bookmarkEnd w:id="1"/>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9"/>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2"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both"/>
        <w:rPr>
          <w:b/>
          <w:bCs/>
          <w:color w:val="auto"/>
          <w:sz w:val="30"/>
          <w:szCs w:val="30"/>
        </w:rPr>
      </w:pPr>
    </w:p>
    <w:p>
      <w:pPr>
        <w:pStyle w:val="2"/>
      </w:pPr>
    </w:p>
    <w:p>
      <w:pPr>
        <w:jc w:val="center"/>
        <w:outlineLvl w:val="0"/>
        <w:rPr>
          <w:rFonts w:hint="default" w:ascii="Times New Roman" w:hAnsi="Times New Roman" w:cs="Times New Roman"/>
          <w:b/>
          <w:bCs/>
          <w:color w:val="auto"/>
          <w:sz w:val="30"/>
          <w:szCs w:val="30"/>
        </w:rPr>
      </w:pPr>
      <w:bookmarkStart w:id="3" w:name="_Toc29848"/>
      <w:bookmarkStart w:id="4" w:name="_Toc11116"/>
      <w:bookmarkStart w:id="5" w:name="_Toc32516"/>
      <w:bookmarkStart w:id="6" w:name="_Toc10038"/>
      <w:r>
        <w:rPr>
          <w:rFonts w:hint="default" w:ascii="Times New Roman" w:hAnsi="Times New Roman" w:cs="Times New Roman"/>
          <w:b/>
          <w:bCs/>
          <w:color w:val="auto"/>
          <w:sz w:val="30"/>
          <w:szCs w:val="30"/>
        </w:rPr>
        <w:t>Table of Contents</w:t>
      </w:r>
      <w:bookmarkEnd w:id="3"/>
      <w:bookmarkEnd w:id="4"/>
      <w:bookmarkEnd w:id="5"/>
      <w:bookmarkEnd w:id="6"/>
    </w:p>
    <w:sdt>
      <w:sdtPr>
        <w:rPr>
          <w:rFonts w:ascii="宋体" w:hAnsi="宋体" w:eastAsia="宋体" w:cs="Times New Roman"/>
          <w:kern w:val="2"/>
          <w:sz w:val="21"/>
          <w:lang w:val="en-US" w:eastAsia="zh-CN" w:bidi="ar-SA"/>
        </w:rPr>
        <w:id w:val="147455643"/>
        <w15:color w:val="DBDBDB"/>
        <w:docPartObj>
          <w:docPartGallery w:val="Table of Contents"/>
          <w:docPartUnique/>
        </w:docPartObj>
      </w:sdtPr>
      <w:sdtEndPr>
        <w:rPr>
          <w:rFonts w:ascii="Times New Roman" w:hAnsi="Times New Roman" w:eastAsia="Tahoma-Bold" w:cs="Times New Roman"/>
          <w:b/>
          <w:bCs w:val="0"/>
          <w:color w:val="auto"/>
          <w:kern w:val="0"/>
          <w:sz w:val="24"/>
          <w:szCs w:val="20"/>
          <w:lang w:val="en-US" w:eastAsia="zh-CN" w:bidi="ar"/>
        </w:rPr>
      </w:sdtEndPr>
      <w:sdtContent>
        <w:p>
          <w:pPr>
            <w:spacing w:before="0" w:beforeLines="0" w:after="0" w:afterLines="0" w:line="240" w:lineRule="auto"/>
            <w:ind w:left="0" w:leftChars="0" w:right="0" w:rightChars="0" w:firstLine="0" w:firstLineChars="0"/>
            <w:jc w:val="center"/>
          </w:pPr>
        </w:p>
        <w:p>
          <w:pPr>
            <w:pStyle w:val="7"/>
            <w:tabs>
              <w:tab w:val="right" w:leader="dot" w:pos="8306"/>
            </w:tabs>
          </w:pPr>
          <w:r>
            <w:rPr>
              <w:rFonts w:ascii="Times New Roman" w:hAnsi="Times New Roman" w:eastAsia="Tahoma-Bold" w:cs="Times New Roman"/>
              <w:b w:val="0"/>
              <w:bCs w:val="0"/>
              <w:color w:val="auto"/>
              <w:kern w:val="0"/>
              <w:sz w:val="21"/>
              <w:szCs w:val="20"/>
              <w:lang w:val="en-US" w:eastAsia="zh-CN" w:bidi="ar"/>
            </w:rPr>
            <w:fldChar w:fldCharType="begin"/>
          </w:r>
          <w:r>
            <w:rPr>
              <w:rFonts w:ascii="Times New Roman" w:hAnsi="Times New Roman" w:eastAsia="Tahoma-Bold" w:cs="Times New Roman"/>
              <w:b w:val="0"/>
              <w:bCs w:val="0"/>
              <w:color w:val="auto"/>
              <w:kern w:val="0"/>
              <w:sz w:val="21"/>
              <w:szCs w:val="20"/>
              <w:lang w:val="en-US" w:eastAsia="zh-CN" w:bidi="ar"/>
            </w:rPr>
            <w:instrText xml:space="preserve">TOC \o "1-3" \h \u </w:instrText>
          </w:r>
          <w:r>
            <w:rPr>
              <w:rFonts w:ascii="Times New Roman" w:hAnsi="Times New Roman" w:eastAsia="Tahoma-Bold" w:cs="Times New Roman"/>
              <w:b w:val="0"/>
              <w:bCs w:val="0"/>
              <w:color w:val="auto"/>
              <w:kern w:val="0"/>
              <w:sz w:val="21"/>
              <w:szCs w:val="20"/>
              <w:lang w:val="en-US" w:eastAsia="zh-CN" w:bidi="ar"/>
            </w:rPr>
            <w:fldChar w:fldCharType="separate"/>
          </w: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_Toc2614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kern w:val="0"/>
              <w:szCs w:val="20"/>
              <w:lang w:val="en-US" w:eastAsia="zh-CN" w:bidi="ar"/>
            </w:rPr>
            <w:t xml:space="preserve">7 </w:t>
          </w:r>
          <w:r>
            <w:rPr>
              <w:rFonts w:ascii="Times New Roman" w:hAnsi="Times New Roman" w:eastAsia="Tahoma-Bold" w:cs="Times New Roman"/>
              <w:bCs/>
              <w:kern w:val="0"/>
              <w:szCs w:val="20"/>
              <w:lang w:val="en-US" w:eastAsia="zh-CN" w:bidi="ar"/>
            </w:rPr>
            <w:t>Benefit-Risk Analysis and Risk Management (MDR ARTICLE 10.2; MDR ANNEX II SECTION 5)</w:t>
          </w:r>
          <w:r>
            <w:tab/>
          </w:r>
          <w:r>
            <w:fldChar w:fldCharType="begin"/>
          </w:r>
          <w:r>
            <w:instrText xml:space="preserve"> PAGEREF _Toc2614 \h </w:instrText>
          </w:r>
          <w:r>
            <w:fldChar w:fldCharType="separate"/>
          </w:r>
          <w:r>
            <w:t>4</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ascii="Times New Roman" w:hAnsi="Times New Roman" w:eastAsia="Tahoma-Bold" w:cs="Times New Roman"/>
              <w:b w:val="0"/>
              <w:bCs w:val="0"/>
              <w:color w:val="auto"/>
              <w:kern w:val="0"/>
              <w:sz w:val="21"/>
              <w:szCs w:val="20"/>
              <w:lang w:val="en-US" w:eastAsia="zh-CN" w:bidi="ar"/>
            </w:rPr>
          </w:pPr>
          <w:r>
            <w:rPr>
              <w:rFonts w:ascii="Times New Roman" w:hAnsi="Times New Roman" w:eastAsia="Tahoma-Bold" w:cs="Times New Roman"/>
              <w:bCs w:val="0"/>
              <w:color w:val="auto"/>
              <w:kern w:val="0"/>
              <w:szCs w:val="20"/>
              <w:lang w:val="en-US" w:eastAsia="zh-CN" w:bidi="ar"/>
            </w:rPr>
            <w:fldChar w:fldCharType="end"/>
          </w:r>
        </w:p>
      </w:sdtContent>
    </w:sdt>
    <w:p>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ascii="Times New Roman" w:hAnsi="Times New Roman" w:eastAsia="Tahoma-Bold" w:cs="Times New Roman"/>
          <w:b w:val="0"/>
          <w:bCs w:val="0"/>
          <w:color w:val="auto"/>
          <w:kern w:val="0"/>
          <w:sz w:val="21"/>
          <w:szCs w:val="20"/>
          <w:lang w:val="en-US" w:eastAsia="zh-CN" w:bidi="ar"/>
        </w:rPr>
      </w:pPr>
    </w:p>
    <w:p>
      <w:pPr>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rPr>
          <w:rFonts w:hint="eastAsia" w:ascii="Times New Roman" w:hAnsi="Times New Roman" w:eastAsia="Tahoma-Bold" w:cs="Times New Roman"/>
          <w:b/>
          <w:bCs/>
          <w:color w:val="auto"/>
          <w:kern w:val="0"/>
          <w:sz w:val="21"/>
          <w:szCs w:val="20"/>
          <w:lang w:val="en-US" w:eastAsia="zh-CN" w:bidi="ar"/>
        </w:rPr>
      </w:pPr>
      <w:bookmarkStart w:id="7" w:name="_Toc2614"/>
      <w:r>
        <w:rPr>
          <w:rFonts w:hint="eastAsia" w:ascii="Times New Roman" w:hAnsi="Times New Roman" w:eastAsia="Tahoma-Bold" w:cs="Times New Roman"/>
          <w:b/>
          <w:bCs/>
          <w:color w:val="auto"/>
          <w:kern w:val="0"/>
          <w:sz w:val="21"/>
          <w:szCs w:val="20"/>
          <w:lang w:val="en-US" w:eastAsia="zh-CN" w:bidi="ar"/>
        </w:rPr>
        <w:br w:type="page"/>
      </w:r>
    </w:p>
    <w:p>
      <w:pPr>
        <w:pStyle w:val="2"/>
        <w:keepNext w:val="0"/>
        <w:keepLines w:val="0"/>
        <w:pageBreakBefore w:val="0"/>
        <w:numPr>
          <w:ilvl w:val="0"/>
          <w:numId w:val="0"/>
        </w:numPr>
        <w:kinsoku/>
        <w:wordWrap/>
        <w:overflowPunct/>
        <w:topLinePunct w:val="0"/>
        <w:autoSpaceDE w:val="0"/>
        <w:bidi w:val="0"/>
        <w:snapToGrid/>
        <w:spacing w:line="360" w:lineRule="auto"/>
        <w:ind w:leftChars="0"/>
        <w:textAlignment w:val="auto"/>
        <w:outlineLvl w:val="0"/>
        <w:rPr>
          <w:rFonts w:hint="default" w:ascii="Times New Roman" w:hAnsi="Times New Roman" w:eastAsia="Tahoma-Bold" w:cs="Times New Roman"/>
          <w:b/>
          <w:bCs/>
          <w:color w:val="auto"/>
          <w:kern w:val="0"/>
          <w:sz w:val="21"/>
          <w:szCs w:val="20"/>
          <w:lang w:val="en-US" w:eastAsia="zh-CN" w:bidi="ar"/>
        </w:rPr>
      </w:pPr>
      <w:r>
        <w:rPr>
          <w:rFonts w:hint="default" w:ascii="Times New Roman" w:hAnsi="Times New Roman" w:eastAsia="Tahoma-Bold" w:cs="Times New Roman"/>
          <w:b/>
          <w:bCs/>
          <w:color w:val="auto"/>
          <w:kern w:val="0"/>
          <w:sz w:val="21"/>
          <w:szCs w:val="20"/>
          <w:lang w:val="en-US" w:eastAsia="zh-CN" w:bidi="ar"/>
        </w:rPr>
        <w:t>7 Benefit-Risk Analysis and Risk Management (MDR ARTICLE 10.2; MDR ANNEX II SECTION 5)</w:t>
      </w:r>
      <w:bookmarkEnd w:id="7"/>
    </w:p>
    <w:p>
      <w:pPr>
        <w:keepNext w:val="0"/>
        <w:keepLines w:val="0"/>
        <w:pageBreakBefore w:val="0"/>
        <w:widowControl/>
        <w:kinsoku/>
        <w:wordWrap/>
        <w:overflowPunct/>
        <w:topLinePunct w:val="0"/>
        <w:autoSpaceDE w:val="0"/>
        <w:bidi w:val="0"/>
        <w:snapToGrid/>
        <w:spacing w:line="360" w:lineRule="auto"/>
        <w:jc w:val="left"/>
        <w:textAlignment w:val="auto"/>
        <w:rPr>
          <w:rFonts w:hint="default" w:ascii="Times New Roman" w:hAnsi="Times New Roman" w:eastAsia="Tahoma-Bold" w:cs="Times New Roman"/>
          <w:b/>
          <w:bCs/>
          <w:i/>
          <w:iCs/>
          <w:color w:val="0000FF"/>
          <w:kern w:val="0"/>
          <w:sz w:val="21"/>
          <w:szCs w:val="20"/>
          <w:lang w:val="en-US" w:eastAsia="zh-CN" w:bidi="ar"/>
        </w:rPr>
      </w:pPr>
      <w:r>
        <w:rPr>
          <w:rFonts w:hint="default" w:ascii="Times New Roman" w:hAnsi="Times New Roman" w:eastAsia="Tahoma-Bold" w:cs="Times New Roman"/>
          <w:b/>
          <w:bCs/>
          <w:i/>
          <w:iCs/>
          <w:color w:val="0000FF"/>
          <w:kern w:val="0"/>
          <w:sz w:val="21"/>
          <w:szCs w:val="20"/>
          <w:lang w:val="en-US" w:eastAsia="zh-CN" w:bidi="ar"/>
        </w:rPr>
        <w:t>(</w:t>
      </w:r>
    </w:p>
    <w:p>
      <w:pPr>
        <w:keepNext w:val="0"/>
        <w:keepLines w:val="0"/>
        <w:pageBreakBefore w:val="0"/>
        <w:widowControl/>
        <w:kinsoku/>
        <w:wordWrap/>
        <w:overflowPunct/>
        <w:topLinePunct w:val="0"/>
        <w:autoSpaceDE w:val="0"/>
        <w:bidi w:val="0"/>
        <w:snapToGrid/>
        <w:spacing w:line="360" w:lineRule="auto"/>
        <w:jc w:val="left"/>
        <w:textAlignment w:val="auto"/>
        <w:rPr>
          <w:rFonts w:hint="default" w:ascii="Times New Roman" w:hAnsi="Times New Roman" w:eastAsia="Tahoma-Bold" w:cs="Times New Roman"/>
          <w:b/>
          <w:bCs/>
          <w:i/>
          <w:iCs/>
          <w:color w:val="0000FF"/>
          <w:kern w:val="0"/>
          <w:sz w:val="21"/>
          <w:szCs w:val="20"/>
          <w:lang w:val="en-US" w:eastAsia="zh-CN" w:bidi="ar"/>
        </w:rPr>
      </w:pPr>
      <w:r>
        <w:rPr>
          <w:rFonts w:hint="default" w:ascii="Times New Roman" w:hAnsi="Times New Roman" w:eastAsia="Tahoma-Bold" w:cs="Times New Roman"/>
          <w:b/>
          <w:bCs/>
          <w:i/>
          <w:iCs/>
          <w:color w:val="0000FF"/>
          <w:kern w:val="0"/>
          <w:sz w:val="21"/>
          <w:szCs w:val="20"/>
          <w:lang w:val="en-US" w:eastAsia="zh-CN" w:bidi="ar"/>
        </w:rPr>
        <w:t xml:space="preserve">A thorough design and process risk management assessment is conducted for the entire lifecycle of the device (from initial design concept up to and including device disposal). It is updated (as appropriate) with data from PMS. </w:t>
      </w:r>
    </w:p>
    <w:p>
      <w:pPr>
        <w:keepNext w:val="0"/>
        <w:keepLines w:val="0"/>
        <w:pageBreakBefore w:val="0"/>
        <w:widowControl/>
        <w:kinsoku/>
        <w:wordWrap/>
        <w:overflowPunct/>
        <w:topLinePunct w:val="0"/>
        <w:autoSpaceDE w:val="0"/>
        <w:bidi w:val="0"/>
        <w:snapToGrid/>
        <w:spacing w:line="360" w:lineRule="auto"/>
        <w:jc w:val="left"/>
        <w:textAlignment w:val="auto"/>
        <w:rPr>
          <w:rFonts w:hint="default" w:ascii="Times New Roman" w:hAnsi="Times New Roman" w:eastAsia="Tahoma-Bold" w:cs="Times New Roman"/>
          <w:b/>
          <w:bCs/>
          <w:i/>
          <w:iCs/>
          <w:color w:val="0000FF"/>
          <w:kern w:val="0"/>
          <w:sz w:val="21"/>
          <w:szCs w:val="20"/>
          <w:lang w:val="en-US" w:eastAsia="zh-CN" w:bidi="ar"/>
        </w:rPr>
      </w:pPr>
      <w:r>
        <w:rPr>
          <w:rFonts w:hint="default" w:ascii="Times New Roman" w:hAnsi="Times New Roman" w:eastAsia="Tahoma-Bold" w:cs="Times New Roman"/>
          <w:b/>
          <w:bCs/>
          <w:i/>
          <w:iCs/>
          <w:color w:val="0000FF"/>
          <w:kern w:val="0"/>
          <w:sz w:val="21"/>
          <w:szCs w:val="20"/>
          <w:lang w:val="en-US" w:eastAsia="zh-CN" w:bidi="ar"/>
        </w:rPr>
        <w:t>The details can refer to Appendix 7.1 Risk management procedure, Appendix 7.2 Risk Management Plan and Appendix 7.3 Risk Management Report.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710"/>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SN</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Document</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1</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Risk management procedure</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 xml:space="preserve">Appendix </w:t>
            </w:r>
            <w:r>
              <w:rPr>
                <w:rFonts w:hint="default" w:ascii="Times New Roman" w:hAnsi="Times New Roman" w:eastAsia="Times New Roman" w:cs="Times New Roman"/>
                <w:b/>
                <w:bCs/>
                <w:i/>
                <w:iCs/>
                <w:color w:val="0000FF"/>
                <w:lang w:val="en-US" w:eastAsia="zh-CN"/>
              </w:rPr>
              <w:t>7</w:t>
            </w:r>
            <w:r>
              <w:rPr>
                <w:rFonts w:hint="default" w:ascii="Times New Roman" w:hAnsi="Times New Roman" w:eastAsia="Times New Roman" w:cs="Times New Roman"/>
                <w:b/>
                <w:bCs/>
                <w:i/>
                <w:iCs/>
                <w:color w:val="0000FF"/>
                <w:lang w:val="nl-NL" w:eastAsia="zh-CN"/>
              </w:rPr>
              <w:t>.1 Risk management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2</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Risk Management Plan</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 xml:space="preserve">Appendix </w:t>
            </w:r>
            <w:r>
              <w:rPr>
                <w:rFonts w:hint="default" w:ascii="Times New Roman" w:hAnsi="Times New Roman" w:eastAsia="Times New Roman" w:cs="Times New Roman"/>
                <w:b/>
                <w:bCs/>
                <w:i/>
                <w:iCs/>
                <w:color w:val="0000FF"/>
                <w:lang w:val="en-US" w:eastAsia="zh-CN"/>
              </w:rPr>
              <w:t>7</w:t>
            </w:r>
            <w:r>
              <w:rPr>
                <w:rFonts w:hint="default" w:ascii="Times New Roman" w:hAnsi="Times New Roman" w:eastAsia="Times New Roman" w:cs="Times New Roman"/>
                <w:b/>
                <w:bCs/>
                <w:i/>
                <w:iCs/>
                <w:color w:val="0000FF"/>
                <w:lang w:val="nl-NL" w:eastAsia="zh-CN"/>
              </w:rPr>
              <w:t>.2 Risk Management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3</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Risk acceptance criteria</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Risk acceptance criteria</w:t>
            </w:r>
            <w:r>
              <w:rPr>
                <w:rFonts w:hint="default" w:ascii="Times New Roman" w:hAnsi="Times New Roman" w:eastAsia="Times New Roman" w:cs="Times New Roman"/>
                <w:b/>
                <w:bCs/>
                <w:i/>
                <w:iCs/>
                <w:color w:val="0000FF"/>
                <w:lang w:val="en-US" w:eastAsia="zh-CN"/>
              </w:rPr>
              <w:t xml:space="preserve"> in </w:t>
            </w:r>
            <w:r>
              <w:rPr>
                <w:rFonts w:hint="default" w:ascii="Times New Roman" w:hAnsi="Times New Roman" w:eastAsia="Times New Roman" w:cs="Times New Roman"/>
                <w:b/>
                <w:bCs/>
                <w:i/>
                <w:iCs/>
                <w:color w:val="0000FF"/>
                <w:lang w:val="nl-NL" w:eastAsia="zh-CN"/>
              </w:rPr>
              <w:t xml:space="preserve">Appendix </w:t>
            </w:r>
            <w:r>
              <w:rPr>
                <w:rFonts w:hint="default" w:ascii="Times New Roman" w:hAnsi="Times New Roman" w:eastAsia="Times New Roman" w:cs="Times New Roman"/>
                <w:b/>
                <w:bCs/>
                <w:i/>
                <w:iCs/>
                <w:color w:val="0000FF"/>
                <w:lang w:val="en-US" w:eastAsia="zh-CN"/>
              </w:rPr>
              <w:t>7</w:t>
            </w:r>
            <w:r>
              <w:rPr>
                <w:rFonts w:hint="default" w:ascii="Times New Roman" w:hAnsi="Times New Roman" w:eastAsia="Times New Roman" w:cs="Times New Roman"/>
                <w:b/>
                <w:bCs/>
                <w:i/>
                <w:iCs/>
                <w:color w:val="0000FF"/>
                <w:lang w:val="nl-NL" w:eastAsia="zh-CN"/>
              </w:rPr>
              <w:t>.2 Risk Management Plan</w:t>
            </w:r>
            <w:r>
              <w:rPr>
                <w:rFonts w:hint="default" w:ascii="Times New Roman" w:hAnsi="Times New Roman" w:eastAsia="Times New Roman" w:cs="Times New Roman"/>
                <w:b/>
                <w:bCs/>
                <w:i/>
                <w:iCs/>
                <w:color w:val="0000FF"/>
                <w:lang w:val="en-US" w:eastAsia="zh-CN"/>
              </w:rPr>
              <w:t xml:space="preserve"> and Appendix 7.3 Risk Management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4</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Risk assessment covering the whole life cycle of the device</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Risk assessment covering the whole life cycle of the device</w:t>
            </w:r>
            <w:r>
              <w:rPr>
                <w:rFonts w:hint="default" w:ascii="Times New Roman" w:hAnsi="Times New Roman" w:eastAsia="Times New Roman" w:cs="Times New Roman"/>
                <w:b/>
                <w:bCs/>
                <w:i/>
                <w:iCs/>
                <w:color w:val="0000FF"/>
                <w:lang w:val="en-US" w:eastAsia="zh-CN"/>
              </w:rPr>
              <w:t xml:space="preserve"> in </w:t>
            </w:r>
            <w:r>
              <w:rPr>
                <w:rFonts w:hint="default" w:ascii="Times New Roman" w:hAnsi="Times New Roman" w:eastAsia="Times New Roman" w:cs="Times New Roman"/>
                <w:b/>
                <w:bCs/>
                <w:i/>
                <w:iCs/>
                <w:color w:val="0000FF"/>
                <w:lang w:val="nl-NL" w:eastAsia="zh-CN"/>
              </w:rPr>
              <w:t xml:space="preserve">Appendix </w:t>
            </w:r>
            <w:r>
              <w:rPr>
                <w:rFonts w:hint="default" w:ascii="Times New Roman" w:hAnsi="Times New Roman" w:eastAsia="Times New Roman" w:cs="Times New Roman"/>
                <w:b/>
                <w:bCs/>
                <w:i/>
                <w:iCs/>
                <w:color w:val="0000FF"/>
                <w:lang w:val="en-US" w:eastAsia="zh-CN"/>
              </w:rPr>
              <w:t>7</w:t>
            </w:r>
            <w:r>
              <w:rPr>
                <w:rFonts w:hint="default" w:ascii="Times New Roman" w:hAnsi="Times New Roman" w:eastAsia="Times New Roman" w:cs="Times New Roman"/>
                <w:b/>
                <w:bCs/>
                <w:i/>
                <w:iCs/>
                <w:color w:val="0000FF"/>
                <w:lang w:val="nl-NL" w:eastAsia="zh-CN"/>
              </w:rPr>
              <w:t>.2 Risk Management Plan</w:t>
            </w:r>
            <w:r>
              <w:rPr>
                <w:rFonts w:hint="default" w:ascii="Times New Roman" w:hAnsi="Times New Roman" w:eastAsia="Times New Roman" w:cs="Times New Roman"/>
                <w:b/>
                <w:bCs/>
                <w:i/>
                <w:iCs/>
                <w:color w:val="0000FF"/>
                <w:lang w:val="en-US" w:eastAsia="zh-CN"/>
              </w:rPr>
              <w:t xml:space="preserve"> and Appendix 7.3 Risk Management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5</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en-US" w:eastAsia="zh-CN"/>
              </w:rPr>
              <w:t>Risk Management Report</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en-US" w:eastAsia="zh-CN"/>
              </w:rPr>
              <w:t>Appendix 7.3 Risk Management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6</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Reference to documents including the overall benefit-risk analysis</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Reference to documents including the overall benefit-risk analysis</w:t>
            </w:r>
            <w:r>
              <w:rPr>
                <w:rFonts w:hint="default" w:ascii="Times New Roman" w:hAnsi="Times New Roman" w:eastAsia="Times New Roman" w:cs="Times New Roman"/>
                <w:b/>
                <w:bCs/>
                <w:i/>
                <w:iCs/>
                <w:color w:val="0000FF"/>
                <w:lang w:val="en-US" w:eastAsia="zh-CN"/>
              </w:rPr>
              <w:t xml:space="preserve"> in Appendix 7.3 Risk Management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7</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highlight w:val="none"/>
                <w:lang w:val="nl-NL" w:eastAsia="zh-CN"/>
              </w:rPr>
            </w:pPr>
            <w:r>
              <w:rPr>
                <w:rFonts w:hint="default" w:ascii="Times New Roman" w:hAnsi="Times New Roman" w:eastAsia="Times New Roman" w:cs="Times New Roman"/>
                <w:b/>
                <w:bCs/>
                <w:i/>
                <w:iCs/>
                <w:color w:val="0000FF"/>
                <w:highlight w:val="none"/>
                <w:lang w:val="nl-NL" w:eastAsia="zh-CN"/>
              </w:rPr>
              <w:t>Usability engineering file</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highlight w:val="none"/>
                <w:lang w:val="nl-NL" w:eastAsia="zh-CN"/>
              </w:rPr>
            </w:pPr>
            <w:r>
              <w:rPr>
                <w:rFonts w:hint="default" w:ascii="Times New Roman" w:hAnsi="Times New Roman" w:eastAsia="Times New Roman" w:cs="Times New Roman"/>
                <w:b/>
                <w:bCs/>
                <w:i/>
                <w:iCs/>
                <w:color w:val="0000FF"/>
                <w:highlight w:val="none"/>
                <w:lang w:val="nl-NL" w:eastAsia="zh-CN"/>
              </w:rPr>
              <w:t xml:space="preserve">Appendix </w:t>
            </w:r>
            <w:r>
              <w:rPr>
                <w:rFonts w:hint="default" w:ascii="Times New Roman" w:hAnsi="Times New Roman" w:eastAsia="Times New Roman" w:cs="Times New Roman"/>
                <w:b/>
                <w:bCs/>
                <w:i/>
                <w:iCs/>
                <w:color w:val="0000FF"/>
                <w:highlight w:val="none"/>
                <w:lang w:val="en-US" w:eastAsia="zh-CN"/>
              </w:rPr>
              <w:t>8.6</w:t>
            </w:r>
            <w:r>
              <w:rPr>
                <w:rFonts w:hint="default" w:ascii="Times New Roman" w:hAnsi="Times New Roman" w:eastAsia="Times New Roman" w:cs="Times New Roman"/>
                <w:b/>
                <w:bCs/>
                <w:i/>
                <w:iCs/>
                <w:color w:val="0000FF"/>
                <w:highlight w:val="none"/>
                <w:lang w:val="nl-NL" w:eastAsia="zh-CN"/>
              </w:rPr>
              <w:t xml:space="preserve"> Usability engineering 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8</w:t>
            </w:r>
          </w:p>
        </w:tc>
        <w:tc>
          <w:tcPr>
            <w:tcW w:w="2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Reference to documents that cover the adopted solutions</w:t>
            </w:r>
          </w:p>
        </w:tc>
        <w:tc>
          <w:tcPr>
            <w:tcW w:w="45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lang w:val="nl-NL" w:eastAsia="zh-CN"/>
              </w:rPr>
            </w:pPr>
            <w:r>
              <w:rPr>
                <w:rFonts w:hint="default" w:ascii="Times New Roman" w:hAnsi="Times New Roman" w:eastAsia="Times New Roman" w:cs="Times New Roman"/>
                <w:b/>
                <w:bCs/>
                <w:i/>
                <w:iCs/>
                <w:color w:val="0000FF"/>
                <w:lang w:val="nl-NL" w:eastAsia="zh-CN"/>
              </w:rPr>
              <w:t>Reference to documents that cover the adopted solutions</w:t>
            </w:r>
            <w:r>
              <w:rPr>
                <w:rFonts w:hint="default" w:ascii="Times New Roman" w:hAnsi="Times New Roman" w:eastAsia="Times New Roman" w:cs="Times New Roman"/>
                <w:b/>
                <w:bCs/>
                <w:i/>
                <w:iCs/>
                <w:color w:val="0000FF"/>
                <w:lang w:val="en-US" w:eastAsia="zh-CN"/>
              </w:rPr>
              <w:t xml:space="preserve"> in Appendix 7.3 Risk Management Report</w:t>
            </w:r>
          </w:p>
        </w:tc>
      </w:tr>
    </w:tbl>
    <w:p>
      <w:pPr>
        <w:pStyle w:val="2"/>
        <w:rPr>
          <w:rFonts w:hint="default" w:ascii="Times New Roman" w:hAnsi="Times New Roman" w:eastAsia="Tahoma-Bold" w:cs="Times New Roman"/>
          <w:b/>
          <w:bCs/>
          <w:i/>
          <w:iCs/>
          <w:color w:val="0000FF"/>
          <w:kern w:val="0"/>
          <w:sz w:val="21"/>
          <w:szCs w:val="20"/>
          <w:lang w:val="en-US" w:eastAsia="zh-CN" w:bidi="ar"/>
        </w:rPr>
      </w:pPr>
      <w:r>
        <w:rPr>
          <w:rFonts w:hint="default" w:ascii="Times New Roman" w:hAnsi="Times New Roman" w:eastAsia="Tahoma-Bold" w:cs="Times New Roman"/>
          <w:b/>
          <w:bCs/>
          <w:i/>
          <w:iCs/>
          <w:color w:val="0000FF"/>
          <w:kern w:val="0"/>
          <w:sz w:val="21"/>
          <w:szCs w:val="20"/>
          <w:lang w:val="en-US" w:eastAsia="zh-CN" w:bidi="ar"/>
        </w:rPr>
        <w:t>)</w:t>
      </w:r>
    </w:p>
    <w:p>
      <w:pPr>
        <w:rPr>
          <w:rFonts w:hint="default" w:ascii="Times New Roman" w:hAnsi="Times New Roman" w:cs="Times New Roman"/>
          <w:lang w:val="en-US" w:eastAsia="zh-CN"/>
        </w:rPr>
      </w:pPr>
      <w:bookmarkStart w:id="8" w:name="_GoBack"/>
      <w:bookmarkEnd w:id="8"/>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3147E79"/>
    <w:rsid w:val="331B629C"/>
    <w:rsid w:val="3B07083A"/>
    <w:rsid w:val="42491C0F"/>
    <w:rsid w:val="462E437E"/>
    <w:rsid w:val="46561FD1"/>
    <w:rsid w:val="4B950155"/>
    <w:rsid w:val="543A6A17"/>
    <w:rsid w:val="5854681A"/>
    <w:rsid w:val="5B3D4524"/>
    <w:rsid w:val="5DEA1794"/>
    <w:rsid w:val="638C3F6B"/>
    <w:rsid w:val="681F3395"/>
    <w:rsid w:val="69513722"/>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8">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2023-10-25T02:24:06Z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