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Appendix 6.4 Other solutions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(The other solutions are as below. The device does not contain any European Pharmacopoeia.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</w:rPr>
      </w:pPr>
    </w:p>
    <w:tbl>
      <w:tblPr>
        <w:tblStyle w:val="10"/>
        <w:tblW w:w="8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391"/>
        <w:gridCol w:w="5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SN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Solution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1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Regulation(EU) 2017/745.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Medical devices regulations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2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MEDDEV 2.12/1 rev 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(January 2013)+(July 2019)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Guidelines on a medical devices vigilance system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instrText xml:space="preserve"> HYPERLINK "https://ec.europa.eu/docsroom/documents/36292" </w:instrTex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Additional guidance on MEDDEV 2.12/1 rev.8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3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MEDDEV 2.7.1 Rev.4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(June 2016)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Guidelines On Medical Devices-Clinical evaluation: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Guide for manufacturers and notified bodies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4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MEDDEV 2.12/2 rev. 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(January 2012)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Guidelines on medical devices:Post market clinical follow-up studies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 - A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 guide for manufacturers and notified bodies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5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instrText xml:space="preserve"> HYPERLINK "https://ec.europa.eu/health/sites/health/files/md_sector/docs/md_mdcg_2020_7_guidance_pmcf_plan_template_en.pdf" </w:instrTex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MDCG 2020-7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Post-marhet clinical follow-up (PMCF)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plan template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 - A guide for manufacturers and notified bodies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6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MDCG 2020-5 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A guide for manufacturers and notified bodies: Clinical Evaluation - Equivalence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7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MDCG 2020-13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  <w:t>Clinical evaluation assessment report template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3EF33FDD"/>
    <w:rsid w:val="42491C0F"/>
    <w:rsid w:val="462E437E"/>
    <w:rsid w:val="46561FD1"/>
    <w:rsid w:val="4B950155"/>
    <w:rsid w:val="543A6A17"/>
    <w:rsid w:val="5854681A"/>
    <w:rsid w:val="5B3D4524"/>
    <w:rsid w:val="5DEA1794"/>
    <w:rsid w:val="5E480E6F"/>
    <w:rsid w:val="638C3F6B"/>
    <w:rsid w:val="681F3395"/>
    <w:rsid w:val="69513722"/>
    <w:rsid w:val="6FAA0CDE"/>
    <w:rsid w:val="73041C9C"/>
    <w:rsid w:val="73224C81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2023-10-25T02:21:26Z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