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Applied standards list and GSPR checklist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Edition: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by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21661"/>
      <w:bookmarkStart w:id="4" w:name="_Toc32516"/>
      <w:bookmarkStart w:id="5" w:name="_Toc10038"/>
      <w:bookmarkStart w:id="6" w:name="_Toc11116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_Toc25572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 xml:space="preserve">6 </w:t>
          </w:r>
          <w:r>
            <w:rPr>
              <w:rFonts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General safety and performance requirements</w:t>
          </w:r>
          <w:r>
            <w:tab/>
          </w:r>
          <w:r>
            <w:fldChar w:fldCharType="begin"/>
          </w:r>
          <w:r>
            <w:instrText xml:space="preserve"> PAGEREF _Toc25572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_Toc30521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6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.1</w:t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 xml:space="preserve"> 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Applicable General Safety and Performance Requirements (MDR Annex II Section 4(a))</w:t>
          </w:r>
          <w:r>
            <w:tab/>
          </w:r>
          <w:r>
            <w:fldChar w:fldCharType="begin"/>
          </w:r>
          <w:r>
            <w:instrText xml:space="preserve"> PAGEREF _Toc30521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_Toc32686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6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.2</w:t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 xml:space="preserve"> 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Method or methods used to de</w:t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monstrate conformity (MDR Annex II Section 4(b)</w:t>
          </w:r>
          <w:r>
            <w:tab/>
          </w:r>
          <w:r>
            <w:fldChar w:fldCharType="begin"/>
          </w:r>
          <w:r>
            <w:instrText xml:space="preserve"> PAGEREF _Toc32686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_Toc19742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6.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3</w:t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 xml:space="preserve"> 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Harmonised standards, common specifications, or other solutions applied (MDR Articles 8, 9; MDR Annex II Section 4(c))</w:t>
          </w:r>
          <w:r>
            <w:tab/>
          </w:r>
          <w:r>
            <w:fldChar w:fldCharType="begin"/>
          </w:r>
          <w:r>
            <w:instrText xml:space="preserve"> PAGEREF _Toc19742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_Toc26066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6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.4</w:t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 xml:space="preserve"> </w: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Controlled documents offering evidence of conformity (MDR Annex II Section 4(d))</w:t>
          </w:r>
          <w:r>
            <w:tab/>
          </w:r>
          <w:r>
            <w:fldChar w:fldCharType="begin"/>
          </w:r>
          <w:r>
            <w:instrText xml:space="preserve"> PAGEREF _Toc26066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_Toc14427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t>6.5 Declaration of conformity (MDR Art. 19; Annex IV)</w:t>
          </w:r>
          <w:r>
            <w:tab/>
          </w:r>
          <w:r>
            <w:fldChar w:fldCharType="begin"/>
          </w:r>
          <w:r>
            <w:instrText xml:space="preserve"> PAGEREF _Toc14427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7" w:name="_Toc25572"/>
      <w:bookmarkStart w:id="14" w:name="_GoBack"/>
      <w:bookmarkEnd w:id="14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6 General safety and performance requirements</w:t>
      </w:r>
      <w:bookmarkEnd w:id="7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8" w:name="_Toc30521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6.1 Applicable General Safety and Performance Requirements (MDR Annex II Section 4(a))</w:t>
      </w:r>
      <w:bookmarkEnd w:id="8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The details of GSPR checklist can refer to Appendix 6.1 Checklist for GSPR Compliance Analysis.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206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SN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Document</w:t>
            </w:r>
          </w:p>
        </w:tc>
        <w:tc>
          <w:tcPr>
            <w:tcW w:w="2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Checklist for General Safety and Performance Requirements Compliance Analysis</w:t>
            </w:r>
          </w:p>
        </w:tc>
        <w:tc>
          <w:tcPr>
            <w:tcW w:w="2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Appendix 6.1 Checklist for GSPR Compliance Analysis.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9" w:name="_Toc32686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6.2 Method or methods used to demonstrate conformity (MDR Annex II Section 4(b)</w:t>
      </w:r>
      <w:bookmarkEnd w:id="9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(The details can refer to Appendix 6.1 Checklist for GSPR Compliance Analysis.)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10" w:name="_Toc19742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6.3 Harmonised standards, common specifications, or other solutions applied (MDR Articles 8, 9; MDR Annex II Section 4(c))</w:t>
      </w:r>
      <w:bookmarkEnd w:id="1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</w:pPr>
      <w:bookmarkStart w:id="11" w:name="_Toc547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  <w:t>{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  <w:t>Harmonised standards</w:t>
      </w:r>
      <w:bookmarkEnd w:id="11"/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273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Standard No.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Standard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13485:2016/A11:2021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Medical devices - Quality management systems - Requirements for regulatory purposes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60601-1:2006+A1:2013+AC:2014+A12:2014 +A2:2020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electrical equipment - Part 1: General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requirements for basic safety and essential performance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60601-1-2:2015+A1:2020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electrical equipment - Part 1-2: General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requirements for basic safety and essential performance - Collateral standard: Electromagnetic disturbances - Requirements and tests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15223-1:2021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Medical devices - Symbols to be used with information to be supplied by the manufacturer - Part 1: General requirements (ISO 15223-1:2021)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EN ISO 14971:2019/A11:2021 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devices - Application of risk management to medical devices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EN62366-1:2015+AC:2015+AC:2016+A1:2020 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devices -Part 1: Application of usability engineering to medical devices to medical devices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10993-1:2020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Biological evaluation of medical devices - Part 1: Evaluation and testing within a risk management process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10993-5:2009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Biological evaluation of medical devices - Part 5: Tests for in vitro cytotoxicity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10993-10:2013</w:t>
            </w:r>
          </w:p>
        </w:tc>
        <w:tc>
          <w:tcPr>
            <w:tcW w:w="279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Biological evaluation of medical devices - Part 10: Tests for irritation and skin sensitization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9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14155:2020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Clinical investigation of medical devices for human  subjects - Good clinical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  <w:t>Common specifications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The device does not contain any Common specifications.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u w:val="single"/>
          <w:lang w:val="en-US" w:eastAsia="zh-CN" w:bidi="ar"/>
        </w:rPr>
        <w:t>Other solutions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481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Solution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Regulation(EU) 2017/745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Medical devices regulations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MEDDEV 2.12/1 rev 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(January 2013)+(July 2019)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Guidelines on a medical devices vigilance system＋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instrText xml:space="preserve"> HYPERLINK "https://ec.europa.eu/docsroom/documents/36292"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Additional guidance on MEDDEV 2.12/1 rev.8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MEDDEV 2.7.1 Rev.4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(June 2016)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Guidelines On Medical Devices-Clinical evaluation: A Guide for manufacturers and notified bodies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MEDDEV 2.12/2 rev. 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(January 2012)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Guidelines on medical devices:Post market clinical follow-up studies - A guide for manufacturers and notified bodies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instrText xml:space="preserve"> HYPERLINK "https://ec.europa.eu/health/sites/health/files/md_sector/docs/md_mdcg_2020_7_guidance_pmcf_plan_template_en.pdf"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MDCG 2020-7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Post-market clinical follow-up (PMCF) plan template - A guide for manufacturers and notified bodies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MDCG 2020-5 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A guide for manufacturers and notified bodies: Clinical Evaluation - Equivalence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MDCG 2020-13</w:t>
            </w:r>
          </w:p>
        </w:tc>
        <w:tc>
          <w:tcPr>
            <w:tcW w:w="31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Clinical evaluation assessment report template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There is no gap analysis between Harmonised standards, common specifications, and other solutions applied.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The details can refer to Appendix 6.2 List of Harmonised Standards, Appendix 6.3 Common Specifications, Appendix 6.4 Other solutions and Appendix 6.5 Gap analysis.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}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12" w:name="_Toc26066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6.4 Controlled documents offering evidence of conformity (MDR Annex II Section 4(d))</w:t>
      </w:r>
      <w:bookmarkEnd w:id="12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(The details can refer to Appendix 6.1 Checklist for GSPR Compliance Analysis.)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13" w:name="_Toc14427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6.5 Declaration of conformity (MDR Art. 19; Annex IV)</w:t>
      </w:r>
      <w:bookmarkEnd w:id="13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(The details can refer to Appendix 13.1 Declaration of conformity.)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3224C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2023-10-25T02:13:39Z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