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b/>
          <w:bCs/>
          <w:sz w:val="32"/>
          <w:szCs w:val="32"/>
          <w:lang w:val="en-US" w:eastAsia="zh-CN"/>
        </w:rPr>
        <w:t>前 言</w:t>
      </w:r>
    </w:p>
    <w:p>
      <w:pPr>
        <w:rPr>
          <w:rFonts w:hint="eastAsia"/>
          <w:lang w:val="en-US" w:eastAsia="zh-CN"/>
        </w:rPr>
      </w:pP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val="0"/>
          <w:iCs w:val="0"/>
          <w:color w:val="auto"/>
          <w:lang w:val="en-US" w:eastAsia="zh-CN"/>
        </w:rPr>
      </w:pPr>
      <w:r>
        <w:rPr>
          <w:rFonts w:hint="eastAsia" w:ascii="宋体" w:hAnsi="宋体" w:eastAsia="宋体" w:cs="宋体"/>
          <w:b/>
          <w:bCs/>
          <w:i w:val="0"/>
          <w:iCs w:val="0"/>
          <w:color w:val="auto"/>
          <w:lang w:val="en-US" w:eastAsia="zh-CN"/>
        </w:rPr>
        <w:t>1 模板介绍</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iCs/>
          <w:color w:val="0000FF"/>
          <w:lang w:val="en-US" w:eastAsia="zh-CN"/>
        </w:rPr>
      </w:pPr>
      <w:r>
        <w:rPr>
          <w:rFonts w:hint="eastAsia" w:ascii="宋体" w:hAnsi="宋体" w:eastAsia="宋体" w:cs="宋体"/>
          <w:b/>
          <w:bCs/>
          <w:i/>
          <w:iCs/>
          <w:color w:val="0000FF"/>
          <w:lang w:val="en-US" w:eastAsia="zh-CN"/>
        </w:rPr>
        <w:t>本模板主要用于指导MDR有源产品注册项目，不仅可用于指导资料编写，也可适当的用于指导项目的进行，可参照模板中的批注、示例进行资料拟制、开展项目；其他产品可以作为参考。</w:t>
      </w:r>
    </w:p>
    <w:p>
      <w:pPr>
        <w:pStyle w:val="2"/>
        <w:keepNext w:val="0"/>
        <w:keepLines w:val="0"/>
        <w:pageBreakBefore w:val="0"/>
        <w:widowControl w:val="0"/>
        <w:kinsoku/>
        <w:wordWrap/>
        <w:overflowPunct/>
        <w:topLinePunct w:val="0"/>
        <w:bidi w:val="0"/>
        <w:snapToGrid/>
        <w:spacing w:line="360" w:lineRule="auto"/>
        <w:textAlignment w:val="auto"/>
        <w:rPr>
          <w:rFonts w:hint="default" w:ascii="宋体" w:hAnsi="宋体" w:eastAsia="宋体" w:cs="宋体"/>
          <w:b/>
          <w:bCs/>
          <w:i/>
          <w:iCs/>
          <w:color w:val="0000FF"/>
          <w:lang w:val="en-US" w:eastAsia="zh-CN"/>
        </w:rPr>
      </w:pPr>
      <w:r>
        <w:rPr>
          <w:rFonts w:hint="eastAsia" w:ascii="宋体" w:hAnsi="宋体" w:eastAsia="宋体" w:cs="宋体"/>
          <w:b/>
          <w:bCs/>
          <w:i/>
          <w:iCs/>
          <w:color w:val="0000FF"/>
          <w:lang w:val="en-US" w:eastAsia="zh-CN"/>
        </w:rPr>
        <w:t>本模板在“MT002 MDR技术文档”基础上参照</w:t>
      </w:r>
      <w:r>
        <w:rPr>
          <w:rFonts w:hint="default" w:ascii="宋体" w:hAnsi="宋体" w:eastAsia="宋体" w:cs="宋体"/>
          <w:b/>
          <w:bCs/>
          <w:i/>
          <w:iCs/>
          <w:color w:val="0000FF"/>
          <w:lang w:val="en-US" w:eastAsia="zh-CN"/>
        </w:rPr>
        <w:t>公告的要求和之前的MDR项目经验，拟制了MDR有源产品注册模板</w:t>
      </w:r>
      <w:r>
        <w:rPr>
          <w:rFonts w:hint="eastAsia" w:ascii="宋体" w:hAnsi="宋体" w:eastAsia="宋体" w:cs="宋体"/>
          <w:b/>
          <w:bCs/>
          <w:i/>
          <w:iCs/>
          <w:color w:val="0000FF"/>
          <w:lang w:val="en-US" w:eastAsia="zh-CN"/>
        </w:rPr>
        <w:t>，可作为MDR认证文档的准备参考。</w:t>
      </w:r>
    </w:p>
    <w:p>
      <w:pPr>
        <w:rPr>
          <w:rFonts w:hint="eastAsia"/>
          <w:lang w:val="en-US" w:eastAsia="zh-CN"/>
        </w:rPr>
      </w:pP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iCs/>
          <w:color w:val="0000FF"/>
          <w:lang w:val="en-US" w:eastAsia="zh-CN"/>
        </w:rPr>
      </w:pPr>
      <w:r>
        <w:rPr>
          <w:rFonts w:hint="eastAsia" w:ascii="宋体" w:hAnsi="宋体" w:eastAsia="宋体" w:cs="宋体"/>
          <w:b/>
          <w:bCs/>
          <w:i w:val="0"/>
          <w:iCs w:val="0"/>
          <w:color w:val="auto"/>
          <w:lang w:val="en-US" w:eastAsia="zh-CN"/>
        </w:rPr>
        <w:t>2 模板目的</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iCs/>
          <w:color w:val="0000FF"/>
          <w:lang w:val="en-US" w:eastAsia="zh-CN"/>
        </w:rPr>
      </w:pPr>
      <w:r>
        <w:rPr>
          <w:rFonts w:hint="eastAsia" w:ascii="宋体" w:hAnsi="宋体" w:eastAsia="宋体" w:cs="宋体"/>
          <w:b/>
          <w:bCs/>
          <w:i/>
          <w:iCs/>
          <w:color w:val="0000FF"/>
          <w:lang w:val="en-US" w:eastAsia="zh-CN"/>
        </w:rPr>
        <w:t>本模板主要用于MDR有源产品的注册项目。</w:t>
      </w:r>
    </w:p>
    <w:p>
      <w:pPr>
        <w:rPr>
          <w:rFonts w:hint="default"/>
          <w:highlight w:val="none"/>
          <w:lang w:val="en-US" w:eastAsia="zh-CN"/>
        </w:rPr>
      </w:pPr>
    </w:p>
    <w:p>
      <w:pPr>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3 模板主要内容</w:t>
      </w:r>
    </w:p>
    <w:p>
      <w:pPr>
        <w:rPr>
          <w:rFonts w:hint="eastAsia" w:ascii="宋体" w:hAnsi="宋体" w:eastAsia="宋体" w:cs="宋体"/>
          <w:b/>
          <w:bCs/>
          <w:i/>
          <w:iCs/>
          <w:color w:val="0000FF"/>
          <w:kern w:val="0"/>
          <w:sz w:val="24"/>
          <w:szCs w:val="24"/>
          <w:highlight w:val="none"/>
          <w:lang w:val="en-US" w:eastAsia="zh-CN" w:bidi="ar-SA"/>
        </w:rPr>
      </w:pPr>
    </w:p>
    <w:p>
      <w:pPr>
        <w:rPr>
          <w:rFonts w:hint="default" w:ascii="宋体" w:hAnsi="宋体" w:eastAsia="宋体" w:cs="宋体"/>
          <w:b/>
          <w:bCs/>
          <w:i/>
          <w:iCs/>
          <w:color w:val="0000FF"/>
          <w:kern w:val="0"/>
          <w:sz w:val="24"/>
          <w:szCs w:val="24"/>
          <w:highlight w:val="none"/>
          <w:lang w:val="en-US" w:eastAsia="zh-CN" w:bidi="ar-SA"/>
        </w:rPr>
      </w:pPr>
      <w:r>
        <w:rPr>
          <w:rFonts w:hint="eastAsia" w:ascii="宋体" w:hAnsi="宋体" w:eastAsia="宋体" w:cs="宋体"/>
          <w:b/>
          <w:bCs/>
          <w:i/>
          <w:iCs/>
          <w:color w:val="0000FF"/>
          <w:kern w:val="0"/>
          <w:sz w:val="24"/>
          <w:szCs w:val="24"/>
          <w:highlight w:val="none"/>
          <w:lang w:val="en-US" w:eastAsia="zh-CN" w:bidi="ar-SA"/>
        </w:rPr>
        <w:t>模板包括以下内容，</w:t>
      </w:r>
      <w:r>
        <w:rPr>
          <w:rFonts w:hint="eastAsia" w:ascii="宋体" w:hAnsi="宋体" w:cs="宋体"/>
          <w:b/>
          <w:bCs/>
          <w:i/>
          <w:iCs/>
          <w:color w:val="0000FF"/>
          <w:kern w:val="0"/>
          <w:sz w:val="24"/>
          <w:szCs w:val="24"/>
          <w:highlight w:val="none"/>
          <w:lang w:val="en-US" w:eastAsia="zh-CN" w:bidi="ar-SA"/>
        </w:rPr>
        <w:t>一共102份文件，</w:t>
      </w:r>
      <w:r>
        <w:rPr>
          <w:rFonts w:hint="eastAsia" w:ascii="宋体" w:hAnsi="宋体" w:eastAsia="宋体" w:cs="宋体"/>
          <w:b/>
          <w:bCs/>
          <w:i/>
          <w:iCs/>
          <w:color w:val="0000FF"/>
          <w:kern w:val="0"/>
          <w:sz w:val="24"/>
          <w:szCs w:val="24"/>
          <w:highlight w:val="none"/>
          <w:lang w:val="en-US" w:eastAsia="zh-CN" w:bidi="ar-SA"/>
        </w:rPr>
        <w:t>共</w:t>
      </w:r>
      <w:r>
        <w:rPr>
          <w:rFonts w:hint="eastAsia" w:ascii="宋体" w:hAnsi="宋体" w:cs="宋体"/>
          <w:b/>
          <w:bCs/>
          <w:i/>
          <w:iCs/>
          <w:color w:val="0000FF"/>
          <w:kern w:val="0"/>
          <w:sz w:val="24"/>
          <w:szCs w:val="24"/>
          <w:highlight w:val="none"/>
          <w:lang w:val="en-US" w:eastAsia="zh-CN" w:bidi="ar-SA"/>
        </w:rPr>
        <w:t>679</w:t>
      </w:r>
      <w:bookmarkStart w:id="0" w:name="_GoBack"/>
      <w:bookmarkEnd w:id="0"/>
      <w:r>
        <w:rPr>
          <w:rFonts w:hint="eastAsia" w:ascii="宋体" w:hAnsi="宋体" w:eastAsia="宋体" w:cs="宋体"/>
          <w:b/>
          <w:bCs/>
          <w:i/>
          <w:iCs/>
          <w:color w:val="0000FF"/>
          <w:kern w:val="0"/>
          <w:sz w:val="24"/>
          <w:szCs w:val="24"/>
          <w:highlight w:val="none"/>
          <w:lang w:val="en-US" w:eastAsia="zh-CN" w:bidi="ar-SA"/>
        </w:rPr>
        <w:t>页。</w:t>
      </w:r>
    </w:p>
    <w:tbl>
      <w:tblPr>
        <w:tblStyle w:val="5"/>
        <w:tblW w:w="86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81"/>
        <w:gridCol w:w="6877"/>
        <w:gridCol w:w="8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top"/>
          </w:tcPr>
          <w:p>
            <w:pPr>
              <w:spacing w:line="280" w:lineRule="exact"/>
              <w:jc w:val="center"/>
              <w:rPr>
                <w:rFonts w:hint="default" w:ascii="宋体" w:hAnsi="宋体" w:eastAsia="宋体" w:cs="宋体"/>
                <w:b/>
                <w:bCs/>
                <w:i/>
                <w:iCs/>
                <w:color w:val="0000FF"/>
                <w:kern w:val="0"/>
                <w:sz w:val="24"/>
                <w:szCs w:val="24"/>
                <w:highlight w:val="none"/>
                <w:lang w:val="en-US" w:eastAsia="zh-CN" w:bidi="ar-SA"/>
              </w:rPr>
            </w:pPr>
            <w:r>
              <w:rPr>
                <w:rFonts w:hint="eastAsia" w:ascii="宋体" w:hAnsi="宋体" w:eastAsia="宋体" w:cs="宋体"/>
                <w:b/>
                <w:bCs/>
                <w:i/>
                <w:iCs/>
                <w:color w:val="0000FF"/>
                <w:kern w:val="0"/>
                <w:sz w:val="24"/>
                <w:szCs w:val="24"/>
                <w:highlight w:val="none"/>
                <w:lang w:val="en-US" w:eastAsia="zh-CN" w:bidi="ar-SA"/>
              </w:rPr>
              <w:t>序号</w:t>
            </w:r>
          </w:p>
        </w:tc>
        <w:tc>
          <w:tcPr>
            <w:tcW w:w="6877" w:type="dxa"/>
            <w:noWrap w:val="0"/>
            <w:vAlign w:val="top"/>
          </w:tcPr>
          <w:p>
            <w:pPr>
              <w:spacing w:line="280" w:lineRule="exact"/>
              <w:jc w:val="center"/>
              <w:rPr>
                <w:rFonts w:hint="default" w:ascii="宋体" w:hAnsi="宋体" w:eastAsia="宋体" w:cs="宋体"/>
                <w:b/>
                <w:bCs/>
                <w:i/>
                <w:iCs/>
                <w:color w:val="0000FF"/>
                <w:kern w:val="0"/>
                <w:sz w:val="24"/>
                <w:szCs w:val="24"/>
                <w:highlight w:val="none"/>
                <w:lang w:val="en-US" w:eastAsia="zh-CN" w:bidi="ar-SA"/>
              </w:rPr>
            </w:pPr>
            <w:r>
              <w:rPr>
                <w:rFonts w:hint="eastAsia" w:ascii="宋体" w:hAnsi="宋体" w:eastAsia="宋体" w:cs="宋体"/>
                <w:b/>
                <w:bCs/>
                <w:i/>
                <w:iCs/>
                <w:color w:val="0000FF"/>
                <w:kern w:val="0"/>
                <w:sz w:val="24"/>
                <w:szCs w:val="24"/>
                <w:highlight w:val="none"/>
                <w:lang w:val="en-US" w:eastAsia="zh-CN" w:bidi="ar-SA"/>
              </w:rPr>
              <w:t>文件</w:t>
            </w:r>
          </w:p>
        </w:tc>
        <w:tc>
          <w:tcPr>
            <w:tcW w:w="822" w:type="dxa"/>
            <w:noWrap w:val="0"/>
            <w:vAlign w:val="top"/>
          </w:tcPr>
          <w:p>
            <w:pPr>
              <w:spacing w:line="280" w:lineRule="exact"/>
              <w:jc w:val="center"/>
              <w:rPr>
                <w:rFonts w:hint="default" w:ascii="宋体" w:hAnsi="宋体" w:eastAsia="宋体" w:cs="宋体"/>
                <w:b/>
                <w:bCs/>
                <w:i/>
                <w:iCs/>
                <w:color w:val="0000FF"/>
                <w:kern w:val="0"/>
                <w:sz w:val="24"/>
                <w:szCs w:val="24"/>
                <w:highlight w:val="none"/>
                <w:lang w:val="en-US" w:eastAsia="zh-CN" w:bidi="ar-SA"/>
              </w:rPr>
            </w:pPr>
            <w:r>
              <w:rPr>
                <w:rFonts w:hint="eastAsia" w:ascii="宋体" w:hAnsi="宋体" w:eastAsia="宋体" w:cs="宋体"/>
                <w:b/>
                <w:bCs/>
                <w:i/>
                <w:iCs/>
                <w:color w:val="0000FF"/>
                <w:kern w:val="0"/>
                <w:sz w:val="24"/>
                <w:szCs w:val="24"/>
                <w:highlight w:val="none"/>
                <w:lang w:val="en-US" w:eastAsia="zh-CN" w:bidi="ar-SA"/>
              </w:rPr>
              <w:t>页数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eastAsia"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1</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MY001-000 前言</w:t>
            </w:r>
          </w:p>
        </w:tc>
        <w:tc>
          <w:tcPr>
            <w:tcW w:w="822"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eastAsia" w:ascii="宋体" w:hAnsi="宋体" w:eastAsia="宋体" w:cs="宋体"/>
                <w:b/>
                <w:bCs/>
                <w:i/>
                <w:iCs/>
                <w:color w:val="0000FF"/>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eastAsia"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2</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MY001-00 Cover page and contents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3</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MY001-01 Device description and specification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4</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MY001-01-1.1 List of CE marked products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5</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MY001-01-1.2 EU Application Annex ABC</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6</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MY001-01-1.3 Design Specification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7</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MY001-01-1.4 Risk class of the device</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8</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MY001-01-1.5 List of available accessories, combined devices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9</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MY001-01-1.6 Valid certificate references for accessories, combined devices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10</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MY001-01-1.7 List of all configurations variants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11</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MY001-01-1.8 Material safety data sheets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12</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MY001-01-1.9 Bill of Materials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13</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MY001-01-1.10 Certificates of analysis of suppliers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14</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MY001-01-1.11 Overview of generations and similar devices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15</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MY001-01-1.12 Market analysis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16</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MY001-02 Labelling of device and packaging</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17</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MY001-02-2.1 Labels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18</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MY001-03 Instruction for use</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19</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MY001-03-3.1 Instructions for use</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20</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MY001-04 Design Information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21</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MY001-04-4.1 Design information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22</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MY001-04-4.2 Explanation of which tests are relevant to the current device</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23</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MY001-04-4.3 History of design changes for already marketed devices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24</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MY001-05 Manufacturing Information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25</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MY001-05-5.1 Manufacturing information, manufacturing flow chart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26</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MY001-05-5.2 References to manufacturing process validations and test method validations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27</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MY001-05-5.3 Description of subcontracted processes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28</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MY001-05-5.4 Certificates of critical suppliers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29</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MY001-05-5.5 Valid supplier Valid supplier certificates as mentioned in TÜV SÜD EU Application Appendix ABC</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30</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MY001-05-5.6 Information on critical suppliers and subcontractors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31</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MY001-05-5.7 Information on supplier control</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32</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MY001-05-5.8 Incoming inspection records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33</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MY001-05-5.9 In-process inspection record</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34</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MY001-05-5.10 Final inspection record</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35</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MY001-06 Applied standards list and GSPR checklist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36</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MY001-06-6.1 Checklist for GSPR Compliance Analysis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37</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MY001-06-6.2 List of Harmonised Standards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38</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MY001-06-6.3 Common Specifications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39</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MY001-06-6.4 Other solutions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40</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MY001-06-6.5 Gap analysis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41</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MY001-07 Benefit-risk analysis and risk management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42</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MY001-07-7.1 Risk management procedure</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43</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MY001-07-7.2 Risk Management Plan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44</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MY001-07-7.3 Risk Management Report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51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45</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 Product Verification and validation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46</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MY001-08-8.1 Simulated use test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47</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MY001-08-8.2 Biocompatibility Evaluation Report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48</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MY001-08-8.2.1 Biocompatibility test protocols and reports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49</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MY001-08-8.2.2 Overall biological safety assessment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50</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MY001-08-8.2.3 Evidence of qualification of experts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51</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MY001-08-8.2.4 Qualification of test laboratories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52</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MY001-08-8.3.1 Material characterisation test protocols and reports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53</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MY001-08-8.3.2 Qualification of test laboratories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54</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MY001-08-8.4 Electrical safety test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55</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MY001-08-8.5 EMC test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56</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MY001-08-8.6 Usability engineering file</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57</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MY001-08-8.6.1 IEC 62366-2015 Conformance Report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58</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MY001-08-8.6.2 Usability Engineering Process Program</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59</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MY001-08-8.6.3 Usability Engineering Report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60</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MY001-08-8.6.4 User Interface Evaluation Plan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61</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MY001-08-8.6.5 Formative Evaluation report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62</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MY001-08-8.6.6 Summative Evaluation report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63</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MY001-08-8.6.6.1 Summative Evaluation record</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64</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MY001-08-8.7 Software Document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65</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MY001-08-8.7.1 Software Description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66</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MY001-08-8.7.2 Software development plan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67</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MY001-08-8.7.3 Software requirements analysis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68</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MY001-08-8.7.4 Software architectural design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69</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MY001-08-8.7.5 Software detailed design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70</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MY001-08-8.7.6 Software Development Environment Description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71</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MY001-08-8.7.7 Software unit implementation and verification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72</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MY001-08-8.7.8 Software integration and integration testing</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73</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MY001-08-8.7.9 Software systems testing</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74</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MY001-08-8.7.10 software Traceability Analysis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75</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MY001-08-8.7.11 software release</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76</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MY001-08-8.7.12 Unresolved Anomalies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77</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MY001-08-8.7.13 EN62304 checklist Compliance Report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78</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MY001-08-8.8 Cybersecurity documentation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79</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MY001-09 Device packaging and transportation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80</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MY001-09-9.1 Packaging and transportation test report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81</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MY001-10 Sterilization, disinfection, and reprocessing</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82</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MY001-10-10.1 Shelf life verification protocol and report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83</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MY001-10-10.2 Re-processing validation protocols and report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84</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MY001-10-10.3 Disinfection verification protocol and report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85</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MY001-11 Clinical evaluation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86</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MY001-11.1 Clinical Evaluation Plan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87</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MY001-11.2 Clinical Evaluation Report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88</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MY001-11-11.2.1 CV of evaluator</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eastAsia"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89</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eastAsia" w:ascii="宋体" w:hAnsi="宋体" w:eastAsia="宋体" w:cs="宋体"/>
                <w:b/>
                <w:bCs/>
                <w:i/>
                <w:iCs/>
                <w:color w:val="0000FF"/>
                <w:kern w:val="0"/>
                <w:sz w:val="24"/>
                <w:szCs w:val="24"/>
                <w:highlight w:val="none"/>
                <w:lang w:val="en-US" w:eastAsia="zh-CN" w:bidi="ar-SA"/>
              </w:rPr>
              <w:t>MY001-11-11.2.2.1 Literature search protocol</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90</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MY001-11-11.2.2.2 Literature search report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91</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MY001-11-11.2.3 CV of literature searcher</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92</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MY001-11-11.2.4 The literatures used for analysis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93</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MY001-11-11.2.5 Clinical evaluation checklist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94</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MY001-11-11.2.6 Declaration of Interests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95</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MY001-11-11.2.7 IFU of Equivalent device</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96</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MY001-12 PMS plan &amp; PSUR &amp; PMCF</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97</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MY001-12-12.1 Post Market Surveillance Plan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98</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MY001-12-12.2 Post Market Clinical Follow-up Plan</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99</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MY001-13 Declaration of conformity</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100</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MY001-13-13.1 Declaration of conformity</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101</w:t>
            </w:r>
          </w:p>
        </w:tc>
        <w:tc>
          <w:tcPr>
            <w:tcW w:w="6877" w:type="dxa"/>
            <w:noWrap w:val="0"/>
            <w:vAlign w:val="top"/>
          </w:tcPr>
          <w:p>
            <w:pPr>
              <w:spacing w:line="280" w:lineRule="exact"/>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MY001-14 Other documents</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1" w:type="dxa"/>
            <w:noWrap w:val="0"/>
            <w:vAlign w:val="center"/>
          </w:tcPr>
          <w:p>
            <w:pPr>
              <w:keepNext w:val="0"/>
              <w:keepLines w:val="0"/>
              <w:widowControl/>
              <w:suppressLineNumbers w:val="0"/>
              <w:jc w:val="center"/>
              <w:textAlignment w:val="center"/>
              <w:rPr>
                <w:rFonts w:hint="default" w:ascii="宋体" w:hAnsi="宋体" w:eastAsia="宋体" w:cs="宋体"/>
                <w:b/>
                <w:bCs/>
                <w:i/>
                <w:iCs/>
                <w:color w:val="0000FF"/>
                <w:kern w:val="2"/>
                <w:sz w:val="22"/>
                <w:szCs w:val="22"/>
                <w:u w:val="none"/>
                <w:lang w:val="en-US" w:eastAsia="zh-CN" w:bidi="ar-SA"/>
              </w:rPr>
            </w:pPr>
            <w:r>
              <w:rPr>
                <w:rFonts w:hint="eastAsia" w:ascii="宋体" w:hAnsi="宋体" w:eastAsia="宋体" w:cs="宋体"/>
                <w:b/>
                <w:bCs/>
                <w:i/>
                <w:iCs/>
                <w:color w:val="0000FF"/>
                <w:kern w:val="0"/>
                <w:sz w:val="22"/>
                <w:szCs w:val="22"/>
                <w:u w:val="none"/>
                <w:lang w:val="en-US" w:eastAsia="zh-CN" w:bidi="ar"/>
              </w:rPr>
              <w:t>102</w:t>
            </w:r>
          </w:p>
        </w:tc>
        <w:tc>
          <w:tcPr>
            <w:tcW w:w="6877" w:type="dxa"/>
            <w:noWrap w:val="0"/>
            <w:vAlign w:val="top"/>
          </w:tcPr>
          <w:p>
            <w:pPr>
              <w:numPr>
                <w:ilvl w:val="0"/>
                <w:numId w:val="1"/>
              </w:numPr>
              <w:spacing w:line="280" w:lineRule="exact"/>
              <w:ind w:left="420" w:leftChars="0" w:hanging="420" w:firstLineChars="0"/>
              <w:rPr>
                <w:rFonts w:hint="default" w:ascii="宋体" w:hAnsi="宋体" w:eastAsia="宋体" w:cs="宋体"/>
                <w:b/>
                <w:bCs/>
                <w:i/>
                <w:iCs/>
                <w:color w:val="0000FF"/>
                <w:kern w:val="0"/>
                <w:sz w:val="24"/>
                <w:szCs w:val="24"/>
                <w:highlight w:val="none"/>
                <w:lang w:val="en-US" w:eastAsia="zh-CN" w:bidi="ar-SA"/>
              </w:rPr>
            </w:pPr>
            <w:r>
              <w:rPr>
                <w:rFonts w:hint="default" w:ascii="宋体" w:hAnsi="宋体" w:eastAsia="宋体" w:cs="宋体"/>
                <w:b/>
                <w:bCs/>
                <w:i/>
                <w:iCs/>
                <w:color w:val="0000FF"/>
                <w:kern w:val="0"/>
                <w:sz w:val="24"/>
                <w:szCs w:val="24"/>
                <w:highlight w:val="none"/>
                <w:lang w:val="en-US" w:eastAsia="zh-CN" w:bidi="ar-SA"/>
              </w:rPr>
              <w:t>MY001-14-14.1 European Authorized Representation Agreement</w:t>
            </w:r>
          </w:p>
        </w:tc>
        <w:tc>
          <w:tcPr>
            <w:tcW w:w="822" w:type="dxa"/>
            <w:noWrap w:val="0"/>
            <w:vAlign w:val="top"/>
          </w:tcPr>
          <w:p>
            <w:pPr>
              <w:spacing w:line="280" w:lineRule="exact"/>
              <w:rPr>
                <w:rFonts w:hint="default" w:ascii="宋体" w:hAnsi="宋体" w:cs="宋体"/>
                <w:b/>
                <w:bCs/>
                <w:i/>
                <w:iCs/>
                <w:color w:val="0000FF"/>
                <w:kern w:val="0"/>
                <w:sz w:val="24"/>
                <w:szCs w:val="24"/>
                <w:highlight w:val="none"/>
                <w:lang w:val="en-US" w:eastAsia="zh-CN" w:bidi="ar-SA"/>
              </w:rPr>
            </w:pPr>
            <w:r>
              <w:rPr>
                <w:rFonts w:hint="eastAsia" w:ascii="宋体" w:hAnsi="宋体" w:cs="宋体"/>
                <w:b/>
                <w:bCs/>
                <w:i/>
                <w:iCs/>
                <w:color w:val="0000FF"/>
                <w:kern w:val="0"/>
                <w:sz w:val="24"/>
                <w:szCs w:val="24"/>
                <w:highlight w:val="none"/>
                <w:lang w:val="en-US" w:eastAsia="zh-CN" w:bidi="ar-SA"/>
              </w:rPr>
              <w:t>1</w:t>
            </w:r>
          </w:p>
        </w:tc>
      </w:tr>
    </w:tbl>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kern w:val="0"/>
          <w:sz w:val="24"/>
          <w:szCs w:val="24"/>
          <w:lang w:val="en-US" w:eastAsia="zh-CN" w:bidi="ar-SA"/>
        </w:rPr>
      </w:pPr>
      <w:r>
        <w:rPr>
          <w:rFonts w:hint="eastAsia" w:ascii="宋体" w:hAnsi="宋体" w:eastAsia="宋体" w:cs="宋体"/>
          <w:b/>
          <w:bCs/>
          <w:i w:val="0"/>
          <w:iCs w:val="0"/>
          <w:color w:val="auto"/>
          <w:kern w:val="0"/>
          <w:sz w:val="24"/>
          <w:szCs w:val="24"/>
          <w:lang w:val="en-US" w:eastAsia="zh-CN" w:bidi="ar-SA"/>
        </w:rPr>
        <w:t>4 模板的使用注意事项</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iCs/>
          <w:color w:val="0000FF"/>
          <w:lang w:val="en-US" w:eastAsia="zh-CN"/>
        </w:rPr>
      </w:pPr>
      <w:r>
        <w:rPr>
          <w:rFonts w:hint="eastAsia" w:ascii="宋体" w:hAnsi="宋体" w:eastAsia="宋体" w:cs="宋体"/>
          <w:b/>
          <w:bCs/>
          <w:i/>
          <w:iCs/>
          <w:color w:val="0000FF"/>
          <w:lang w:val="en-US" w:eastAsia="zh-CN"/>
        </w:rPr>
        <w:t>4.1 此模板是以MDR有源产品递交为例进行编写，做注册递交的资料拟制时还需要考虑到与其他产品类别要求之间的差异。</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iCs/>
          <w:color w:val="0000FF"/>
          <w:lang w:val="en-US" w:eastAsia="zh-CN"/>
        </w:rPr>
      </w:pPr>
      <w:r>
        <w:rPr>
          <w:rFonts w:hint="eastAsia" w:ascii="宋体" w:hAnsi="宋体" w:eastAsia="宋体" w:cs="宋体"/>
          <w:b/>
          <w:bCs/>
          <w:i/>
          <w:iCs/>
          <w:color w:val="0000FF"/>
          <w:lang w:val="en-US" w:eastAsia="zh-CN"/>
        </w:rPr>
        <w:t>4.2 此模板可能不包含具体产品的详细内容，部分内容需要结合产品在实际准备注册资料中进行细化；</w:t>
      </w:r>
    </w:p>
    <w:p>
      <w:pPr>
        <w:pStyle w:val="2"/>
        <w:keepNext w:val="0"/>
        <w:keepLines w:val="0"/>
        <w:pageBreakBefore w:val="0"/>
        <w:widowControl w:val="0"/>
        <w:kinsoku/>
        <w:wordWrap/>
        <w:overflowPunct/>
        <w:topLinePunct w:val="0"/>
        <w:bidi w:val="0"/>
        <w:snapToGrid/>
        <w:spacing w:line="360" w:lineRule="auto"/>
        <w:textAlignment w:val="auto"/>
        <w:rPr>
          <w:rFonts w:hint="default" w:ascii="宋体" w:hAnsi="宋体" w:eastAsia="宋体" w:cs="宋体"/>
          <w:b/>
          <w:bCs/>
          <w:i/>
          <w:iCs/>
          <w:color w:val="0000FF"/>
          <w:lang w:val="en-US" w:eastAsia="zh-CN"/>
        </w:rPr>
      </w:pPr>
      <w:r>
        <w:rPr>
          <w:rFonts w:hint="eastAsia" w:ascii="宋体" w:hAnsi="宋体" w:eastAsia="宋体" w:cs="宋体"/>
          <w:b/>
          <w:bCs/>
          <w:i/>
          <w:iCs/>
          <w:color w:val="0000FF"/>
          <w:lang w:val="en-US" w:eastAsia="zh-CN"/>
        </w:rPr>
        <w:t>4.3 此模板可能不包含所有最新的法规要求，部分内容需要结合最新法规要求在实际准备注册资料中进行细化；</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iCs/>
          <w:color w:val="0000FF"/>
          <w:lang w:val="en-US" w:eastAsia="zh-CN"/>
        </w:rPr>
      </w:pPr>
      <w:r>
        <w:rPr>
          <w:rFonts w:hint="eastAsia" w:ascii="宋体" w:hAnsi="宋体" w:eastAsia="宋体" w:cs="宋体"/>
          <w:b/>
          <w:bCs/>
          <w:i/>
          <w:iCs/>
          <w:color w:val="0000FF"/>
          <w:lang w:val="en-US" w:eastAsia="zh-CN"/>
        </w:rPr>
        <w:t>4.4 后续的模板中会用以下三种括号来进行标注，以方便大家阅读。</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iCs/>
          <w:color w:val="0000FF"/>
          <w:lang w:val="en-US" w:eastAsia="zh-CN"/>
        </w:rPr>
      </w:pPr>
      <w:r>
        <w:rPr>
          <w:rFonts w:hint="eastAsia" w:ascii="宋体" w:hAnsi="宋体" w:eastAsia="宋体" w:cs="宋体"/>
          <w:b/>
          <w:bCs/>
          <w:i/>
          <w:iCs/>
          <w:color w:val="0000FF"/>
          <w:lang w:val="en-US" w:eastAsia="zh-CN"/>
        </w:rPr>
        <w:t>“{}”之间为需要模板使用者独立填写的内容</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iCs/>
          <w:color w:val="0000FF"/>
          <w:lang w:val="en-US" w:eastAsia="zh-CN"/>
        </w:rPr>
      </w:pPr>
      <w:r>
        <w:rPr>
          <w:rFonts w:hint="eastAsia" w:ascii="宋体" w:hAnsi="宋体" w:eastAsia="宋体" w:cs="宋体"/>
          <w:b/>
          <w:bCs/>
          <w:i/>
          <w:iCs/>
          <w:color w:val="0000FF"/>
          <w:lang w:val="en-US" w:eastAsia="zh-CN"/>
        </w:rPr>
        <w:t>“【】”之间为龙德对填写内容的相关要求作出的解释及补充说明。</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iCs/>
          <w:color w:val="0000FF"/>
          <w:lang w:val="en-US" w:eastAsia="zh-CN"/>
        </w:rPr>
      </w:pPr>
      <w:r>
        <w:rPr>
          <w:rFonts w:hint="eastAsia" w:ascii="宋体" w:hAnsi="宋体" w:eastAsia="宋体" w:cs="宋体"/>
          <w:b/>
          <w:bCs/>
          <w:i/>
          <w:iCs/>
          <w:color w:val="0000FF"/>
          <w:lang w:val="en-US" w:eastAsia="zh-CN"/>
        </w:rPr>
        <w:t>“（）”之间为龙德对填写内容提供的参考示例。</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iCs/>
          <w:color w:val="0000FF"/>
          <w:kern w:val="0"/>
          <w:sz w:val="24"/>
          <w:szCs w:val="24"/>
          <w:lang w:val="en-US" w:eastAsia="zh-CN" w:bidi="ar-SA"/>
        </w:rPr>
      </w:pPr>
      <w:r>
        <w:rPr>
          <w:rFonts w:hint="eastAsia" w:ascii="宋体" w:hAnsi="宋体" w:eastAsia="宋体" w:cs="宋体"/>
          <w:b/>
          <w:bCs/>
          <w:i w:val="0"/>
          <w:iCs w:val="0"/>
          <w:color w:val="auto"/>
          <w:kern w:val="0"/>
          <w:sz w:val="24"/>
          <w:szCs w:val="24"/>
          <w:lang w:val="en-US" w:eastAsia="zh-CN" w:bidi="ar-SA"/>
        </w:rPr>
        <w:t>5 其他提示：</w:t>
      </w:r>
      <w:r>
        <w:rPr>
          <w:rFonts w:hint="eastAsia" w:ascii="宋体" w:hAnsi="宋体" w:eastAsia="宋体" w:cs="宋体"/>
          <w:b/>
          <w:bCs/>
          <w:i w:val="0"/>
          <w:iCs w:val="0"/>
          <w:color w:val="auto"/>
          <w:kern w:val="0"/>
          <w:sz w:val="24"/>
          <w:szCs w:val="24"/>
          <w:lang w:val="en-US" w:eastAsia="zh-CN" w:bidi="ar-SA"/>
        </w:rPr>
        <w:br w:type="textWrapping"/>
      </w:r>
      <w:r>
        <w:rPr>
          <w:rFonts w:hint="eastAsia" w:ascii="宋体" w:hAnsi="宋体" w:eastAsia="宋体" w:cs="宋体"/>
          <w:b/>
          <w:bCs/>
          <w:i/>
          <w:iCs/>
          <w:color w:val="0000FF"/>
          <w:kern w:val="0"/>
          <w:sz w:val="24"/>
          <w:szCs w:val="24"/>
          <w:lang w:val="en-US" w:eastAsia="zh-CN" w:bidi="ar-SA"/>
        </w:rPr>
        <w:t>该模板仅供参考，具体内容</w:t>
      </w:r>
      <w:r>
        <w:rPr>
          <w:rFonts w:hint="eastAsia" w:ascii="宋体" w:hAnsi="宋体" w:cs="宋体"/>
          <w:b/>
          <w:bCs/>
          <w:i/>
          <w:iCs/>
          <w:color w:val="0000FF"/>
          <w:kern w:val="0"/>
          <w:sz w:val="24"/>
          <w:szCs w:val="24"/>
          <w:lang w:val="en-US" w:eastAsia="zh-CN" w:bidi="ar-SA"/>
        </w:rPr>
        <w:t>请</w:t>
      </w:r>
      <w:r>
        <w:rPr>
          <w:rFonts w:hint="eastAsia" w:ascii="宋体" w:hAnsi="宋体" w:eastAsia="宋体" w:cs="宋体"/>
          <w:b/>
          <w:bCs/>
          <w:i/>
          <w:iCs/>
          <w:color w:val="0000FF"/>
          <w:kern w:val="0"/>
          <w:sz w:val="24"/>
          <w:szCs w:val="24"/>
          <w:lang w:val="en-US" w:eastAsia="zh-CN" w:bidi="ar-SA"/>
        </w:rPr>
        <w:t>以法规</w:t>
      </w:r>
      <w:r>
        <w:rPr>
          <w:rFonts w:hint="eastAsia" w:ascii="宋体" w:hAnsi="宋体" w:cs="宋体"/>
          <w:b/>
          <w:bCs/>
          <w:i/>
          <w:iCs/>
          <w:color w:val="0000FF"/>
          <w:kern w:val="0"/>
          <w:sz w:val="24"/>
          <w:szCs w:val="24"/>
          <w:lang w:val="en-US" w:eastAsia="zh-CN" w:bidi="ar-SA"/>
        </w:rPr>
        <w:t>要求</w:t>
      </w:r>
      <w:r>
        <w:rPr>
          <w:rFonts w:hint="eastAsia" w:ascii="宋体" w:hAnsi="宋体" w:eastAsia="宋体" w:cs="宋体"/>
          <w:b/>
          <w:bCs/>
          <w:i/>
          <w:iCs/>
          <w:color w:val="0000FF"/>
          <w:kern w:val="0"/>
          <w:sz w:val="24"/>
          <w:szCs w:val="24"/>
          <w:lang w:val="en-US" w:eastAsia="zh-CN" w:bidi="ar-SA"/>
        </w:rPr>
        <w:t>为准；</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kern w:val="0"/>
          <w:sz w:val="24"/>
          <w:szCs w:val="24"/>
          <w:lang w:val="en-US" w:eastAsia="zh-CN" w:bidi="ar-SA"/>
        </w:rPr>
      </w:pPr>
      <w:r>
        <w:rPr>
          <w:rFonts w:hint="eastAsia" w:ascii="宋体" w:hAnsi="宋体" w:eastAsia="宋体" w:cs="宋体"/>
          <w:b/>
          <w:bCs/>
          <w:i w:val="0"/>
          <w:iCs w:val="0"/>
          <w:color w:val="auto"/>
          <w:kern w:val="0"/>
          <w:sz w:val="24"/>
          <w:szCs w:val="24"/>
          <w:lang w:val="en-US" w:eastAsia="zh-CN" w:bidi="ar-SA"/>
        </w:rPr>
        <w:t>6 信息来源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bCs/>
          <w:i/>
          <w:iCs/>
          <w:color w:val="0000FF"/>
          <w:kern w:val="0"/>
          <w:sz w:val="24"/>
          <w:szCs w:val="24"/>
          <w:lang w:val="en-US" w:eastAsia="zh-CN" w:bidi="ar-SA"/>
        </w:rPr>
        <w:t>如果需要更多的资料，扫描下方二维码，即可快速进入一站式知识平台医械宝！进入首页下滑找到高级版，即可立享一站式全方位医疗器械知识汇总平台。</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r>
        <w:drawing>
          <wp:inline distT="0" distB="0" distL="114300" distR="114300">
            <wp:extent cx="1415415" cy="1400175"/>
            <wp:effectExtent l="0" t="0" r="13335"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1415415" cy="140017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bidi w:val="0"/>
        <w:snapToGrid/>
        <w:spacing w:line="240" w:lineRule="atLeast"/>
        <w:jc w:val="center"/>
        <w:textAlignment w:val="auto"/>
        <w:rPr>
          <w:rFonts w:hint="eastAsia" w:ascii="宋体" w:hAnsi="宋体" w:eastAsia="宋体" w:cs="宋体"/>
          <w:b/>
          <w:bCs/>
          <w:i/>
          <w:iCs/>
          <w:color w:val="FF0000"/>
          <w:kern w:val="0"/>
          <w:sz w:val="24"/>
          <w:szCs w:val="24"/>
          <w:lang w:val="en-US" w:eastAsia="zh-CN" w:bidi="ar-SA"/>
        </w:rPr>
      </w:pPr>
      <w:r>
        <w:rPr>
          <w:rFonts w:hint="eastAsia" w:ascii="宋体" w:hAnsi="宋体" w:eastAsia="宋体" w:cs="宋体"/>
          <w:b/>
          <w:bCs/>
          <w:i/>
          <w:iCs/>
          <w:color w:val="FF0000"/>
          <w:kern w:val="0"/>
          <w:sz w:val="24"/>
          <w:szCs w:val="24"/>
          <w:lang w:val="en-US" w:eastAsia="zh-CN" w:bidi="ar-SA"/>
        </w:rPr>
        <w:t>医械宝</w:t>
      </w:r>
    </w:p>
    <w:p>
      <w:pPr>
        <w:pStyle w:val="2"/>
        <w:jc w:val="center"/>
        <w:rPr>
          <w:rFonts w:hint="eastAsia" w:ascii="宋体" w:hAnsi="宋体" w:eastAsia="宋体" w:cs="宋体"/>
          <w:b/>
          <w:bCs/>
          <w:i/>
          <w:iCs/>
          <w:color w:val="FF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i/>
          <w:iCs/>
          <w:color w:val="0000FF"/>
          <w:kern w:val="0"/>
          <w:sz w:val="24"/>
          <w:szCs w:val="24"/>
          <w:lang w:val="en-US" w:eastAsia="zh-CN" w:bidi="ar-SA"/>
        </w:rPr>
      </w:pPr>
      <w:r>
        <w:rPr>
          <w:rFonts w:hint="eastAsia" w:ascii="宋体" w:hAnsi="宋体" w:cs="宋体"/>
          <w:b/>
          <w:bCs/>
          <w:i/>
          <w:iCs/>
          <w:color w:val="0000FF"/>
          <w:kern w:val="0"/>
          <w:sz w:val="24"/>
          <w:szCs w:val="24"/>
          <w:lang w:val="en-US" w:eastAsia="zh-CN" w:bidi="ar-SA"/>
        </w:rPr>
        <w:t>或进入深圳市龙德生物科技有限公司官网</w:t>
      </w:r>
      <w:r>
        <w:rPr>
          <w:rFonts w:hint="eastAsia" w:ascii="宋体" w:hAnsi="宋体" w:cs="宋体"/>
          <w:b/>
          <w:bCs/>
          <w:i/>
          <w:iCs/>
          <w:color w:val="0000FF"/>
          <w:kern w:val="0"/>
          <w:sz w:val="24"/>
          <w:szCs w:val="24"/>
          <w:lang w:val="en-US" w:eastAsia="zh-CN" w:bidi="ar-SA"/>
        </w:rPr>
        <w:fldChar w:fldCharType="begin"/>
      </w:r>
      <w:r>
        <w:rPr>
          <w:rFonts w:hint="eastAsia" w:ascii="宋体" w:hAnsi="宋体" w:cs="宋体"/>
          <w:b/>
          <w:bCs/>
          <w:i/>
          <w:iCs/>
          <w:color w:val="0000FF"/>
          <w:kern w:val="0"/>
          <w:sz w:val="24"/>
          <w:szCs w:val="24"/>
          <w:lang w:val="en-US" w:eastAsia="zh-CN" w:bidi="ar-SA"/>
        </w:rPr>
        <w:instrText xml:space="preserve"> HYPERLINK "https://hlongmed.com" </w:instrText>
      </w:r>
      <w:r>
        <w:rPr>
          <w:rFonts w:hint="eastAsia" w:ascii="宋体" w:hAnsi="宋体" w:cs="宋体"/>
          <w:b/>
          <w:bCs/>
          <w:i/>
          <w:iCs/>
          <w:color w:val="0000FF"/>
          <w:kern w:val="0"/>
          <w:sz w:val="24"/>
          <w:szCs w:val="24"/>
          <w:lang w:val="en-US" w:eastAsia="zh-CN" w:bidi="ar-SA"/>
        </w:rPr>
        <w:fldChar w:fldCharType="separate"/>
      </w:r>
      <w:r>
        <w:rPr>
          <w:rStyle w:val="7"/>
          <w:rFonts w:hint="eastAsia" w:ascii="宋体" w:hAnsi="宋体" w:cs="宋体"/>
          <w:b/>
          <w:bCs/>
          <w:i/>
          <w:iCs/>
          <w:color w:val="0000FF"/>
          <w:kern w:val="0"/>
          <w:sz w:val="24"/>
          <w:szCs w:val="24"/>
          <w:lang w:val="en-US" w:eastAsia="zh-CN" w:bidi="ar-SA"/>
        </w:rPr>
        <w:t>https://hlongmed.com</w:t>
      </w:r>
      <w:r>
        <w:rPr>
          <w:rFonts w:hint="eastAsia" w:ascii="宋体" w:hAnsi="宋体" w:cs="宋体"/>
          <w:b/>
          <w:bCs/>
          <w:i/>
          <w:iCs/>
          <w:color w:val="0000FF"/>
          <w:kern w:val="0"/>
          <w:sz w:val="24"/>
          <w:szCs w:val="24"/>
          <w:lang w:val="en-US" w:eastAsia="zh-CN" w:bidi="ar-SA"/>
        </w:rPr>
        <w:fldChar w:fldCharType="end"/>
      </w: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965C5"/>
    <w:multiLevelType w:val="singleLevel"/>
    <w:tmpl w:val="743965C5"/>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0CFD359E"/>
    <w:rsid w:val="0D431DED"/>
    <w:rsid w:val="19DA2300"/>
    <w:rsid w:val="1E907AE9"/>
    <w:rsid w:val="25C76C4E"/>
    <w:rsid w:val="3B07083A"/>
    <w:rsid w:val="42491C0F"/>
    <w:rsid w:val="462E437E"/>
    <w:rsid w:val="46561FD1"/>
    <w:rsid w:val="4B950155"/>
    <w:rsid w:val="543A6A17"/>
    <w:rsid w:val="5854681A"/>
    <w:rsid w:val="58FC2EB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2023-10-25T09:14:39Z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