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Benefit-risk analysis and Risk management</w:t>
      </w:r>
    </w:p>
    <w:p>
      <w:pPr>
        <w:pStyle w:val="2"/>
        <w:rPr>
          <w:rFonts w:eastAsiaTheme="minorEastAsia"/>
        </w:rPr>
      </w:pPr>
    </w:p>
    <w:p/>
    <w:p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>
      <w:pPr>
        <w:widowControl/>
        <w:ind w:firstLine="562" w:firstLineChars="200"/>
        <w:jc w:val="left"/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/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>
      <w:pPr>
        <w:pStyle w:val="8"/>
        <w:autoSpaceDE w:val="0"/>
        <w:autoSpaceDN w:val="0"/>
        <w:adjustRightInd w:val="0"/>
        <w:jc w:val="left"/>
      </w:pPr>
    </w:p>
    <w:p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>
      <w:pPr>
        <w:pStyle w:val="8"/>
        <w:autoSpaceDE w:val="0"/>
        <w:autoSpaceDN w:val="0"/>
        <w:adjustRightInd w:val="0"/>
        <w:jc w:val="left"/>
      </w:pPr>
    </w:p>
    <w:p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>
      <w:pPr>
        <w:pStyle w:val="8"/>
        <w:autoSpaceDE w:val="0"/>
        <w:autoSpaceDN w:val="0"/>
        <w:adjustRightInd w:val="0"/>
        <w:jc w:val="left"/>
      </w:pPr>
    </w:p>
    <w:p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2" w:name="OLE_LINK8"/>
      <w:bookmarkStart w:id="3" w:name="OLE_LINK7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2"/>
      <w:bookmarkEnd w:id="3"/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spacing w:line="360" w:lineRule="auto"/>
        <w:rPr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22"/>
        <w:gridCol w:w="1626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22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26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4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22" w:type="dxa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26" w:type="dxa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>
      <w:pPr>
        <w:rPr>
          <w:b/>
          <w:kern w:val="44"/>
          <w:sz w:val="24"/>
        </w:rPr>
      </w:pPr>
    </w:p>
    <w:p>
      <w:pPr>
        <w:pStyle w:val="2"/>
        <w:rPr>
          <w:rFonts w:cs="Times New Roman"/>
          <w:b/>
          <w:kern w:val="44"/>
          <w:szCs w:val="22"/>
        </w:rPr>
      </w:pPr>
    </w:p>
    <w:p>
      <w:pPr>
        <w:pStyle w:val="2"/>
        <w:rPr>
          <w:rFonts w:cs="Times New Roman"/>
          <w:b/>
          <w:kern w:val="44"/>
          <w:szCs w:val="22"/>
        </w:rPr>
      </w:pPr>
      <w:bookmarkStart w:id="5" w:name="_GoBack"/>
      <w:bookmarkEnd w:id="5"/>
    </w:p>
    <w:p>
      <w:pPr>
        <w:pStyle w:val="2"/>
        <w:rPr>
          <w:rFonts w:cs="Times New Roman"/>
          <w:b/>
          <w:kern w:val="44"/>
          <w:szCs w:val="22"/>
        </w:rPr>
      </w:pPr>
    </w:p>
    <w:p>
      <w:pPr>
        <w:pStyle w:val="2"/>
        <w:numPr>
          <w:ilvl w:val="0"/>
          <w:numId w:val="1"/>
        </w:numPr>
        <w:rPr>
          <w:rFonts w:ascii="Times New Roman" w:cs="Times New Roman" w:eastAsiaTheme="minorEastAsia"/>
          <w:b/>
          <w:bCs/>
          <w:sz w:val="28"/>
          <w:szCs w:val="28"/>
        </w:rPr>
      </w:pPr>
      <w:r>
        <w:rPr>
          <w:rFonts w:hint="eastAsia" w:ascii="Times New Roman" w:cs="Times New Roman" w:eastAsiaTheme="minorEastAsia"/>
          <w:b/>
          <w:bCs/>
          <w:sz w:val="28"/>
          <w:szCs w:val="28"/>
        </w:rPr>
        <w:t>Benefit -Risk analysis</w:t>
      </w:r>
    </w:p>
    <w:p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 xml:space="preserve">{对申报产品进行风险利益分析} </w:t>
      </w:r>
    </w:p>
    <w:p>
      <w:pPr>
        <w:pStyle w:val="2"/>
        <w:rPr>
          <w:rFonts w:cs="Times New Roman"/>
          <w:b/>
          <w:kern w:val="44"/>
          <w:szCs w:val="22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>【风险分析需要满足MDR 法规附录I的第1和8节中所述的风险利益分析】</w:t>
      </w:r>
    </w:p>
    <w:p>
      <w:pPr>
        <w:pStyle w:val="2"/>
        <w:rPr>
          <w:rFonts w:cs="Times New Roman"/>
          <w:b/>
          <w:kern w:val="44"/>
          <w:szCs w:val="22"/>
        </w:rPr>
      </w:pPr>
    </w:p>
    <w:p>
      <w:pPr>
        <w:pStyle w:val="2"/>
        <w:numPr>
          <w:ilvl w:val="0"/>
          <w:numId w:val="1"/>
        </w:numPr>
        <w:rPr>
          <w:rFonts w:ascii="Times New Roman" w:cs="Times New Roman" w:eastAsiaTheme="minorEastAsia"/>
          <w:b/>
          <w:bCs/>
          <w:sz w:val="28"/>
          <w:szCs w:val="28"/>
        </w:rPr>
      </w:pPr>
      <w:r>
        <w:rPr>
          <w:rFonts w:ascii="Times New Roman" w:cs="Times New Roman" w:eastAsiaTheme="minorEastAsia"/>
          <w:b/>
          <w:bCs/>
          <w:sz w:val="28"/>
          <w:szCs w:val="28"/>
        </w:rPr>
        <w:t xml:space="preserve">Risk management </w:t>
      </w:r>
    </w:p>
    <w:p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 xml:space="preserve">{对申报产品的风险管理结果进行描述} </w:t>
      </w:r>
    </w:p>
    <w:p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</w:p>
    <w:p>
      <w:pPr>
        <w:pStyle w:val="2"/>
        <w:rPr>
          <w:rFonts w:ascii="Times New Roman" w:cs="Times New Roman" w:eastAsiaTheme="minorEastAsia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>【风险管理的方案以及结果需满足MDR 法规附录I第3节的内容，以及相应的风险管理的协调标准】（参考示例：Please refer to *** Risk management report.）</w:t>
      </w:r>
    </w:p>
    <w:p>
      <w:pPr>
        <w:pStyle w:val="2"/>
        <w:rPr>
          <w:rFonts w:ascii="Times New Roman" w:cs="Times New Roman" w:eastAsiaTheme="minorEastAsia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BF7D1"/>
    <w:multiLevelType w:val="singleLevel"/>
    <w:tmpl w:val="185BF7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A11C0"/>
    <w:rsid w:val="00197665"/>
    <w:rsid w:val="001C3ADF"/>
    <w:rsid w:val="00274059"/>
    <w:rsid w:val="00286105"/>
    <w:rsid w:val="005122E7"/>
    <w:rsid w:val="00570DA8"/>
    <w:rsid w:val="006246C5"/>
    <w:rsid w:val="0062686F"/>
    <w:rsid w:val="0071209E"/>
    <w:rsid w:val="007C0866"/>
    <w:rsid w:val="00832C9E"/>
    <w:rsid w:val="008745EB"/>
    <w:rsid w:val="00946054"/>
    <w:rsid w:val="009770F2"/>
    <w:rsid w:val="009B79E9"/>
    <w:rsid w:val="00A14837"/>
    <w:rsid w:val="00AC501F"/>
    <w:rsid w:val="00AF4D0F"/>
    <w:rsid w:val="00B05084"/>
    <w:rsid w:val="00B06FB9"/>
    <w:rsid w:val="00B526BE"/>
    <w:rsid w:val="00BF1CE5"/>
    <w:rsid w:val="00C03C91"/>
    <w:rsid w:val="00D00EC8"/>
    <w:rsid w:val="00D701CB"/>
    <w:rsid w:val="00E7298B"/>
    <w:rsid w:val="00EF342E"/>
    <w:rsid w:val="00F07CBF"/>
    <w:rsid w:val="00F34ECE"/>
    <w:rsid w:val="00F434CD"/>
    <w:rsid w:val="01913478"/>
    <w:rsid w:val="026B0BD9"/>
    <w:rsid w:val="1D960B64"/>
    <w:rsid w:val="26AF261D"/>
    <w:rsid w:val="367B1549"/>
    <w:rsid w:val="387A616A"/>
    <w:rsid w:val="3D3370A4"/>
    <w:rsid w:val="47B85269"/>
    <w:rsid w:val="480A0387"/>
    <w:rsid w:val="49903302"/>
    <w:rsid w:val="4DD3363A"/>
    <w:rsid w:val="4E2D2944"/>
    <w:rsid w:val="573F0B58"/>
    <w:rsid w:val="585C31F8"/>
    <w:rsid w:val="5ADA1186"/>
    <w:rsid w:val="6D9437F2"/>
    <w:rsid w:val="71CF32BA"/>
    <w:rsid w:val="77FA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Hlongmed</cp:lastModifiedBy>
  <dcterms:modified xsi:type="dcterms:W3CDTF">2021-04-19T10:54:56Z</dcterms:modified>
  <dc:subject>医械宝模板仅供参考，具体以法规要求为准。需要更多医械宝信息请联系龙德。</dc:subject>
  <dc:title>医械宝模板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5C88BCD5DA3D4BBFA0CB491570FA2A25</vt:lpwstr>
  </property>
</Properties>
</file>