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/>
          <w:i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/>
          <w:i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56"/>
          <w:szCs w:val="56"/>
          <w:lang w:val="en-US" w:eastAsia="zh-CN"/>
        </w:rPr>
        <w:t>Biocompatibility Reports and Documentation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i/>
          <w:color w:val="0000CC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{请将产品对应的测试报告放在这里}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【生物相容性测试，需要按照GLP流程进行测试，并在有资质的实验室进行测试。同时符合ISO 10993 series的要求，以及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指南</w:t>
      </w:r>
      <w: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Use of International Standard ISO 10993-1, "Biological evaluation of medical devices - Part 1: Evaluation and testing within a risk management process.</w:t>
      </w:r>
      <w: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的要求</w:t>
      </w: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6C213C90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</Words>
  <Characters>42</Characters>
  <Lines>1</Lines>
  <Paragraphs>1</Paragraphs>
  <TotalTime>1</TotalTime>
  <ScaleCrop>false</ScaleCrop>
  <LinksUpToDate>false</LinksUpToDate>
  <CharactersWithSpaces>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2023-05-22T03:53:10Z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