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</w:rPr>
        <w:t>Other Labeling</w:t>
      </w:r>
    </w:p>
    <w:p>
      <w:pPr>
        <w:rPr>
          <w:rFonts w:hint="default" w:ascii="Times New Roman" w:hAnsi="Times New Roman" w:cs="Times New Roma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Not applicable. The device does not contains other labeling. 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【如：其他标签和宣传材料，运输标签，医疗专业人员标签，患者标签，技术和/或操作手册等】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AD54503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5E74715C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55</Words>
  <Characters>110</Characters>
  <Lines>1</Lines>
  <Paragraphs>1</Paragraphs>
  <TotalTime>0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2023-05-22T06:11:02Z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