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 w:ascii="Times New Roman" w:hAnsi="Times New Roman" w:cs="Times New Roman"/>
          <w:b/>
          <w:bCs/>
          <w:i w:val="0"/>
          <w:iCs/>
          <w:color w:val="auto"/>
          <w:sz w:val="56"/>
          <w:szCs w:val="5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/>
          <w:color w:val="auto"/>
          <w:sz w:val="56"/>
          <w:szCs w:val="56"/>
          <w:lang w:val="en-US" w:eastAsia="zh-CN"/>
        </w:rPr>
        <w:t>Instructions for Use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{提供产品说明书}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【产品说明书，应符合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21 CFR Part 807.87(e), 21 CFR Part 801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instrText xml:space="preserve">HYPERLINK "http://www.fda.gov/MedicalDevices/DeviceRegulationandGuidance/GuidanceDocuments/ucm081368.htm" </w:instrTex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Blue Book Memorandum #G91-1: Device Labeling Guidance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March 8, 1991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.】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【如果产品标准中有对说明书中要求，也需要满足】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  <w:t>【FDA认证和登记列名没有FDA标识这一说明，说明书和标签中不要放FDA的标识】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rPr>
          <w:i/>
          <w:color w:val="0000CC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2FA94E22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2023-05-22T03:38:38Z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