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56"/>
          <w:szCs w:val="56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56"/>
          <w:szCs w:val="5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56"/>
          <w:szCs w:val="56"/>
          <w:lang w:val="en-US" w:eastAsia="zh-CN" w:bidi="ar-SA"/>
        </w:rPr>
        <w:t>Standards Details/</w:t>
      </w:r>
    </w:p>
    <w:p>
      <w:pPr>
        <w:pStyle w:val="2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56"/>
          <w:szCs w:val="5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56"/>
          <w:szCs w:val="56"/>
          <w:lang w:val="en-US" w:eastAsia="zh-CN" w:bidi="ar-SA"/>
        </w:rPr>
        <w:t xml:space="preserve"> Supplemental Documentation</w:t>
      </w: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ArialMT" w:hAnsi="ArialMT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ArialMT" w:hAnsi="ArialMT" w:eastAsiaTheme="minorEastAsia" w:cstheme="minorBidi"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ArialMT" w:hAnsi="ArialMT" w:eastAsiaTheme="minorEastAsia" w:cstheme="minorBidi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ArialMT" w:hAnsi="ArialMT" w:cstheme="minorBidi"/>
          <w:i/>
          <w:iCs/>
          <w:color w:val="0000FF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ArialMT" w:hAnsi="ArialMT" w:eastAsiaTheme="minorEastAsia" w:cstheme="minorBidi"/>
          <w:i/>
          <w:iCs/>
          <w:color w:val="0000FF"/>
          <w:kern w:val="2"/>
          <w:sz w:val="24"/>
          <w:szCs w:val="24"/>
          <w:lang w:val="en-US" w:eastAsia="zh-CN" w:bidi="ar-SA"/>
        </w:rPr>
        <w:t>Not applicable. Supplemental information is not needed. The standard include both acceptance and test method(s) or procedure(s).</w:t>
      </w:r>
      <w:r>
        <w:rPr>
          <w:rFonts w:hint="eastAsia" w:ascii="ArialMT" w:hAnsi="ArialMT" w:cstheme="minorBidi"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）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A6A56E4"/>
    <w:rsid w:val="14B939AA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22</Words>
  <Characters>156</Characters>
  <Lines>1</Lines>
  <Paragraphs>1</Paragraphs>
  <TotalTime>1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2023-05-22T06:08:42Z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