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ArialMT" w:cs="Times New Roman"/>
          <w:b/>
          <w:bCs/>
          <w:sz w:val="56"/>
          <w:szCs w:val="56"/>
          <w:lang w:val="en-US" w:eastAsia="zh-CN"/>
        </w:rPr>
      </w:pPr>
      <w:r>
        <w:rPr>
          <w:rFonts w:hint="eastAsia" w:ascii="Times New Roman" w:hAnsi="Times New Roman" w:eastAsia="ArialMT" w:cs="Times New Roman"/>
          <w:b/>
          <w:bCs/>
          <w:sz w:val="56"/>
          <w:szCs w:val="56"/>
          <w:lang w:val="en-US" w:eastAsia="zh-CN"/>
        </w:rPr>
        <w:t>Letters of Reference</w:t>
      </w: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（Not applicable. It does not a</w:t>
      </w:r>
      <w:r>
        <w:rPr>
          <w:rFonts w:hint="default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</w:rPr>
        <w:t>ttach any Letters of Reference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.）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ArialMT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【如果含有</w:t>
      </w:r>
      <w:r>
        <w:rPr>
          <w:rFonts w:hint="default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Letters of Reference</w:t>
      </w:r>
      <w:r>
        <w:rPr>
          <w:rFonts w:hint="eastAsia" w:ascii="Times New Roman" w:hAnsi="Times New Roman" w:eastAsia="ArialMT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。应提供相应的内容，应为MAF持有人直接向申请人提的供授权书，且后续每次提交中，均应放置一份授权书的副本。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i/>
          <w:iCs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授权书应规定授予访问权限的范围。】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7581620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3FC4321"/>
    <w:rsid w:val="64110059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89</Words>
  <Characters>164</Characters>
  <Lines>1</Lines>
  <Paragraphs>1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2023-05-22T06:08:24Z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