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/>
          <w:color w:val="0000CC"/>
        </w:rPr>
      </w:pPr>
    </w:p>
    <w:p>
      <w:pPr>
        <w:pStyle w:val="2"/>
        <w:rPr>
          <w:i/>
          <w:color w:val="0000CC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{请将产品对应的测试报告放在这里}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【如果是第三方测试的报告，直接将报告放在这里即可，FDA没有明确的法规具体要求检测所的资质，但有GLP, CNAS资质的报告认可度会相对较高；此类报告的质量也会较好，FDA会审核报告内容，即使第三方出具的报告也会提出审核建议，测试前可跟检测机构沟通好，如后续发补需要对方协助】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【如果是自己出的自测报告，请注意，FDA对自测报告的质量要求较高；自测报告请参照Guidance for Industry and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Food and Drug Administration Staff</w:t>
      </w: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 xml:space="preserve">：Recommended Content and Format of </w:t>
      </w:r>
      <w:r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Non-Clinical Bench Performance Testing Information in Premarket Submissions</w:t>
      </w: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指南中的要求进行拟制，其中检测涉及的设备，试验过程等均需要清楚明了】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color w:val="0000CC"/>
          <w:sz w:val="24"/>
          <w:szCs w:val="24"/>
          <w:lang w:val="en-US" w:eastAsia="zh-CN"/>
        </w:rPr>
        <w:t>【在一般情况下，建议找有资质的第三方测试】</w:t>
      </w:r>
    </w:p>
    <w:p>
      <w:pPr>
        <w:pStyle w:val="2"/>
        <w:rPr>
          <w:i/>
          <w:color w:val="0000CC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C0F1652"/>
    <w:rsid w:val="3B07083A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2021-06-04T02:47:49Z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276E00956E904AD9B0009AAEEE1D5F38</vt:lpwstr>
  </property>
</Properties>
</file>