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default" w:ascii="Times New Roman" w:hAnsi="Times New Roman" w:cs="Times New Roman"/>
          <w:b/>
          <w:bCs/>
          <w:sz w:val="48"/>
          <w:szCs w:val="56"/>
          <w:lang w:val="en-US" w:eastAsia="zh-CN"/>
        </w:rPr>
      </w:pPr>
      <w:r>
        <w:rPr>
          <w:rFonts w:hint="eastAsia"/>
          <w:lang w:val="en-US" w:eastAsia="zh-CN"/>
        </w:rPr>
        <w:t xml:space="preserve">    </w:t>
      </w:r>
      <w:r>
        <w:rPr>
          <w:rFonts w:hint="eastAsia"/>
          <w:sz w:val="44"/>
          <w:szCs w:val="44"/>
          <w:lang w:val="en-US" w:eastAsia="zh-CN"/>
        </w:rPr>
        <w:t xml:space="preserve">  </w:t>
      </w:r>
      <w:r>
        <w:rPr>
          <w:rFonts w:hint="default" w:ascii="Times New Roman" w:hAnsi="Times New Roman" w:cs="Times New Roman"/>
          <w:sz w:val="44"/>
          <w:szCs w:val="44"/>
          <w:lang w:val="en-US" w:eastAsia="zh-CN"/>
        </w:rPr>
        <w:t xml:space="preserve"> </w:t>
      </w:r>
      <w:r>
        <w:rPr>
          <w:rFonts w:hint="default" w:ascii="Times New Roman" w:hAnsi="Times New Roman" w:cs="Times New Roman"/>
          <w:b/>
          <w:bCs/>
          <w:sz w:val="44"/>
          <w:szCs w:val="44"/>
          <w:lang w:val="en-US" w:eastAsia="zh-CN"/>
        </w:rPr>
        <w:t xml:space="preserve">Substantial Equivalence Discussion </w:t>
      </w:r>
    </w:p>
    <w:p>
      <w:pPr>
        <w:rPr>
          <w:rFonts w:hint="default" w:ascii="Times New Roman" w:hAnsi="Times New Roman" w:cs="Times New Roman"/>
          <w:b/>
          <w:bCs/>
          <w:sz w:val="40"/>
          <w:szCs w:val="48"/>
          <w:lang w:val="en-US" w:eastAsia="zh-CN"/>
        </w:rPr>
      </w:pPr>
    </w:p>
    <w:p>
      <w:pPr>
        <w:numPr>
          <w:ilvl w:val="0"/>
          <w:numId w:val="1"/>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Purpose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The following is a comparison between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(Subject Device) and legally marketed device. The result shows the conformance of Subject Device to the Predicate Devices. </w:t>
      </w:r>
    </w:p>
    <w:p>
      <w:pPr>
        <w:numPr>
          <w:ilvl w:val="0"/>
          <w:numId w:val="0"/>
        </w:numPr>
        <w:rPr>
          <w:rFonts w:hint="default" w:ascii="Times New Roman" w:hAnsi="Times New Roman" w:cs="Times New Roman"/>
          <w:b w:val="0"/>
          <w:bCs w:val="0"/>
          <w:sz w:val="24"/>
          <w:szCs w:val="24"/>
          <w:lang w:val="en-US" w:eastAsia="zh-CN"/>
        </w:rPr>
      </w:pPr>
    </w:p>
    <w:p>
      <w:pPr>
        <w:numPr>
          <w:ilvl w:val="0"/>
          <w:numId w:val="1"/>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Predicate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Subject Device is substantially equivalent in its technologies and functionality to the</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bCs/>
          <w:i/>
          <w:color w:val="0000CC"/>
          <w:sz w:val="24"/>
          <w:szCs w:val="24"/>
          <w:lang w:val="en-US" w:eastAsia="zh-CN"/>
        </w:rPr>
        <w:t>{填写对比器械名称}</w:t>
      </w:r>
      <w:r>
        <w:rPr>
          <w:rFonts w:hint="default" w:ascii="Times New Roman" w:hAnsi="Times New Roman" w:cs="Times New Roman"/>
          <w:b w:val="0"/>
          <w:bCs w:val="0"/>
          <w:sz w:val="24"/>
          <w:szCs w:val="24"/>
          <w:lang w:val="en-US" w:eastAsia="zh-CN"/>
        </w:rPr>
        <w:t xml:space="preserve"> manufactured by </w:t>
      </w:r>
      <w:r>
        <w:rPr>
          <w:rFonts w:hint="eastAsia" w:ascii="Times New Roman" w:hAnsi="Times New Roman" w:cs="Times New Roman"/>
          <w:b/>
          <w:bCs/>
          <w:i/>
          <w:color w:val="0000CC"/>
          <w:sz w:val="24"/>
          <w:szCs w:val="24"/>
          <w:lang w:val="en-US" w:eastAsia="zh-CN"/>
        </w:rPr>
        <w:t>{填写对比器械制造商}</w:t>
      </w:r>
      <w:r>
        <w:rPr>
          <w:rFonts w:hint="default" w:ascii="Times New Roman" w:hAnsi="Times New Roman" w:cs="Times New Roman"/>
          <w:b w:val="0"/>
          <w:bCs w:val="0"/>
          <w:sz w:val="24"/>
          <w:szCs w:val="24"/>
          <w:lang w:val="en-US" w:eastAsia="zh-CN"/>
        </w:rPr>
        <w:t xml:space="preserve"> that is already cleared under premarketed notification number </w:t>
      </w:r>
      <w:r>
        <w:rPr>
          <w:rFonts w:hint="eastAsia" w:ascii="Times New Roman" w:hAnsi="Times New Roman" w:cs="Times New Roman"/>
          <w:b/>
          <w:bCs/>
          <w:i/>
          <w:color w:val="0000CC"/>
          <w:sz w:val="24"/>
          <w:szCs w:val="24"/>
          <w:lang w:val="en-US" w:eastAsia="zh-CN"/>
        </w:rPr>
        <w:t>{填写对比器械K号}</w:t>
      </w:r>
      <w:r>
        <w:rPr>
          <w:rFonts w:hint="default" w:ascii="Times New Roman" w:hAnsi="Times New Roman" w:cs="Times New Roman"/>
          <w:b w:val="0"/>
          <w:bCs w:val="0"/>
          <w:sz w:val="24"/>
          <w:szCs w:val="24"/>
          <w:lang w:val="en-US" w:eastAsia="zh-CN"/>
        </w:rPr>
        <w:t xml:space="preserve">. </w:t>
      </w:r>
    </w:p>
    <w:p>
      <w:pPr>
        <w:numPr>
          <w:ilvl w:val="0"/>
          <w:numId w:val="0"/>
        </w:numPr>
        <w:rPr>
          <w:rFonts w:hint="default" w:ascii="Times New Roman" w:hAnsi="Times New Roman" w:cs="Times New Roman"/>
          <w:b w:val="0"/>
          <w:bCs w:val="0"/>
          <w:sz w:val="24"/>
          <w:szCs w:val="24"/>
          <w:lang w:val="en-US" w:eastAsia="zh-CN"/>
        </w:rPr>
      </w:pPr>
    </w:p>
    <w:tbl>
      <w:tblPr>
        <w:tblStyle w:val="6"/>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3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numPr>
                <w:ilvl w:val="0"/>
                <w:numId w:val="0"/>
              </w:numPr>
              <w:rPr>
                <w:rFonts w:hint="default" w:ascii="Times New Roman" w:hAnsi="Times New Roman" w:cs="Times New Roman"/>
                <w:b/>
                <w:bCs/>
                <w:sz w:val="24"/>
                <w:szCs w:val="24"/>
                <w:vertAlign w:val="baseline"/>
                <w:lang w:val="en-US" w:eastAsia="zh-CN"/>
              </w:rPr>
            </w:pPr>
            <w:bookmarkStart w:id="0" w:name="OLE_LINK12"/>
            <w:r>
              <w:rPr>
                <w:rFonts w:hint="default" w:ascii="Times New Roman" w:hAnsi="Times New Roman" w:cs="Times New Roman"/>
                <w:b/>
                <w:bCs/>
                <w:sz w:val="24"/>
                <w:szCs w:val="24"/>
                <w:vertAlign w:val="baseline"/>
                <w:lang w:val="en-US" w:eastAsia="zh-CN"/>
              </w:rPr>
              <w:t xml:space="preserve">Manufacturer </w:t>
            </w:r>
          </w:p>
        </w:tc>
        <w:tc>
          <w:tcPr>
            <w:tcW w:w="4306"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Proprietary /Trade Name</w:t>
            </w:r>
          </w:p>
        </w:tc>
        <w:tc>
          <w:tcPr>
            <w:tcW w:w="2046"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30" w:type="dxa"/>
          </w:tcPr>
          <w:p>
            <w:pPr>
              <w:numPr>
                <w:ilvl w:val="0"/>
                <w:numId w:val="0"/>
              </w:num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i/>
                <w:color w:val="0000CC"/>
                <w:sz w:val="24"/>
                <w:szCs w:val="24"/>
                <w:lang w:val="en-US" w:eastAsia="zh-CN"/>
              </w:rPr>
              <w:t>{填写对比器械制造商}</w:t>
            </w:r>
          </w:p>
        </w:tc>
        <w:tc>
          <w:tcPr>
            <w:tcW w:w="4306" w:type="dxa"/>
          </w:tcPr>
          <w:p>
            <w:pPr>
              <w:numPr>
                <w:ilvl w:val="0"/>
                <w:numId w:val="0"/>
              </w:numPr>
              <w:rPr>
                <w:rFonts w:hint="default" w:ascii="Times New Roman" w:hAnsi="Times New Roman" w:cs="Times New Roman"/>
                <w:b w:val="0"/>
                <w:bCs w:val="0"/>
                <w:sz w:val="24"/>
                <w:szCs w:val="24"/>
                <w:lang w:val="en-US" w:eastAsia="zh-CN"/>
              </w:rPr>
            </w:pPr>
            <w:r>
              <w:rPr>
                <w:rFonts w:hint="eastAsia" w:ascii="Times New Roman" w:hAnsi="Times New Roman" w:cs="Times New Roman"/>
                <w:b/>
                <w:bCs/>
                <w:i/>
                <w:color w:val="0000CC"/>
                <w:sz w:val="24"/>
                <w:szCs w:val="24"/>
                <w:lang w:val="en-US" w:eastAsia="zh-CN"/>
              </w:rPr>
              <w:t>{填写对比器械名称}</w:t>
            </w:r>
          </w:p>
        </w:tc>
        <w:tc>
          <w:tcPr>
            <w:tcW w:w="2046" w:type="dxa"/>
          </w:tcPr>
          <w:p>
            <w:pPr>
              <w:numPr>
                <w:ilvl w:val="0"/>
                <w:numId w:val="0"/>
              </w:numP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bCs/>
                <w:i/>
                <w:color w:val="0000CC"/>
                <w:sz w:val="24"/>
                <w:szCs w:val="24"/>
                <w:lang w:val="en-US" w:eastAsia="zh-CN"/>
              </w:rPr>
              <w:t>{填写对比器械K号}</w:t>
            </w:r>
          </w:p>
        </w:tc>
      </w:tr>
      <w:bookmarkEnd w:id="0"/>
    </w:tbl>
    <w:p>
      <w:pPr>
        <w:numPr>
          <w:ilvl w:val="0"/>
          <w:numId w:val="0"/>
        </w:numPr>
        <w:rPr>
          <w:rFonts w:hint="default" w:ascii="Times New Roman" w:hAnsi="Times New Roman" w:cs="Times New Roman"/>
          <w:b/>
          <w:bCs/>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3. Comparison Result </w:t>
      </w:r>
    </w:p>
    <w:p>
      <w:pPr>
        <w:numPr>
          <w:ilvl w:val="0"/>
          <w:numId w:val="0"/>
        </w:numPr>
        <w:rPr>
          <w:rFonts w:hint="default" w:ascii="Times New Roman" w:hAnsi="Times New Roman" w:cs="Times New Roman"/>
          <w:b w:val="0"/>
          <w:bCs w:val="0"/>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 w:name="OLE_LINK2"/>
            <w:r>
              <w:rPr>
                <w:rFonts w:hint="default" w:ascii="Times New Roman" w:hAnsi="Times New Roman" w:cs="Times New Roman"/>
                <w:b/>
                <w:bCs/>
                <w:sz w:val="24"/>
                <w:szCs w:val="24"/>
                <w:vertAlign w:val="baseline"/>
                <w:lang w:val="en-US" w:eastAsia="zh-CN"/>
              </w:rPr>
              <w:t xml:space="preserve">Predicate Devices </w:t>
            </w:r>
            <w:bookmarkEnd w:id="1"/>
          </w:p>
        </w:tc>
        <w:tc>
          <w:tcPr>
            <w:tcW w:w="1022" w:type="dxa"/>
          </w:tcPr>
          <w:p>
            <w:pPr>
              <w:numPr>
                <w:ilvl w:val="0"/>
                <w:numId w:val="0"/>
              </w:numPr>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（参考示例：Size）</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r>
    </w:tbl>
    <w:p>
      <w:pPr>
        <w:numPr>
          <w:ilvl w:val="0"/>
          <w:numId w:val="0"/>
        </w:numPr>
        <w:rPr>
          <w:rFonts w:hint="default" w:ascii="Times New Roman" w:hAnsi="Times New Roman" w:cs="Times New Roman"/>
          <w:b w:val="0"/>
          <w:bCs w:val="0"/>
          <w:sz w:val="24"/>
          <w:szCs w:val="24"/>
          <w:lang w:val="en-US" w:eastAsia="zh-CN"/>
        </w:rPr>
      </w:pPr>
    </w:p>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Note:</w:t>
      </w:r>
      <w:r>
        <w:rPr>
          <w:rFonts w:hint="default" w:ascii="Times New Roman" w:hAnsi="Times New Roman" w:cs="Times New Roman"/>
          <w:b w:val="0"/>
          <w:bCs w:val="0"/>
          <w:sz w:val="24"/>
          <w:szCs w:val="24"/>
          <w:lang w:val="en-US" w:eastAsia="zh-CN"/>
        </w:rPr>
        <w:t xml:space="preserve"> S/D: Same/Different</w:t>
      </w:r>
    </w:p>
    <w:p>
      <w:pPr>
        <w:numPr>
          <w:ilvl w:val="0"/>
          <w:numId w:val="0"/>
        </w:numPr>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bCs/>
          <w:sz w:val="24"/>
          <w:szCs w:val="24"/>
          <w:lang w:val="en-US" w:eastAsia="zh-CN"/>
        </w:rPr>
        <w:t xml:space="preserve">4. </w:t>
      </w:r>
      <w:bookmarkStart w:id="2" w:name="OLE_LINK14"/>
      <w:bookmarkStart w:id="3" w:name="OLE_LINK13"/>
      <w:r>
        <w:rPr>
          <w:rFonts w:hint="default" w:ascii="Times New Roman" w:hAnsi="Times New Roman" w:cs="Times New Roman"/>
          <w:b/>
          <w:bCs/>
          <w:sz w:val="24"/>
          <w:szCs w:val="24"/>
          <w:lang w:val="en-US" w:eastAsia="zh-CN"/>
        </w:rPr>
        <w:t>Discussion of Similarities and Differences</w:t>
      </w:r>
      <w:bookmarkEnd w:id="2"/>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vertAlign w:val="baseline"/>
          <w:lang w:val="en-US" w:eastAsia="zh-CN"/>
        </w:rPr>
        <w:t>The features of the</w:t>
      </w:r>
      <w:r>
        <w:rPr>
          <w:rFonts w:hint="eastAsia" w:ascii="Times New Roman" w:hAnsi="Times New Roman" w:cs="Times New Roman"/>
          <w:b w:val="0"/>
          <w:bCs w:val="0"/>
          <w:sz w:val="24"/>
          <w:szCs w:val="24"/>
          <w:vertAlign w:val="baseli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vertAlign w:val="baseline"/>
          <w:lang w:val="en-US" w:eastAsia="zh-CN"/>
        </w:rPr>
        <w:t xml:space="preserve"> are compared to predicate devices in the form of above tables.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Our device and the predicate device differ in the following areas.</w:t>
      </w:r>
      <w:bookmarkStart w:id="4" w:name="OLE_LINK3"/>
    </w:p>
    <w:bookmarkEnd w:id="3"/>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lang w:val="en-US" w:eastAsia="zh-CN"/>
        </w:rPr>
      </w:pPr>
      <w:r>
        <w:rPr>
          <w:rFonts w:hint="eastAsia" w:ascii="Times New Roman" w:hAnsi="Times New Roman" w:cs="Times New Roman"/>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sz w:val="24"/>
          <w:szCs w:val="24"/>
          <w:shd w:val="clear" w:color="auto" w:fill="FFFFFF"/>
          <w:lang w:val="en-US" w:eastAsia="zh-CN"/>
        </w:rPr>
      </w:pP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 Conclusion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All above is the comparison between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and legally marketed device. Which shows the proposed device and the Predicate Device is substantially equivalent.</w:t>
      </w:r>
    </w:p>
    <w:p>
      <w:pPr>
        <w:rPr>
          <w:i/>
          <w:color w:val="0000CC"/>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0F9C5"/>
    <w:multiLevelType w:val="singleLevel"/>
    <w:tmpl w:val="58C0F9C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04954E9E"/>
    <w:rsid w:val="1D6B5ED0"/>
    <w:rsid w:val="3B07083A"/>
    <w:rsid w:val="638C3F6B"/>
    <w:rsid w:val="6A01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2021-07-26T08:53:17Z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