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400" w:lineRule="exact"/>
        <w:ind w:left="0" w:leftChars="0" w:right="0" w:firstLine="0" w:firstLineChars="0"/>
        <w:jc w:val="center"/>
        <w:textAlignment w:val="auto"/>
        <w:outlineLvl w:val="0"/>
        <w:rPr>
          <w:rFonts w:hint="default" w:ascii="Times New Roman" w:hAnsi="Times New Roman" w:eastAsia="宋体" w:cs="Times New Roman"/>
          <w:b/>
          <w:bCs/>
          <w:color w:val="auto"/>
          <w:kern w:val="36"/>
          <w:sz w:val="32"/>
          <w:szCs w:val="32"/>
        </w:rPr>
      </w:pPr>
      <w:bookmarkStart w:id="0" w:name="OLE_LINK1"/>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FINANCIAL DISCLOSURES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iCs/>
          <w:color w:val="auto"/>
          <w:sz w:val="24"/>
          <w:szCs w:val="24"/>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i/>
          <w:iCs/>
          <w:color w:val="0000FF"/>
          <w:sz w:val="28"/>
          <w:szCs w:val="28"/>
          <w:lang w:val="en-US" w:eastAsia="zh-CN"/>
        </w:rPr>
      </w:pPr>
      <w:r>
        <w:rPr>
          <w:rFonts w:hint="eastAsia" w:ascii="Times New Roman" w:hAnsi="Times New Roman" w:eastAsia="宋体" w:cs="Times New Roman"/>
          <w:b/>
          <w:bCs/>
          <w:i/>
          <w:iCs/>
          <w:color w:val="0000FF"/>
          <w:sz w:val="28"/>
          <w:szCs w:val="28"/>
          <w:lang w:val="en-US" w:eastAsia="zh-CN"/>
        </w:rPr>
        <w:t>【配合Financial Certification一起使用】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i/>
          <w:iCs/>
          <w:color w:val="0000FF"/>
          <w:sz w:val="24"/>
          <w:szCs w:val="24"/>
          <w:lang w:val="en-US" w:eastAsia="zh-CN"/>
        </w:rPr>
        <w:t>参考示例：{公司名称}</w:t>
      </w:r>
      <w:r>
        <w:rPr>
          <w:rFonts w:hint="default" w:ascii="Times New Roman" w:hAnsi="Times New Roman" w:eastAsia="宋体" w:cs="Times New Roman"/>
          <w:i/>
          <w:iCs/>
          <w:color w:val="0000FF"/>
          <w:sz w:val="24"/>
          <w:szCs w:val="24"/>
        </w:rPr>
        <w:t xml:space="preserve"> is submitting clinical data to support this 510(k) notice, and is providing its disclosure of financial interest as required by 21 C.F.R. § 54.4 below.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The two studies evaluating the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for fat and circumference reduction were conducted in house at one site in Israel (Syneron’s in house clinic) by employees of </w:t>
      </w:r>
      <w:r>
        <w:rPr>
          <w:rFonts w:hint="eastAsia" w:ascii="Times New Roman" w:hAnsi="Times New Roman" w:eastAsia="宋体" w:cs="Times New Roman"/>
          <w:i/>
          <w:iCs/>
          <w:color w:val="0000FF"/>
          <w:sz w:val="24"/>
          <w:szCs w:val="24"/>
          <w:lang w:val="en-US" w:eastAsia="zh-CN"/>
        </w:rPr>
        <w:t>{公司名称}</w:t>
      </w:r>
      <w:r>
        <w:rPr>
          <w:rFonts w:hint="default" w:ascii="Times New Roman" w:hAnsi="Times New Roman" w:eastAsia="宋体" w:cs="Times New Roman"/>
          <w:i/>
          <w:iCs/>
          <w:color w:val="0000FF"/>
          <w:sz w:val="24"/>
          <w:szCs w:val="24"/>
        </w:rPr>
        <w:t xml:space="preserve">. Per FDA’s guidance, “Financial Disclosure by Clinical Investigators,” no financial disclosure certification is needed for clinical investigators who are employees of the sponsor. Nonetheless, it should also be noted that there are no concerns regarding potential bias in the studies, as demonstrated by the consistent trends in the data showing circumference and fat reduction across multiple different assessments. Further, results were similar between the two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studies as well as when compared to the results of the predicate (e.g., abdominal circumference reduction at last follow up of -2.15 cm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3 bi-weekly treatments), -1.84 cm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2 monthly treatments), and - 1.47 cm (Transcend predicate)).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i/>
          <w:iCs/>
          <w:color w:val="0000FF"/>
          <w:sz w:val="24"/>
          <w:szCs w:val="24"/>
        </w:rPr>
        <w:t>In addition, the investigator who performed the treatments was different from the person who performed the measurements in the study. In addition, the device was evaluated for the histological effects on skin and subcutaneous fat. The study was conducted at the Rabin Medical Center in Israel under the supervision of Dr. Dean Ad-El. The signed certification below certifies that no disclosable financial arrangements were entered into with the clinical investigator of this study.</w:t>
      </w:r>
      <w:r>
        <w:rPr>
          <w:rFonts w:hint="eastAsia" w:ascii="Times New Roman" w:hAnsi="Times New Roman" w:eastAsia="宋体" w:cs="Times New Roman"/>
          <w:sz w:val="24"/>
          <w:szCs w:val="24"/>
          <w:lang w:val="en-US" w:eastAsia="zh-CN"/>
        </w:rPr>
        <w:t>)</w:t>
      </w:r>
    </w:p>
    <w:p>
      <w:pPr>
        <w:rPr>
          <w:i/>
          <w:color w:val="0000CC"/>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2EC859EC"/>
    <w:rsid w:val="382262B2"/>
    <w:rsid w:val="3B07083A"/>
    <w:rsid w:val="638C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2021-07-26T06:19:17Z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