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危险化学品储存状况安全评价报告</w:t>
      </w:r>
    </w:p>
    <w:bookmarkEnd w:id="0"/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5"/>
        <w:tblpPr w:leftFromText="180" w:rightFromText="180" w:vertAnchor="text" w:horzAnchor="page" w:tblpX="1730" w:tblpY="815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906"/>
        <w:gridCol w:w="5437"/>
        <w:gridCol w:w="1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通风与隔热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库房应设置高低窗进行自然通风，高低窗外侧应有防盗和防止抛入火种的防护网。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用于自然通风的低窗处不应摆放物品堵塞通风口。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地面库房还设置机械通风装置；通风机应符合防爆要求，叶片不产生火花。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危险化学品库房屋面应有隔热层，窗户应有防晒措施。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防火防爆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化学品库房入口处安全标志齐全，完好。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危险化学品库周围应有固定式消防水拴，并配全水带、水枪和开关水拴用的手轮。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按每具</w:t>
            </w:r>
            <w:r>
              <w:rPr>
                <w:kern w:val="0"/>
                <w:sz w:val="24"/>
              </w:rPr>
              <w:t>8L</w:t>
            </w:r>
            <w:r>
              <w:rPr>
                <w:rFonts w:hint="eastAsia" w:ascii="宋体" w:hAnsi="宋体"/>
                <w:kern w:val="0"/>
                <w:sz w:val="24"/>
              </w:rPr>
              <w:t>灭火机保护</w:t>
            </w:r>
            <w:r>
              <w:rPr>
                <w:kern w:val="0"/>
                <w:sz w:val="24"/>
              </w:rPr>
              <w:t>5m</w:t>
            </w:r>
            <w:r>
              <w:rPr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的标准配置移动式灭火机，不能配置与库存化学品相抵触的灭火机。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危险化学品库房环形消防通道无堵塞，消防器材周围通道畅通便于随时取用。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移动式灭火机应定期换药，存放在现场的灭火机不能超过检验周期。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危险化学品库房耐火等级不应低于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级，与民用建筑、明火的间距应大于</w:t>
            </w:r>
            <w:r>
              <w:rPr>
                <w:kern w:val="0"/>
                <w:sz w:val="24"/>
              </w:rPr>
              <w:t>30m</w:t>
            </w:r>
            <w:r>
              <w:rPr>
                <w:rFonts w:hint="eastAsia" w:ascii="宋体" w:hAnsi="宋体"/>
                <w:kern w:val="0"/>
                <w:sz w:val="24"/>
              </w:rPr>
              <w:t>，每间库房应有隔火墙。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危险化学品库房电气线路、开关、电器均应安装防爆型；其等级不低于</w:t>
            </w:r>
            <w:r>
              <w:rPr>
                <w:kern w:val="0"/>
                <w:sz w:val="24"/>
              </w:rPr>
              <w:t>B3d</w:t>
            </w:r>
            <w:r>
              <w:rPr>
                <w:rFonts w:hint="eastAsia" w:ascii="宋体" w:hAnsi="宋体"/>
                <w:kern w:val="0"/>
                <w:sz w:val="24"/>
              </w:rPr>
              <w:t>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每座库房入口处均应标明库房内存放化学品名称、特性、灭火方法。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危险化学品应分库、分柜存放，灭火方法抵触的危险化学品不能混放。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库房内物品摆放稳妥，安全通道畅通，不得堵塞。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用货架存放时，有腐蚀性的危险品宜放置在底层。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遇水氧化的危险化学品要有防潮、防水措施。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遇空气氧化的危险化学品一定要存放在水中，领用时也应采取可靠的隔绝措施。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防雷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危险化学品库房周围无高大建筑物的，应安装防雷设施，防雷装置的接地体距行人往来的通道应大于</w:t>
            </w:r>
            <w:r>
              <w:rPr>
                <w:kern w:val="0"/>
                <w:sz w:val="24"/>
              </w:rPr>
              <w:t>3m</w:t>
            </w:r>
            <w:r>
              <w:rPr>
                <w:rFonts w:hint="eastAsia" w:ascii="宋体" w:hAnsi="宋体"/>
                <w:kern w:val="0"/>
                <w:sz w:val="24"/>
              </w:rPr>
              <w:t>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剧毒品管理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剧毒品的管理应实行专柜存放两把锁、两人管、两本帐、两人领、两人用。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工具要求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使用的开桶工具和抽液工具不应使用产生火花的材料制作，否则应镀铬、镀铜、镀锌。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设置要求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甲、乙类物品的库房不应设在建筑物的地下室或半地下室，库房的排水应符合要求；库房的门、窗应向外开启。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评价结论</w:t>
            </w:r>
          </w:p>
        </w:tc>
      </w:tr>
    </w:tbl>
    <w:p>
      <w:pPr>
        <w:ind w:firstLine="3990" w:firstLineChars="19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编制日期：</w:t>
      </w:r>
    </w:p>
    <w:p>
      <w:pPr>
        <w:ind w:firstLine="3990" w:firstLineChars="1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>
      <w:pPr>
        <w:ind w:firstLine="3990" w:firstLineChars="1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93007"/>
    <w:rsid w:val="5399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2021-07-08T08:23:00Z</dcterms:created>
  <dc:creator>Hlongmed</dc:creator>
  <cp:lastModifiedBy>Hlongmed</cp:lastModifiedBy>
  <dcterms:modified xsi:type="dcterms:W3CDTF">2021-07-08T08:29:55Z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DD3693FB7D76418194860B916A325302</vt:lpwstr>
  </property>
</Properties>
</file>