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医疗器械召回计划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41</w:t>
      </w:r>
      <w:r>
        <w:rPr>
          <w:rFonts w:hint="eastAsia" w:ascii="宋体" w:hAnsi="宋体"/>
          <w:szCs w:val="21"/>
          <w:lang w:val="en-US" w:eastAsia="zh-CN"/>
        </w:rPr>
        <w:t xml:space="preserve">  版本：</w:t>
      </w:r>
      <w:r>
        <w:rPr>
          <w:rFonts w:hint="eastAsia"/>
          <w:lang w:val="en-US" w:eastAsia="zh-CN"/>
        </w:rPr>
        <w:t xml:space="preserve">  NO.: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医疗器械生产销售情况及拟召回的数量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leftChars="0" w:right="105" w:rightChars="5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召回措施的具体内容，包括实施的组织、范围和时限等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召回信息的公布途径与范围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召回的预期效果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医疗器械召回后的处理措施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77EF4"/>
    <w:multiLevelType w:val="singleLevel"/>
    <w:tmpl w:val="49277E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1E0144E0"/>
    <w:rsid w:val="202871B6"/>
    <w:rsid w:val="236D5AC7"/>
    <w:rsid w:val="3D5373A8"/>
    <w:rsid w:val="5E184F7C"/>
    <w:rsid w:val="60231086"/>
    <w:rsid w:val="646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237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2023-08-10T07:59:40Z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84FBE4EB5F094C57B2FE805821C4F273</vt:lpwstr>
  </property>
</Properties>
</file>