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风险管理计划</w:t>
      </w: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ind w:firstLine="1458" w:firstLineChars="60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r>
        <w:rPr>
          <w:rFonts w:hint="eastAsia" w:asciiTheme="minorEastAsia" w:hAnsiTheme="minorEastAsia" w:eastAsiaTheme="minorEastAsia" w:cstheme="minorEastAsia"/>
          <w:b/>
          <w:sz w:val="24"/>
          <w:szCs w:val="24"/>
          <w:u w:val="single"/>
        </w:rPr>
        <w:t>　　　　　　　　　　　　　</w:t>
      </w:r>
    </w:p>
    <w:p>
      <w:pPr>
        <w:ind w:firstLine="1928" w:firstLineChars="800"/>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文件编号：</w:t>
      </w:r>
      <w:r>
        <w:rPr>
          <w:rFonts w:hint="eastAsia" w:asciiTheme="minorEastAsia" w:hAnsiTheme="minorEastAsia" w:eastAsiaTheme="minorEastAsia" w:cstheme="minorEastAsia"/>
          <w:b/>
          <w:sz w:val="24"/>
          <w:szCs w:val="24"/>
          <w:u w:val="single"/>
        </w:rPr>
        <w:t>　　　QR-RD-0</w:t>
      </w:r>
      <w:r>
        <w:rPr>
          <w:rFonts w:hint="eastAsia" w:asciiTheme="minorEastAsia" w:hAnsiTheme="minorEastAsia" w:eastAsiaTheme="minorEastAsia" w:cstheme="minorEastAsia"/>
          <w:b/>
          <w:sz w:val="24"/>
          <w:szCs w:val="24"/>
          <w:u w:val="single"/>
          <w:lang w:val="en-US" w:eastAsia="zh-CN"/>
        </w:rPr>
        <w:t>25</w:t>
      </w:r>
      <w:r>
        <w:rPr>
          <w:rFonts w:hint="eastAsia" w:asciiTheme="minorEastAsia" w:hAnsiTheme="minorEastAsia" w:eastAsiaTheme="minorEastAsia" w:cstheme="minorEastAsia"/>
          <w:b/>
          <w:sz w:val="24"/>
          <w:szCs w:val="24"/>
          <w:u w:val="single"/>
        </w:rPr>
        <w:t>　</w:t>
      </w:r>
      <w:r>
        <w:rPr>
          <w:rFonts w:hint="eastAsia" w:asciiTheme="minorEastAsia" w:hAnsi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版　　本：</w:t>
      </w:r>
      <w:bookmarkStart w:id="0" w:name="OLE_LINK1"/>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0"/>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　　制：</w:t>
      </w:r>
      <w:bookmarkStart w:id="1" w:name="OLE_LINK3"/>
      <w:bookmarkStart w:id="2" w:name="OLE_LINK2"/>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1"/>
      <w:bookmarkEnd w:id="2"/>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　　核：</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批　　准：</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公司</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日　</w:t>
      </w:r>
      <w:r>
        <w:rPr>
          <w:rFonts w:hint="eastAsia" w:asciiTheme="minorEastAsia" w:hAnsiTheme="minorEastAsia" w:eastAsiaTheme="minorEastAsia" w:cstheme="minorEastAsia"/>
          <w:sz w:val="24"/>
          <w:szCs w:val="24"/>
        </w:rPr>
        <w:br w:type="page"/>
      </w:r>
    </w:p>
    <w:sdt>
      <w:sdtPr>
        <w:rPr>
          <w:rFonts w:hint="eastAsia" w:asciiTheme="minorEastAsia" w:hAnsiTheme="minorEastAsia" w:eastAsiaTheme="minorEastAsia" w:cstheme="minorEastAsia"/>
          <w:b w:val="0"/>
          <w:bCs w:val="0"/>
          <w:color w:val="auto"/>
          <w:kern w:val="2"/>
          <w:sz w:val="24"/>
          <w:szCs w:val="24"/>
          <w:lang w:val="zh-CN"/>
        </w:rPr>
        <w:id w:val="6800469"/>
        <w:docPartObj>
          <w:docPartGallery w:val="Table of Contents"/>
          <w:docPartUnique/>
        </w:docPartObj>
      </w:sdtPr>
      <w:sdtEndPr>
        <w:rPr>
          <w:rFonts w:hint="eastAsia" w:asciiTheme="minorEastAsia" w:hAnsiTheme="minorEastAsia" w:eastAsiaTheme="minorEastAsia" w:cstheme="minorEastAsia"/>
          <w:b w:val="0"/>
          <w:bCs w:val="0"/>
          <w:color w:val="auto"/>
          <w:kern w:val="2"/>
          <w:sz w:val="24"/>
          <w:szCs w:val="24"/>
          <w:lang w:val="en-US"/>
        </w:rPr>
      </w:sdtEndPr>
      <w:sdtContent>
        <w:p>
          <w:pPr>
            <w:pStyle w:val="25"/>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目录</w:t>
          </w:r>
        </w:p>
        <w:p>
          <w:pPr>
            <w:rPr>
              <w:rFonts w:hint="eastAsia" w:asciiTheme="minorEastAsia" w:hAnsiTheme="minorEastAsia" w:eastAsiaTheme="minorEastAsia" w:cstheme="minorEastAsia"/>
              <w:sz w:val="24"/>
              <w:szCs w:val="24"/>
              <w:lang w:val="zh-CN"/>
            </w:rPr>
          </w:pP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"_Toc455069982"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背景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1.1目的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1.2范围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产品介绍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2.1 产品描述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2.2产品组成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2.3工作原理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"_Toc455069989"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2.4产品功能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"_Toc455069990"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2.5预期使用寿命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"_Toc455069991"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职责与权限分配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"_Toc455069992"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风险管理过程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风险管理活动的评审要求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5.1风险管理小组成员及其职责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5.2对评审活动的要求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6.1进行风险分析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6.2风险分析的内容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"_Toc455069999"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6.3风险分析的方法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"_Toc455070000"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风险可接收性准则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"_Toc455070001"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7.1损害发生的概率等级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"_Toc455070002"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7.2损害的严重度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7.3可接受风险决策方法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7.4风险评价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风险控制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验证活动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剩余风险分析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生产和生产后信息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"_Toc455070009"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年度风险分析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"_Toc455070010"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风险管理报告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Content>
    </w:sdt>
    <w:p>
      <w:pPr>
        <w:widowControl/>
        <w:jc w:val="left"/>
        <w:rPr>
          <w:rFonts w:hint="eastAsia" w:asciiTheme="minorEastAsia" w:hAnsiTheme="minorEastAsia" w:eastAsiaTheme="minorEastAsia" w:cstheme="minorEastAsia"/>
          <w:b/>
          <w:bCs/>
          <w:kern w:val="44"/>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12" w:charSpace="0"/>
        </w:sectPr>
      </w:pP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 w:name="_Toc455069982"/>
      <w:r>
        <w:rPr>
          <w:rFonts w:hint="eastAsia" w:asciiTheme="minorEastAsia" w:hAnsiTheme="minorEastAsia" w:eastAsiaTheme="minorEastAsia" w:cstheme="minorEastAsia"/>
          <w:sz w:val="24"/>
          <w:szCs w:val="24"/>
        </w:rPr>
        <w:t>背景</w:t>
      </w:r>
      <w:bookmarkEnd w:id="3"/>
    </w:p>
    <w:p>
      <w:pPr>
        <w:pStyle w:val="2"/>
        <w:spacing w:before="0" w:after="0" w:line="360" w:lineRule="auto"/>
        <w:rPr>
          <w:rFonts w:hint="eastAsia" w:asciiTheme="minorEastAsia" w:hAnsiTheme="minorEastAsia" w:eastAsiaTheme="minorEastAsia" w:cstheme="minorEastAsia"/>
          <w:sz w:val="24"/>
          <w:szCs w:val="24"/>
        </w:rPr>
      </w:pPr>
      <w:bookmarkStart w:id="4" w:name="_Toc455069983"/>
      <w:bookmarkStart w:id="5" w:name="_Toc424200014"/>
      <w:r>
        <w:rPr>
          <w:rFonts w:hint="eastAsia" w:asciiTheme="minorEastAsia" w:hAnsiTheme="minorEastAsia" w:eastAsiaTheme="minorEastAsia" w:cstheme="minorEastAsia"/>
          <w:sz w:val="24"/>
          <w:szCs w:val="24"/>
        </w:rPr>
        <w:t>1.1目的</w:t>
      </w:r>
      <w:bookmarkEnd w:id="4"/>
      <w:bookmarkEnd w:id="5"/>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本风险管理计划按照ISO14971以及产品适用的相应国际标准，对</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产品在其整个生命周期内的风险管理活动进行指导。通过对产品的风险管理活动，使产品在预期用途使用条件下，对病人、使用者、环境以及其他相关人员的风险降低到最低的、可接受的水平。</w:t>
      </w:r>
    </w:p>
    <w:p>
      <w:pPr>
        <w:pStyle w:val="3"/>
        <w:spacing w:before="0" w:after="0" w:line="415" w:lineRule="auto"/>
        <w:rPr>
          <w:rFonts w:hint="eastAsia" w:asciiTheme="minorEastAsia" w:hAnsiTheme="minorEastAsia" w:eastAsiaTheme="minorEastAsia" w:cstheme="minorEastAsia"/>
          <w:sz w:val="24"/>
          <w:szCs w:val="24"/>
        </w:rPr>
      </w:pPr>
      <w:bookmarkStart w:id="6" w:name="_Toc424200015"/>
      <w:bookmarkStart w:id="7" w:name="_Toc455069984"/>
      <w:r>
        <w:rPr>
          <w:rFonts w:hint="eastAsia" w:asciiTheme="minorEastAsia" w:hAnsiTheme="minorEastAsia" w:eastAsiaTheme="minorEastAsia" w:cstheme="minorEastAsia"/>
          <w:sz w:val="24"/>
          <w:szCs w:val="24"/>
        </w:rPr>
        <w:t>1.2范围</w:t>
      </w:r>
      <w:bookmarkEnd w:id="6"/>
      <w:bookmarkEnd w:id="7"/>
    </w:p>
    <w:p>
      <w:pPr>
        <w:spacing w:line="360" w:lineRule="auto"/>
        <w:ind w:firstLine="420"/>
        <w:rPr>
          <w:rFonts w:hint="eastAsia" w:asciiTheme="minorEastAsia" w:hAnsiTheme="minorEastAsia" w:eastAsiaTheme="minorEastAsia" w:cstheme="minorEastAsia"/>
          <w:i/>
          <w:color w:val="0000FF"/>
          <w:sz w:val="24"/>
          <w:szCs w:val="24"/>
        </w:rPr>
      </w:pPr>
      <w:bookmarkStart w:id="8" w:name="OLE_LINK5"/>
      <w:bookmarkStart w:id="9" w:name="OLE_LINK4"/>
      <w:r>
        <w:rPr>
          <w:rFonts w:hint="eastAsia" w:asciiTheme="minorEastAsia" w:hAnsiTheme="minorEastAsia" w:eastAsiaTheme="minorEastAsia" w:cstheme="minorEastAsia"/>
          <w:sz w:val="24"/>
          <w:szCs w:val="24"/>
        </w:rPr>
        <w:t>本计划适用于</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产品在整个生命周期内所有阶段（包括设计开发、产品实现、最终停用和处置阶段）的风险管理与控制。按照本计划，判定</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及其附件有关的危害，估计和评价风险，控制这些风险，并监控控制措施的有效性。本风险管理计划的范围包括仪器整机系统以及由于其他配附件失效可能导致的仪器整机风险，对于配附件以本身不作风险分析。配附件的风险分析由进货检验以及采购质量保证予以保证。</w:t>
      </w:r>
    </w:p>
    <w:bookmarkEnd w:id="8"/>
    <w:bookmarkEnd w:id="9"/>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10" w:name="_Toc455069985"/>
      <w:r>
        <w:rPr>
          <w:rFonts w:hint="eastAsia" w:asciiTheme="minorEastAsia" w:hAnsiTheme="minorEastAsia" w:eastAsiaTheme="minorEastAsia" w:cstheme="minorEastAsia"/>
          <w:sz w:val="24"/>
          <w:szCs w:val="24"/>
        </w:rPr>
        <w:t>产品介绍</w:t>
      </w:r>
      <w:bookmarkEnd w:id="10"/>
    </w:p>
    <w:p>
      <w:pPr>
        <w:pStyle w:val="3"/>
        <w:spacing w:before="0" w:after="0" w:line="415" w:lineRule="auto"/>
        <w:rPr>
          <w:rFonts w:hint="eastAsia" w:asciiTheme="minorEastAsia" w:hAnsiTheme="minorEastAsia" w:eastAsiaTheme="minorEastAsia" w:cstheme="minorEastAsia"/>
          <w:sz w:val="24"/>
          <w:szCs w:val="24"/>
        </w:rPr>
      </w:pPr>
      <w:bookmarkStart w:id="11" w:name="_Toc455069986"/>
      <w:r>
        <w:rPr>
          <w:rFonts w:hint="eastAsia" w:asciiTheme="minorEastAsia" w:hAnsiTheme="minorEastAsia" w:eastAsiaTheme="minorEastAsia" w:cstheme="minorEastAsia"/>
          <w:sz w:val="24"/>
          <w:szCs w:val="24"/>
        </w:rPr>
        <w:t>2.1 产品描述</w:t>
      </w:r>
      <w:bookmarkEnd w:id="11"/>
    </w:p>
    <w:p>
      <w:pPr>
        <w:spacing w:line="360" w:lineRule="auto"/>
        <w:ind w:firstLine="420"/>
        <w:rPr>
          <w:rFonts w:hint="eastAsia" w:asciiTheme="minorEastAsia" w:hAnsiTheme="minorEastAsia" w:eastAsiaTheme="minorEastAsia" w:cstheme="minorEastAsia"/>
          <w:sz w:val="24"/>
          <w:szCs w:val="24"/>
        </w:rPr>
      </w:pPr>
    </w:p>
    <w:p>
      <w:pPr>
        <w:pStyle w:val="3"/>
        <w:spacing w:before="0" w:after="0" w:line="415" w:lineRule="auto"/>
        <w:rPr>
          <w:rFonts w:hint="eastAsia" w:asciiTheme="minorEastAsia" w:hAnsiTheme="minorEastAsia" w:eastAsiaTheme="minorEastAsia" w:cstheme="minorEastAsia"/>
          <w:sz w:val="24"/>
          <w:szCs w:val="24"/>
        </w:rPr>
      </w:pPr>
      <w:bookmarkStart w:id="12" w:name="_Toc455069987"/>
      <w:r>
        <w:rPr>
          <w:rFonts w:hint="eastAsia" w:asciiTheme="minorEastAsia" w:hAnsiTheme="minorEastAsia" w:eastAsiaTheme="minorEastAsia" w:cstheme="minorEastAsia"/>
          <w:sz w:val="24"/>
          <w:szCs w:val="24"/>
        </w:rPr>
        <w:t>2.2产品组成</w:t>
      </w:r>
      <w:bookmarkEnd w:id="12"/>
    </w:p>
    <w:p>
      <w:pPr>
        <w:spacing w:line="360" w:lineRule="auto"/>
        <w:ind w:firstLine="420"/>
        <w:rPr>
          <w:rFonts w:hint="eastAsia" w:asciiTheme="minorEastAsia" w:hAnsiTheme="minorEastAsia" w:eastAsiaTheme="minorEastAsia" w:cstheme="minorEastAsia"/>
          <w:sz w:val="24"/>
          <w:szCs w:val="24"/>
        </w:rPr>
      </w:pPr>
    </w:p>
    <w:p>
      <w:pPr>
        <w:pStyle w:val="3"/>
        <w:spacing w:before="0" w:after="0" w:line="415" w:lineRule="auto"/>
        <w:rPr>
          <w:rFonts w:hint="eastAsia" w:asciiTheme="minorEastAsia" w:hAnsiTheme="minorEastAsia" w:eastAsiaTheme="minorEastAsia" w:cstheme="minorEastAsia"/>
          <w:sz w:val="24"/>
          <w:szCs w:val="24"/>
        </w:rPr>
      </w:pPr>
      <w:bookmarkStart w:id="13" w:name="_Toc455069988"/>
      <w:r>
        <w:rPr>
          <w:rFonts w:hint="eastAsia" w:asciiTheme="minorEastAsia" w:hAnsiTheme="minorEastAsia" w:eastAsiaTheme="minorEastAsia" w:cstheme="minorEastAsia"/>
          <w:sz w:val="24"/>
          <w:szCs w:val="24"/>
        </w:rPr>
        <w:t>2.3工作原理</w:t>
      </w:r>
      <w:bookmarkEnd w:id="13"/>
    </w:p>
    <w:p>
      <w:pPr>
        <w:spacing w:line="360" w:lineRule="auto"/>
        <w:ind w:firstLine="420"/>
        <w:rPr>
          <w:rFonts w:hint="eastAsia" w:asciiTheme="minorEastAsia" w:hAnsiTheme="minorEastAsia" w:eastAsiaTheme="minorEastAsia" w:cstheme="minorEastAsia"/>
          <w:sz w:val="24"/>
          <w:szCs w:val="24"/>
        </w:rPr>
      </w:pPr>
      <w:bookmarkStart w:id="14" w:name="_Toc361847743"/>
      <w:bookmarkStart w:id="15" w:name="_Toc451939577"/>
    </w:p>
    <w:p>
      <w:pPr>
        <w:pStyle w:val="3"/>
        <w:spacing w:before="0" w:after="0" w:line="415" w:lineRule="auto"/>
        <w:rPr>
          <w:rFonts w:hint="eastAsia" w:asciiTheme="minorEastAsia" w:hAnsiTheme="minorEastAsia" w:eastAsiaTheme="minorEastAsia" w:cstheme="minorEastAsia"/>
          <w:sz w:val="24"/>
          <w:szCs w:val="24"/>
        </w:rPr>
      </w:pPr>
      <w:bookmarkStart w:id="16" w:name="_Toc455069989"/>
      <w:r>
        <w:rPr>
          <w:rFonts w:hint="eastAsia" w:asciiTheme="minorEastAsia" w:hAnsiTheme="minorEastAsia" w:eastAsiaTheme="minorEastAsia" w:cstheme="minorEastAsia"/>
          <w:sz w:val="24"/>
          <w:szCs w:val="24"/>
        </w:rPr>
        <w:t>2.4产品功能</w:t>
      </w:r>
      <w:bookmarkEnd w:id="14"/>
      <w:bookmarkEnd w:id="15"/>
      <w:bookmarkEnd w:id="16"/>
    </w:p>
    <w:p>
      <w:pPr>
        <w:spacing w:line="360" w:lineRule="auto"/>
        <w:ind w:firstLine="420"/>
        <w:rPr>
          <w:rFonts w:hint="eastAsia" w:asciiTheme="minorEastAsia" w:hAnsiTheme="minorEastAsia" w:eastAsiaTheme="minorEastAsia" w:cstheme="minorEastAsia"/>
          <w:sz w:val="24"/>
          <w:szCs w:val="24"/>
        </w:rPr>
      </w:pPr>
      <w:bookmarkStart w:id="17" w:name="_Toc451939578"/>
    </w:p>
    <w:p>
      <w:pPr>
        <w:pStyle w:val="3"/>
        <w:spacing w:before="0" w:after="0" w:line="415" w:lineRule="auto"/>
        <w:rPr>
          <w:rFonts w:hint="eastAsia" w:asciiTheme="minorEastAsia" w:hAnsiTheme="minorEastAsia" w:eastAsiaTheme="minorEastAsia" w:cstheme="minorEastAsia"/>
          <w:sz w:val="24"/>
          <w:szCs w:val="24"/>
        </w:rPr>
      </w:pPr>
      <w:bookmarkStart w:id="18" w:name="_Toc455069990"/>
      <w:r>
        <w:rPr>
          <w:rFonts w:hint="eastAsia" w:asciiTheme="minorEastAsia" w:hAnsiTheme="minorEastAsia" w:eastAsiaTheme="minorEastAsia" w:cstheme="minorEastAsia"/>
          <w:sz w:val="24"/>
          <w:szCs w:val="24"/>
        </w:rPr>
        <w:t>2.5预期使用寿命</w:t>
      </w:r>
      <w:bookmarkEnd w:id="17"/>
      <w:bookmarkEnd w:id="18"/>
    </w:p>
    <w:p>
      <w:pPr>
        <w:spacing w:line="360" w:lineRule="auto"/>
        <w:ind w:firstLine="420"/>
        <w:rPr>
          <w:rFonts w:hint="eastAsia" w:asciiTheme="minorEastAsia" w:hAnsiTheme="minorEastAsia" w:eastAsiaTheme="minorEastAsia" w:cstheme="minorEastAsia"/>
          <w:sz w:val="24"/>
          <w:szCs w:val="24"/>
        </w:rPr>
      </w:pP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风险管理小组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公司组成了风险管理小组，确定了对风险管理的负责人，确保风险管理活动有效地实施。</w:t>
      </w:r>
    </w:p>
    <w:tbl>
      <w:tblPr>
        <w:tblStyle w:val="14"/>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413"/>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noWrap w:val="0"/>
            <w:vAlign w:val="center"/>
          </w:tcPr>
          <w:p>
            <w:pPr>
              <w:jc w:val="center"/>
              <w:rPr>
                <w:rFonts w:hint="eastAsia" w:asciiTheme="minorEastAsia" w:hAnsiTheme="minorEastAsia" w:eastAsiaTheme="minorEastAsia" w:cstheme="minorEastAsia"/>
                <w:sz w:val="24"/>
                <w:szCs w:val="24"/>
              </w:rPr>
            </w:pPr>
            <w:bookmarkStart w:id="19" w:name="_Toc455069992"/>
            <w:r>
              <w:rPr>
                <w:rFonts w:hint="eastAsia" w:asciiTheme="minorEastAsia" w:hAnsiTheme="minorEastAsia" w:eastAsiaTheme="minorEastAsia" w:cstheme="minorEastAsia"/>
                <w:sz w:val="24"/>
                <w:szCs w:val="24"/>
              </w:rPr>
              <w:t>参与人员</w:t>
            </w:r>
          </w:p>
        </w:tc>
        <w:tc>
          <w:tcPr>
            <w:tcW w:w="2413" w:type="dxa"/>
            <w:noWrap w:val="0"/>
            <w:vAlign w:val="center"/>
          </w:tcPr>
          <w:p>
            <w:pPr>
              <w:jc w:val="center"/>
              <w:rPr>
                <w:rFonts w:hint="eastAsia" w:asciiTheme="minorEastAsia" w:hAnsiTheme="minorEastAsia" w:eastAsiaTheme="minorEastAsia" w:cstheme="minorEastAsia"/>
                <w:sz w:val="24"/>
                <w:szCs w:val="24"/>
                <w:lang w:eastAsia="ar-SA"/>
              </w:rPr>
            </w:pPr>
            <w:r>
              <w:rPr>
                <w:rFonts w:hint="eastAsia" w:asciiTheme="minorEastAsia" w:hAnsiTheme="minorEastAsia" w:eastAsiaTheme="minorEastAsia" w:cstheme="minorEastAsia"/>
                <w:sz w:val="24"/>
                <w:szCs w:val="24"/>
              </w:rPr>
              <w:t>风险管理活动角色</w:t>
            </w:r>
            <w:bookmarkStart w:id="40" w:name="_GoBack"/>
            <w:bookmarkEnd w:id="40"/>
          </w:p>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lang w:eastAsia="zh-CN"/>
              </w:rPr>
              <w:t>同风险管理计划</w:t>
            </w:r>
            <w:r>
              <w:rPr>
                <w:rFonts w:hint="eastAsia" w:asciiTheme="minorEastAsia" w:hAnsiTheme="minorEastAsia" w:cstheme="minorEastAsia"/>
                <w:sz w:val="24"/>
                <w:szCs w:val="24"/>
                <w:lang w:eastAsia="zh-CN"/>
              </w:rPr>
              <w:t>】</w:t>
            </w:r>
          </w:p>
        </w:tc>
        <w:tc>
          <w:tcPr>
            <w:tcW w:w="531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shd w:val="clear" w:color="auto" w:fill="auto"/>
            <w:noWrap w:val="0"/>
            <w:vAlign w:val="center"/>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风险管理小组组长</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负责批准风险可接受准则，并最终决定该产品风险管理活动是否有效。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产品安全工程师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产品认证工程师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临床工程师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负责从临床角度关注风险是否被有效降低到了可接受范围内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系统设计工程师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负责从系统角度关注风险是否被有效降低到了可接受范围内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测试负责人</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负责关注风险控制措施的验证是否在整机测试中有效开展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项目QA</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负责确保风险管理活动的开展符合公司流程要求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p>
        </w:tc>
      </w:tr>
    </w:tbl>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风险管理过程</w:t>
      </w:r>
      <w:bookmarkEnd w:id="19"/>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按据公司《风险管理控制程序》 的要求执行风险管理过程。风险管理过程包括：风险管理计划、风险分析、风险评价、风险控制、综合剩余风险评价、风险管理报告、生产及生产后信息等步骤。具体如下：</w:t>
      </w:r>
    </w:p>
    <w:tbl>
      <w:tblPr>
        <w:tblStyle w:val="1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4229"/>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风险管理活动</w:t>
            </w:r>
          </w:p>
        </w:tc>
        <w:tc>
          <w:tcPr>
            <w:tcW w:w="4229"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评审通过准则</w:t>
            </w:r>
          </w:p>
        </w:tc>
        <w:tc>
          <w:tcPr>
            <w:tcW w:w="1958"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风险管理计划</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完成风险管理计划。</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风险分析</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完成《初始安全特征判定》、《危害判定和初始风险控制方案分析》。</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风险评价、风险控制</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完成《风险评价、风险控制措施记录表》中的风险评价、风险控制措施、采取措施后的风险分析评价及采取措施后是否引发新风险部分。</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风险控制措施验证</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对风险控制措施的有效性和风险控制措施的落实情况已进行验证，将结果填写在《风险评价、风险控制措施记录表》中。</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综合剩余风险的可接受性评价</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全部剩余风险都可接受，没有未记录在风险管理报告的危害，完成《综合剩余风险评价记录表》部分。</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试产阶段的风险评价</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试产阶段不产生新的安全性问题</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生产和生产后信息</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新增危害风险可接受且不影响综合剩余风险的可接受性</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bl>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20" w:name="_Toc455069993"/>
      <w:r>
        <w:rPr>
          <w:rFonts w:hint="eastAsia" w:asciiTheme="minorEastAsia" w:hAnsiTheme="minorEastAsia" w:eastAsiaTheme="minorEastAsia" w:cstheme="minorEastAsia"/>
          <w:sz w:val="24"/>
          <w:szCs w:val="24"/>
        </w:rPr>
        <w:t>风险管理活动的评审要求</w:t>
      </w:r>
      <w:bookmarkEnd w:id="20"/>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评审小组的构成必须包括熟悉产品原理及功能的成员，熟悉产品制造的成员，以及熟悉产品应用的成员，以及法规工程师。评审组成员应对评审结果的正确性和有效性负责。各部门应配合评审组成员对与产品安全性有关的信息进行评审，为综合剩余风险的评价提供依据。</w:t>
      </w:r>
    </w:p>
    <w:p>
      <w:pPr>
        <w:pStyle w:val="22"/>
        <w:numPr>
          <w:ilvl w:val="0"/>
          <w:numId w:val="3"/>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风险管理计划是否已适当实施的验证，包括：</w:t>
      </w:r>
    </w:p>
    <w:p>
      <w:pPr>
        <w:pStyle w:val="22"/>
        <w:ind w:left="846"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根据以下和安全性有关的信息在产品的设计开发、工程化、试生产及产品生产与售后阶段进行评审：</w:t>
      </w:r>
    </w:p>
    <w:p>
      <w:pPr>
        <w:pStyle w:val="22"/>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是否有事先未知的危害出现；</w:t>
      </w:r>
    </w:p>
    <w:p>
      <w:pPr>
        <w:pStyle w:val="22"/>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是否有某项危害造成的已被估计的风险（一个或多个）不再是可接受的；</w:t>
      </w:r>
    </w:p>
    <w:p>
      <w:pPr>
        <w:pStyle w:val="22"/>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是否初始评定的其它方面已经失效；</w:t>
      </w:r>
    </w:p>
    <w:p>
      <w:pPr>
        <w:pStyle w:val="22"/>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产品综合剩余风险是否已降低至可接受水平或经过风险/受益分析判断为可接受。</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应对产品生产和生产后信息的获取方式进行评审，保持评审记录以证实风险管理计划的每个要素在产品特定的生命周期阶段已被适当的实施。</w:t>
      </w:r>
    </w:p>
    <w:p>
      <w:pPr>
        <w:pStyle w:val="22"/>
        <w:numPr>
          <w:ilvl w:val="0"/>
          <w:numId w:val="3"/>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风险管理活动效果验证</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评审组可通过收集临床资料及生产和生产后信息对风险管理实施效果进行验证以确保风险管理活动的有效性。</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21" w:name="_Toc455069996"/>
      <w:r>
        <w:rPr>
          <w:rFonts w:hint="eastAsia" w:asciiTheme="minorEastAsia" w:hAnsiTheme="minorEastAsia" w:eastAsiaTheme="minorEastAsia" w:cstheme="minorEastAsia"/>
          <w:sz w:val="24"/>
          <w:szCs w:val="24"/>
        </w:rPr>
        <w:t>风险分析</w:t>
      </w:r>
      <w:bookmarkEnd w:id="21"/>
    </w:p>
    <w:p>
      <w:pPr>
        <w:pStyle w:val="3"/>
        <w:spacing w:before="0" w:after="0" w:line="415" w:lineRule="auto"/>
        <w:rPr>
          <w:rFonts w:hint="eastAsia" w:asciiTheme="minorEastAsia" w:hAnsiTheme="minorEastAsia" w:eastAsiaTheme="minorEastAsia" w:cstheme="minorEastAsia"/>
          <w:sz w:val="24"/>
          <w:szCs w:val="24"/>
        </w:rPr>
      </w:pPr>
      <w:bookmarkStart w:id="22" w:name="_Toc455069998"/>
      <w:bookmarkStart w:id="23" w:name="_Toc424200025"/>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风险分析的内容</w:t>
      </w:r>
      <w:bookmarkEnd w:id="22"/>
      <w:bookmarkEnd w:id="23"/>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1）可能的危害及危害事件序列</w:t>
      </w:r>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2）危害发生及其引起损害的概率</w:t>
      </w:r>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3）损害的严重度</w:t>
      </w:r>
    </w:p>
    <w:p>
      <w:pPr>
        <w:pStyle w:val="3"/>
        <w:spacing w:before="0" w:after="0" w:line="415" w:lineRule="auto"/>
        <w:rPr>
          <w:rFonts w:hint="eastAsia" w:asciiTheme="minorEastAsia" w:hAnsiTheme="minorEastAsia" w:eastAsiaTheme="minorEastAsia" w:cstheme="minorEastAsia"/>
          <w:sz w:val="24"/>
          <w:szCs w:val="24"/>
        </w:rPr>
      </w:pPr>
      <w:bookmarkStart w:id="24" w:name="_Toc455069999"/>
      <w:bookmarkStart w:id="25" w:name="_Toc424200026"/>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风险分析的方法</w:t>
      </w:r>
      <w:bookmarkEnd w:id="24"/>
      <w:bookmarkEnd w:id="25"/>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本项目风险分析方法包括《ISO14971：2007 医疗器械——风险管理对医疗器械的应用》中《附录G (提示性)风险管理技术资料》中的G.2“初步危害分析法”（PHA）和G.4“失效模式和效应分析法”（FMEA）。</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26" w:name="_Toc455070000"/>
      <w:r>
        <w:rPr>
          <w:rFonts w:hint="eastAsia" w:asciiTheme="minorEastAsia" w:hAnsiTheme="minorEastAsia" w:eastAsiaTheme="minorEastAsia" w:cstheme="minorEastAsia"/>
          <w:sz w:val="24"/>
          <w:szCs w:val="24"/>
        </w:rPr>
        <w:t>风险可接收性准则</w:t>
      </w:r>
      <w:bookmarkEnd w:id="26"/>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团队对经风险分析判断出的危害进行发生概率与损害严重度的分析，根据本计划确定的风险可接受准则判断风险的可接受性。以下是本产品确定的风险可接受准则，其中损害的严重度采用定性分析，损害发生的概率采用半定量分析，风险可接受性准则以4</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6三分区矩阵图表示。</w:t>
      </w:r>
    </w:p>
    <w:p>
      <w:pPr>
        <w:pStyle w:val="3"/>
        <w:spacing w:beforeLines="50" w:afterLines="50" w:line="360" w:lineRule="auto"/>
        <w:rPr>
          <w:rFonts w:hint="eastAsia" w:asciiTheme="minorEastAsia" w:hAnsiTheme="minorEastAsia" w:eastAsiaTheme="minorEastAsia" w:cstheme="minorEastAsia"/>
          <w:sz w:val="24"/>
          <w:szCs w:val="24"/>
        </w:rPr>
      </w:pPr>
      <w:bookmarkStart w:id="27" w:name="_Toc455070001"/>
      <w:bookmarkStart w:id="28" w:name="_Toc424200028"/>
      <w:r>
        <w:rPr>
          <w:rFonts w:hint="eastAsia" w:asciiTheme="minorEastAsia" w:hAnsiTheme="minorEastAsia" w:eastAsiaTheme="minorEastAsia" w:cstheme="minorEastAsia"/>
          <w:sz w:val="24"/>
          <w:szCs w:val="24"/>
        </w:rPr>
        <w:t>7.1损害发生的概率等级</w:t>
      </w:r>
      <w:bookmarkEnd w:id="27"/>
      <w:bookmarkEnd w:id="2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093"/>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等级名称</w:t>
            </w:r>
          </w:p>
        </w:tc>
        <w:tc>
          <w:tcPr>
            <w:tcW w:w="2095"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3591" w:type="dxa"/>
            <w:tcBorders>
              <w:bottom w:val="single" w:color="auto" w:sz="4" w:space="0"/>
            </w:tcBorders>
            <w:shd w:val="clear" w:color="auto" w:fill="C0C0C0"/>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频次（次数/年/单个产品）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频繁</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很可能</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w:t>
            </w:r>
            <w:r>
              <w:rPr>
                <w:rFonts w:hint="eastAsia" w:asciiTheme="minorEastAsia" w:hAnsiTheme="minorEastAsia" w:eastAsiaTheme="minorEastAsia" w:cstheme="minorEastAsia"/>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偶然</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很少</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未必可能</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-4</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难以置信</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&lt;10</w:t>
            </w:r>
            <w:r>
              <w:rPr>
                <w:rFonts w:hint="eastAsia" w:asciiTheme="minorEastAsia" w:hAnsiTheme="minorEastAsia" w:eastAsiaTheme="minorEastAsia" w:cstheme="minorEastAsia"/>
                <w:sz w:val="24"/>
                <w:szCs w:val="24"/>
                <w:vertAlign w:val="superscript"/>
              </w:rPr>
              <w:t>-6</w:t>
            </w:r>
          </w:p>
        </w:tc>
      </w:tr>
    </w:tbl>
    <w:p>
      <w:pPr>
        <w:pStyle w:val="3"/>
        <w:spacing w:beforeLines="50" w:afterLines="50" w:line="360" w:lineRule="auto"/>
        <w:rPr>
          <w:rFonts w:hint="eastAsia" w:asciiTheme="minorEastAsia" w:hAnsiTheme="minorEastAsia" w:eastAsiaTheme="minorEastAsia" w:cstheme="minorEastAsia"/>
          <w:sz w:val="24"/>
          <w:szCs w:val="24"/>
        </w:rPr>
      </w:pPr>
      <w:bookmarkStart w:id="29" w:name="_Toc455070002"/>
      <w:bookmarkStart w:id="30" w:name="_Toc424200029"/>
      <w:r>
        <w:rPr>
          <w:rFonts w:hint="eastAsia" w:asciiTheme="minorEastAsia" w:hAnsiTheme="minorEastAsia" w:eastAsiaTheme="minorEastAsia" w:cstheme="minorEastAsia"/>
          <w:sz w:val="24"/>
          <w:szCs w:val="24"/>
        </w:rPr>
        <w:t>7.2损害的严重度</w:t>
      </w:r>
      <w:bookmarkEnd w:id="29"/>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等级名称</w:t>
            </w:r>
          </w:p>
        </w:tc>
        <w:tc>
          <w:tcPr>
            <w:tcW w:w="1701"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4586" w:type="dxa"/>
            <w:tcBorders>
              <w:bottom w:val="single" w:color="auto" w:sz="4" w:space="0"/>
            </w:tcBorders>
            <w:shd w:val="clear" w:color="auto" w:fill="C0C0C0"/>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可忽略</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几乎没有或没有潜在伤害的可能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边际</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危重</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潜在死亡或严重伤害可能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灾难</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潜在多重死亡或严重伤害可能</w:t>
            </w:r>
          </w:p>
        </w:tc>
      </w:tr>
    </w:tbl>
    <w:p>
      <w:pPr>
        <w:pStyle w:val="3"/>
        <w:spacing w:before="0" w:after="0" w:line="415" w:lineRule="auto"/>
        <w:rPr>
          <w:rFonts w:hint="eastAsia" w:asciiTheme="minorEastAsia" w:hAnsiTheme="minorEastAsia" w:eastAsiaTheme="minorEastAsia" w:cstheme="minorEastAsia"/>
          <w:sz w:val="24"/>
          <w:szCs w:val="24"/>
        </w:rPr>
      </w:pPr>
      <w:bookmarkStart w:id="31" w:name="_Toc455070003"/>
      <w:bookmarkStart w:id="32" w:name="_Toc424200030"/>
      <w:r>
        <w:rPr>
          <w:rFonts w:hint="eastAsia" w:asciiTheme="minorEastAsia" w:hAnsiTheme="minorEastAsia" w:eastAsiaTheme="minorEastAsia" w:cstheme="minorEastAsia"/>
          <w:sz w:val="24"/>
          <w:szCs w:val="24"/>
        </w:rPr>
        <w:t>7.3可接受风险决策方法</w:t>
      </w:r>
      <w:bookmarkEnd w:id="31"/>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依据本计划中规定的风险可接受性准则，由风险管理团队对</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产品相关危害在正常使用、可预见误用以及单一故障情况下可能导致的风险进行评审，评审时基于以下方法判断危害的严重程度：</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——使用已执行的有规定要求的适用标准；</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——已在使用的类似医疗器械的现场资料；</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——由典型使用者进行的适用性实验；</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——临床证据、适当的调研结果、科学技术资料、专家意见；</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——外部质量评定情况；</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对风险是否可接受进行决策时，必须以当前社会价值为基础。</w:t>
      </w:r>
    </w:p>
    <w:p>
      <w:pPr>
        <w:pStyle w:val="3"/>
        <w:spacing w:beforeLines="50" w:afterLines="50" w:line="360" w:lineRule="auto"/>
        <w:rPr>
          <w:rFonts w:hint="eastAsia" w:asciiTheme="minorEastAsia" w:hAnsiTheme="minorEastAsia" w:eastAsiaTheme="minorEastAsia" w:cstheme="minorEastAsia"/>
          <w:sz w:val="24"/>
          <w:szCs w:val="24"/>
        </w:rPr>
      </w:pPr>
      <w:bookmarkStart w:id="33" w:name="_Toc455070004"/>
      <w:r>
        <w:rPr>
          <w:rFonts w:hint="eastAsia" w:asciiTheme="minorEastAsia" w:hAnsiTheme="minorEastAsia" w:eastAsiaTheme="minorEastAsia" w:cstheme="minorEastAsia"/>
          <w:sz w:val="24"/>
          <w:szCs w:val="24"/>
        </w:rPr>
        <w:t>7.4风险评价</w:t>
      </w:r>
      <w:bookmarkEnd w:id="32"/>
      <w:bookmarkEnd w:id="33"/>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可使用概率等级和严重度对风险进行综合估计：（风险系数=严重度（S）×概率(P)）</w:t>
      </w:r>
    </w:p>
    <w:p>
      <w:pPr>
        <w:ind w:firstLine="480" w:firstLineChars="200"/>
        <w:rPr>
          <w:rFonts w:hint="eastAsia" w:asciiTheme="minorEastAsia" w:hAnsiTheme="minorEastAsia" w:eastAsiaTheme="minorEastAsia" w:cstheme="minorEastAsia"/>
          <w:sz w:val="24"/>
          <w:szCs w:val="24"/>
        </w:rPr>
      </w:pPr>
    </w:p>
    <w:tbl>
      <w:tblPr>
        <w:tblStyle w:val="14"/>
        <w:tblW w:w="85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565"/>
        <w:gridCol w:w="1456"/>
        <w:gridCol w:w="127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68" w:type="dxa"/>
            <w:tcBorders>
              <w:left w:val="single" w:color="auto" w:sz="4" w:space="0"/>
              <w:bottom w:val="single" w:color="auto" w:sz="4" w:space="0"/>
              <w:right w:val="single" w:color="auto" w:sz="4" w:space="0"/>
              <w:tl2br w:val="single" w:color="auto" w:sz="4" w:space="0"/>
            </w:tcBorders>
          </w:tcPr>
          <w:p>
            <w:pPr>
              <w:spacing w:beforeLines="15" w:afterLines="1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 xml:space="preserve">  严重度</w:t>
            </w:r>
          </w:p>
          <w:p>
            <w:pPr>
              <w:spacing w:beforeLines="15" w:afterLines="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概率</w:t>
            </w:r>
          </w:p>
        </w:tc>
        <w:tc>
          <w:tcPr>
            <w:tcW w:w="1565"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可忽略</w:t>
            </w:r>
          </w:p>
        </w:tc>
        <w:tc>
          <w:tcPr>
            <w:tcW w:w="1456"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边际</w:t>
            </w:r>
          </w:p>
        </w:tc>
        <w:tc>
          <w:tcPr>
            <w:tcW w:w="1276"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危重</w:t>
            </w:r>
          </w:p>
        </w:tc>
        <w:tc>
          <w:tcPr>
            <w:tcW w:w="1653"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灾难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频繁</w:t>
            </w:r>
          </w:p>
        </w:tc>
        <w:tc>
          <w:tcPr>
            <w:tcW w:w="1565" w:type="dxa"/>
            <w:tcBorders>
              <w:top w:val="single"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single"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276" w:type="dxa"/>
            <w:tcBorders>
              <w:top w:val="single"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653" w:type="dxa"/>
            <w:tcBorders>
              <w:top w:val="single"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很可能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偶然</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很少</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未必可能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难以置信</w:t>
            </w:r>
          </w:p>
        </w:tc>
        <w:tc>
          <w:tcPr>
            <w:tcW w:w="1565" w:type="dxa"/>
            <w:tcBorders>
              <w:top w:val="dashSmallGap" w:color="auto" w:sz="4" w:space="0"/>
              <w:left w:val="single"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276" w:type="dxa"/>
            <w:tcBorders>
              <w:top w:val="dashSmallGap" w:color="auto" w:sz="4" w:space="0"/>
              <w:left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653" w:type="dxa"/>
            <w:tcBorders>
              <w:top w:val="dashSmallGap" w:color="auto" w:sz="4" w:space="0"/>
              <w:left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说明：N/ACC: 不经过风险/受益分析即判定为不可接受风险。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(ALARP)：合理可降低的风险。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ACC: 广泛可接受风险。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经过风险分析和风险评价过程判断出的产品所有的风险均应采取合理可行的措施降至可接受区。当所有风险控制措施已经实施并验证后，应根据本准则判断由产品造成的剩余风险的可接受性。当剩余风险被判断为不可接受时，应收集和评审有关预期用途、预期目的的医疗受益的资料和文献，对剩余风险进行风险/受益分析。如果受益大于风险，则该风险还是可接受的，如果风险大于受益则设计应放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损害概率不能加以估计的危害处境，应编写一个危害的可能后果清单以用于风险评价和风险控制，采取合理可行降低法将风险降低到合理可行的最低水平，对于无法降低的风险进行风险/受益分析，如果受益大于风险，则该危害可接受，如果风险大于受益，则风险不可接受。受益必须大于风险，才能判定为可接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在可接受区，风险是很低的，但是还应主动采取可行的措施将风险降至最低。</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4" w:name="_Toc455070005"/>
      <w:r>
        <w:rPr>
          <w:rFonts w:hint="eastAsia" w:asciiTheme="minorEastAsia" w:hAnsiTheme="minorEastAsia" w:eastAsiaTheme="minorEastAsia" w:cstheme="minorEastAsia"/>
          <w:sz w:val="24"/>
          <w:szCs w:val="24"/>
        </w:rPr>
        <w:t>风险控制</w:t>
      </w:r>
      <w:bookmarkEnd w:id="34"/>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对于经判断为不可接受的风险，应在设计开发阶段从以下几个方面进行风险控制方案分析，识别一个或多个风险控制措施，以把风险降低到可接受水平。</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1）用设计方法取得固有安全性</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--消除特定的危害；</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--降低损害的发生概率；</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--降低损害的严重度。</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2）在产品本身或在制造过程中的防护措施。</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3）安全信息</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--在产品随附文件中给出警告、使用说明；</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--限制医疗器械的使用或限制使用环境；</w:t>
      </w:r>
    </w:p>
    <w:p>
      <w:pPr>
        <w:pStyle w:val="22"/>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--对操作者进行培训。</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在产品试生产或生产阶段，对产品制造过程进行控制，如运用HACCP技术。（危害分析和关键控制点）</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如果经方案分析确定所需的风险降低是不可行的，则各部门应收集相关资料对剩余风险进行风险/受益分析，若经评审所收集的资料和文献不支持受益大于风险，则设计应放弃。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各部门应确保经判定的危害处境产生的一个或多个风险得到了考虑，保证风险控制的完整性。</w:t>
      </w:r>
    </w:p>
    <w:p>
      <w:pPr>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在风险控制方案实施中或实施后，应对实施效果进行验证，以确定控制措施的适应性和有效性，对任何剩余风险都应采取本计划中第4条的风险可接受准则进行评价，对判断为不可接受的应采取进一步的风险控制措施，如果控制措施不可行，则应收集和评审相关的资料和文献对剩余风险进行风险/受益分析，若受益大于风险，则剩余风险依然是可接收到，如果风险大于受益，则为不可接受。对于判断为可接受的剩余风险，、销售部应配合技术部决定那些剩余风险应予以公开，依据ISO14971附件J的指南公开哪些剩余风险。同时对控制措施的实施是否会引起的一个或多个新的风险或对采取措施之前评价的风险是否有影响进行分析，必要时进行再次风险分析、风险评价和风险控制，所采取活动的结果应进行记录并保持，此过程预期30个月</w:t>
      </w:r>
      <w:r>
        <w:rPr>
          <w:rFonts w:hint="eastAsia" w:asciiTheme="minorEastAsia" w:hAnsiTheme="minorEastAsia" w:eastAsiaTheme="minorEastAsia" w:cstheme="minorEastAsia"/>
          <w:sz w:val="24"/>
          <w:szCs w:val="24"/>
          <w:lang w:val="en-US"/>
        </w:rPr>
        <w:t>.</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5" w:name="_Toc455070006"/>
      <w:r>
        <w:rPr>
          <w:rFonts w:hint="eastAsia" w:asciiTheme="minorEastAsia" w:hAnsiTheme="minorEastAsia" w:eastAsiaTheme="minorEastAsia" w:cstheme="minorEastAsia"/>
          <w:sz w:val="24"/>
          <w:szCs w:val="24"/>
        </w:rPr>
        <w:t>验证活动</w:t>
      </w:r>
      <w:bookmarkEnd w:id="35"/>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应确保经判定的危害处境产生的一个或多个风险得到了考虑，并保证所有已评价的风险已通过合理可行的措施降低至可接受水平，保证风险控制的完整性。</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风险管理评审小组负责对风险管理计划的实施情况进行验证，以查看风险管理文档的方式查看风险分析、风险评价、风险控制等记录，确保风险管理计划中策划的风险管理活动已得到适当的实施。</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风险控制方案实施中或实施后，应对实施效果进行验证，可通过收集临床资料及生产和生产后信息对风险管理实施效果进行验证以确保风险管理活动的有效性。同时对控制措施的实施是否会引起的一个或多个新的风险或对采取措施之前评价的风险是否有影响进行分析，必要时进行再次风险分析、风险评价和风险控制。</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综合剩余风险分析</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所有风险控制措施已经实施并验证后，各部门应考虑是否所有由该产品造成的综合剩余风险依据本计划中第4条的准则判断是可接受的，如果判断为不可接受，则各部门应收集和评审有关资料和文献，以便决定预期用途的医疗受益是否超过综合剩余风险，如果上述证据支持医疗受益超过综合剩余风险的结论，则综合剩余风险是可接受的，否则综合剩余风险任然是不可接受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各部门可以参考一下的一些方法评价综合剩余风险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1）事件树分析法：对单个风险进行共同研究，以便确定综合剩余风险是否可以接受；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2）故障树分析：同一种损害可能是由不同概率的危害处境造成的，该方法可以导出损害的结合概率；</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3）对单个风险控制措施进行综合评审：对单个风险是适宜的风险控制措施可能产生相互矛盾的要求；</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4）警告的评审：单个警告可能提供风险降低，但过多的警告可能降低警告的效果；</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5）评审操作说明书：对产品全部操作说明书的评审可能检出信息是不一致的，或者难以遵守的；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6）比较风险：将整理过的单个剩余风险和类似现有的产品考虑不同使用情形下的风险进行逐个比较，尤其是最新的不良事件。</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各部门应决定哪些综合剩余风险应依据ISO14971附录J予以公布，应保持综合剩余风险的评价结果记录，此过程预期3个月。</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6" w:name="_Toc455070008"/>
      <w:r>
        <w:rPr>
          <w:rFonts w:hint="eastAsia" w:asciiTheme="minorEastAsia" w:hAnsiTheme="minorEastAsia" w:eastAsiaTheme="minorEastAsia" w:cstheme="minorEastAsia"/>
          <w:sz w:val="24"/>
          <w:szCs w:val="24"/>
        </w:rPr>
        <w:t>生产和生产后信息</w:t>
      </w:r>
      <w:bookmarkEnd w:id="36"/>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开发完成投入生产的过程中，要密切关注该产品的生产以及原材料的采购，各部门如果得到有关同类或类似产品中可能与安全有关的信息后，需要立即反馈研发部，研发部应对这些信息作出及时的评价，包括的评价有：</w:t>
      </w:r>
    </w:p>
    <w:p>
      <w:pPr>
        <w:pStyle w:val="22"/>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是否有事先未认知的危害出现；</w:t>
      </w:r>
    </w:p>
    <w:p>
      <w:pPr>
        <w:pStyle w:val="22"/>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是否有某项危害造成的已被估计的一个或多个风险不再是可以接受的；</w:t>
      </w:r>
    </w:p>
    <w:p>
      <w:pPr>
        <w:pStyle w:val="22"/>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初始评定是否无效。</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上述条件之一满足，则应作为风险管理过程的输入，考虑对医疗器械风险管理过程的适当阶段进行评审。如果一个或多个剩余风险或其可接受性已有潜在的变化，应对已实施的风险控制措施的影响进行重新评价。如果有新的风险产生，应对已销售产品进行评估，和给出适当的处理措施。评价的结果记录在风险管理报告中。</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7" w:name="_Toc455070009"/>
      <w:bookmarkStart w:id="38" w:name="_Toc451939590"/>
      <w:r>
        <w:rPr>
          <w:rFonts w:hint="eastAsia" w:asciiTheme="minorEastAsia" w:hAnsiTheme="minorEastAsia" w:eastAsiaTheme="minorEastAsia" w:cstheme="minorEastAsia"/>
          <w:sz w:val="24"/>
          <w:szCs w:val="24"/>
        </w:rPr>
        <w:t>年度风险分析</w:t>
      </w:r>
      <w:bookmarkEnd w:id="37"/>
      <w:bookmarkEnd w:id="38"/>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投入生产上市后，按年度进行风险分析，对产品生产中的各个环节、及客户要求与反馈进行整体评估，并形成年度风险分析报告。在进行年度风险分析时，应考虑由医疗器械的操作者、使用者或医疗器械安装、使用和维护人员所产生信息的收集和处理机制，还应考虑新的或者修订的标准要求。</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有新的资料/数据可供应用时，应考虑核查已做出的风险分析报告，若必要，进行一次新的风险分析。因为快速发展的技术有可能消除、增加或降低任一特定危害的风险。随着时间的推移，风险有可能发生变化，依据新的资料/数据，新的风险也可能出现。</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9" w:name="_Toc455070010"/>
      <w:r>
        <w:rPr>
          <w:rFonts w:hint="eastAsia" w:asciiTheme="minorEastAsia" w:hAnsiTheme="minorEastAsia" w:eastAsiaTheme="minorEastAsia" w:cstheme="minorEastAsia"/>
          <w:sz w:val="24"/>
          <w:szCs w:val="24"/>
        </w:rPr>
        <w:t>风险管理报告</w:t>
      </w:r>
      <w:bookmarkEnd w:id="39"/>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在产品上市销售前，各部门应配合研发部完成对风险管理过程的评审，评审要求见本计划，评审的结果最终以风险管理报告的方式给出。</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223F9"/>
    <w:multiLevelType w:val="multilevel"/>
    <w:tmpl w:val="09B223F9"/>
    <w:lvl w:ilvl="0" w:tentative="0">
      <w:start w:val="1"/>
      <w:numFmt w:val="decimal"/>
      <w:lvlText w:val="第%1章."/>
      <w:lvlJc w:val="left"/>
      <w:pPr>
        <w:ind w:left="0" w:firstLine="0"/>
      </w:pPr>
      <w:rPr>
        <w:rFonts w:hint="eastAsia"/>
        <w:sz w:val="44"/>
        <w:szCs w:val="44"/>
      </w:rPr>
    </w:lvl>
    <w:lvl w:ilvl="1" w:tentative="0">
      <w:start w:val="1"/>
      <w:numFmt w:val="none"/>
      <w:suff w:val="nothing"/>
      <w:lvlText w:val=""/>
      <w:lvlJc w:val="left"/>
      <w:pPr>
        <w:ind w:left="0" w:firstLine="0"/>
      </w:pPr>
    </w:lvl>
    <w:lvl w:ilvl="2" w:tentative="0">
      <w:start w:val="1"/>
      <w:numFmt w:val="decimal"/>
      <w:pStyle w:val="4"/>
      <w:lvlText w:val="%3)"/>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A7B0646"/>
    <w:multiLevelType w:val="multilevel"/>
    <w:tmpl w:val="1A7B0646"/>
    <w:lvl w:ilvl="0" w:tentative="0">
      <w:start w:val="1"/>
      <w:numFmt w:val="decimal"/>
      <w:lvlText w:val="%1、"/>
      <w:lvlJc w:val="left"/>
      <w:pPr>
        <w:ind w:left="450" w:hanging="45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8210A0"/>
    <w:multiLevelType w:val="multilevel"/>
    <w:tmpl w:val="228210A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6E697231"/>
    <w:multiLevelType w:val="multilevel"/>
    <w:tmpl w:val="6E697231"/>
    <w:lvl w:ilvl="0" w:tentative="0">
      <w:start w:val="1"/>
      <w:numFmt w:val="lowerLetter"/>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731F4FB1"/>
    <w:multiLevelType w:val="multilevel"/>
    <w:tmpl w:val="731F4FB1"/>
    <w:lvl w:ilvl="0" w:tentative="0">
      <w:start w:val="1"/>
      <w:numFmt w:val="decimal"/>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hZDRiYTc0MWIyMDZlYjJkOTg5ZGRjYTYzZDE4NmQifQ=="/>
  </w:docVars>
  <w:rsids>
    <w:rsidRoot w:val="00E848D2"/>
    <w:rsid w:val="00001E8F"/>
    <w:rsid w:val="000D44C5"/>
    <w:rsid w:val="00242C82"/>
    <w:rsid w:val="002D42D7"/>
    <w:rsid w:val="00315F01"/>
    <w:rsid w:val="00361A78"/>
    <w:rsid w:val="00361D9B"/>
    <w:rsid w:val="0036213B"/>
    <w:rsid w:val="003B0E4D"/>
    <w:rsid w:val="003F1ED0"/>
    <w:rsid w:val="003F48D6"/>
    <w:rsid w:val="00497500"/>
    <w:rsid w:val="004E1861"/>
    <w:rsid w:val="0051326D"/>
    <w:rsid w:val="00542882"/>
    <w:rsid w:val="00551F6C"/>
    <w:rsid w:val="005E3FDB"/>
    <w:rsid w:val="00621D71"/>
    <w:rsid w:val="006600DA"/>
    <w:rsid w:val="00681F69"/>
    <w:rsid w:val="00695D07"/>
    <w:rsid w:val="006F52E7"/>
    <w:rsid w:val="007161D5"/>
    <w:rsid w:val="007507CC"/>
    <w:rsid w:val="007542A6"/>
    <w:rsid w:val="007C750D"/>
    <w:rsid w:val="008265B5"/>
    <w:rsid w:val="00850B20"/>
    <w:rsid w:val="008F5F40"/>
    <w:rsid w:val="00905002"/>
    <w:rsid w:val="00912062"/>
    <w:rsid w:val="00933AFC"/>
    <w:rsid w:val="00983902"/>
    <w:rsid w:val="00996D9B"/>
    <w:rsid w:val="00A96323"/>
    <w:rsid w:val="00B14F47"/>
    <w:rsid w:val="00BA58FD"/>
    <w:rsid w:val="00C53949"/>
    <w:rsid w:val="00CC3B3B"/>
    <w:rsid w:val="00CC69A1"/>
    <w:rsid w:val="00D40791"/>
    <w:rsid w:val="00D63955"/>
    <w:rsid w:val="00D652FC"/>
    <w:rsid w:val="00E11207"/>
    <w:rsid w:val="00E63CE2"/>
    <w:rsid w:val="00E848D2"/>
    <w:rsid w:val="00EC359F"/>
    <w:rsid w:val="00EF090A"/>
    <w:rsid w:val="00EF5D84"/>
    <w:rsid w:val="00F17939"/>
    <w:rsid w:val="00F858F7"/>
    <w:rsid w:val="00FA05D4"/>
    <w:rsid w:val="110919FD"/>
    <w:rsid w:val="1592707B"/>
    <w:rsid w:val="1D212406"/>
    <w:rsid w:val="21FC0273"/>
    <w:rsid w:val="299B2082"/>
    <w:rsid w:val="74FD51C1"/>
    <w:rsid w:val="7DC6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28"/>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0"/>
    <w:qFormat/>
    <w:uiPriority w:val="0"/>
    <w:pPr>
      <w:keepNext/>
      <w:keepLines/>
      <w:numPr>
        <w:ilvl w:val="2"/>
        <w:numId w:val="1"/>
      </w:numPr>
      <w:spacing w:beforeLines="50"/>
      <w:outlineLvl w:val="2"/>
    </w:pPr>
    <w:rPr>
      <w:rFonts w:ascii="Times New Roman" w:hAnsi="Times New Roman" w:eastAsia="宋体" w:cs="Times New Roman"/>
      <w:b/>
      <w:szCs w:val="20"/>
    </w:rPr>
  </w:style>
  <w:style w:type="paragraph" w:styleId="6">
    <w:name w:val="heading 4"/>
    <w:basedOn w:val="1"/>
    <w:next w:val="1"/>
    <w:link w:val="2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spacing w:before="60"/>
      <w:ind w:firstLine="420" w:firstLineChars="200"/>
    </w:pPr>
    <w:rPr>
      <w:rFonts w:ascii="Times New Roman" w:hAnsi="Times New Roman" w:eastAsia="宋体" w:cs="Times New Roman"/>
      <w:szCs w:val="24"/>
    </w:rPr>
  </w:style>
  <w:style w:type="paragraph" w:styleId="7">
    <w:name w:val="annotation text"/>
    <w:basedOn w:val="1"/>
    <w:link w:val="27"/>
    <w:semiHidden/>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7"/>
    <w:next w:val="7"/>
    <w:link w:val="28"/>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rPr>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10"/>
    <w:semiHidden/>
    <w:qFormat/>
    <w:uiPriority w:val="99"/>
    <w:rPr>
      <w:sz w:val="18"/>
      <w:szCs w:val="18"/>
    </w:rPr>
  </w:style>
  <w:style w:type="character" w:customStyle="1" w:styleId="20">
    <w:name w:val="页脚 Char"/>
    <w:basedOn w:val="16"/>
    <w:link w:val="9"/>
    <w:semiHidden/>
    <w:qFormat/>
    <w:uiPriority w:val="99"/>
    <w:rPr>
      <w:sz w:val="18"/>
      <w:szCs w:val="18"/>
    </w:rPr>
  </w:style>
  <w:style w:type="character" w:customStyle="1" w:styleId="21">
    <w:name w:val="标题 1 Char"/>
    <w:basedOn w:val="16"/>
    <w:link w:val="2"/>
    <w:qFormat/>
    <w:uiPriority w:val="9"/>
    <w:rPr>
      <w:b/>
      <w:bCs/>
      <w:kern w:val="44"/>
      <w:sz w:val="28"/>
      <w:szCs w:val="44"/>
    </w:rPr>
  </w:style>
  <w:style w:type="paragraph" w:styleId="22">
    <w:name w:val="List Paragraph"/>
    <w:basedOn w:val="1"/>
    <w:qFormat/>
    <w:uiPriority w:val="34"/>
    <w:pPr>
      <w:ind w:firstLine="420" w:firstLineChars="200"/>
    </w:pPr>
  </w:style>
  <w:style w:type="character" w:customStyle="1" w:styleId="23">
    <w:name w:val="标题 2 Char"/>
    <w:basedOn w:val="16"/>
    <w:link w:val="3"/>
    <w:qFormat/>
    <w:uiPriority w:val="9"/>
    <w:rPr>
      <w:rFonts w:asciiTheme="majorHAnsi" w:hAnsiTheme="majorHAnsi" w:eastAsiaTheme="majorEastAsia" w:cstheme="majorBidi"/>
      <w:b/>
      <w:bCs/>
      <w:sz w:val="32"/>
      <w:szCs w:val="32"/>
    </w:rPr>
  </w:style>
  <w:style w:type="character" w:customStyle="1" w:styleId="24">
    <w:name w:val="正文缩进 Char"/>
    <w:basedOn w:val="16"/>
    <w:link w:val="5"/>
    <w:qFormat/>
    <w:uiPriority w:val="0"/>
    <w:rPr>
      <w:rFonts w:ascii="Times New Roman" w:hAnsi="Times New Roman" w:eastAsia="宋体" w:cs="Times New Roman"/>
      <w:szCs w:val="24"/>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Cs w:val="28"/>
    </w:rPr>
  </w:style>
  <w:style w:type="character" w:customStyle="1" w:styleId="26">
    <w:name w:val="批注框文本 Char"/>
    <w:basedOn w:val="16"/>
    <w:link w:val="8"/>
    <w:semiHidden/>
    <w:qFormat/>
    <w:uiPriority w:val="99"/>
    <w:rPr>
      <w:sz w:val="18"/>
      <w:szCs w:val="18"/>
    </w:rPr>
  </w:style>
  <w:style w:type="character" w:customStyle="1" w:styleId="27">
    <w:name w:val="批注文字 Char"/>
    <w:basedOn w:val="16"/>
    <w:link w:val="7"/>
    <w:semiHidden/>
    <w:qFormat/>
    <w:uiPriority w:val="99"/>
  </w:style>
  <w:style w:type="character" w:customStyle="1" w:styleId="28">
    <w:name w:val="批注主题 Char"/>
    <w:basedOn w:val="27"/>
    <w:link w:val="13"/>
    <w:semiHidden/>
    <w:qFormat/>
    <w:uiPriority w:val="99"/>
    <w:rPr>
      <w:b/>
      <w:bCs/>
    </w:rPr>
  </w:style>
  <w:style w:type="character" w:customStyle="1" w:styleId="29">
    <w:name w:val="标题 4 Char"/>
    <w:basedOn w:val="16"/>
    <w:link w:val="6"/>
    <w:semiHidden/>
    <w:qFormat/>
    <w:uiPriority w:val="9"/>
    <w:rPr>
      <w:rFonts w:asciiTheme="majorHAnsi" w:hAnsiTheme="majorHAnsi" w:eastAsiaTheme="majorEastAsia" w:cstheme="majorBidi"/>
      <w:b/>
      <w:bCs/>
      <w:sz w:val="28"/>
      <w:szCs w:val="28"/>
    </w:rPr>
  </w:style>
  <w:style w:type="character" w:customStyle="1" w:styleId="30">
    <w:name w:val="标题 3 Char"/>
    <w:basedOn w:val="16"/>
    <w:link w:val="4"/>
    <w:qFormat/>
    <w:uiPriority w:val="0"/>
    <w:rPr>
      <w:rFonts w:ascii="Times New Roman" w:hAnsi="Times New Roman" w:eastAsia="宋体" w:cs="Times New Roman"/>
      <w:b/>
      <w:szCs w:val="20"/>
    </w:rPr>
  </w:style>
  <w:style w:type="paragraph" w:customStyle="1" w:styleId="31">
    <w:name w:val="列出段落1"/>
    <w:basedOn w:val="1"/>
    <w:qFormat/>
    <w:uiPriority w:val="34"/>
    <w:pPr>
      <w:suppressAutoHyphens/>
      <w:ind w:firstLine="420" w:firstLineChars="200"/>
    </w:pPr>
    <w:rPr>
      <w:rFonts w:ascii="Times New Roman" w:hAnsi="Times New Roman" w:eastAsia="宋体" w:cs="Times New Roman"/>
      <w:kern w:val="1"/>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A0EDC3-669E-4427-B217-B98E1C02EF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4997</Words>
  <Characters>5212</Characters>
  <Lines>52</Lines>
  <Paragraphs>14</Paragraphs>
  <TotalTime>0</TotalTime>
  <ScaleCrop>false</ScaleCrop>
  <LinksUpToDate>false</LinksUpToDate>
  <CharactersWithSpaces>5540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2015-02-06T07:03:00Z</dcterms:created>
  <dc:creator>blue</dc:creator>
  <cp:lastModifiedBy>伊人</cp:lastModifiedBy>
  <dcterms:modified xsi:type="dcterms:W3CDTF">2023-08-10T09:55:59Z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A16C577A169448D88D4DA6525FD6F987_12</vt:lpwstr>
  </property>
</Properties>
</file>