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32"/>
          <w:szCs w:val="32"/>
        </w:rPr>
      </w:pPr>
      <w:r>
        <w:rPr>
          <w:rFonts w:hint="eastAsia" w:asciiTheme="minorEastAsia" w:hAnsiTheme="minorEastAsia" w:eastAsiaTheme="minorEastAsia" w:cstheme="minorEastAsia"/>
          <w:b/>
          <w:sz w:val="32"/>
          <w:szCs w:val="32"/>
        </w:rPr>
        <w:t>风险管理计划</w:t>
      </w:r>
    </w:p>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p>
    <w:p>
      <w:pPr>
        <w:jc w:val="center"/>
        <w:rPr>
          <w:rFonts w:hint="eastAsia" w:asciiTheme="minorEastAsia" w:hAnsiTheme="minorEastAsia" w:eastAsiaTheme="minorEastAsia" w:cstheme="minorEastAsia"/>
          <w:b/>
          <w:sz w:val="24"/>
          <w:szCs w:val="24"/>
        </w:rPr>
      </w:pPr>
    </w:p>
    <w:p>
      <w:pPr>
        <w:ind w:firstLine="1458" w:firstLineChars="605"/>
        <w:jc w:val="left"/>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产品名称：</w:t>
      </w:r>
      <w:r>
        <w:rPr>
          <w:rFonts w:hint="eastAsia" w:asciiTheme="minorEastAsia" w:hAnsiTheme="minorEastAsia" w:eastAsiaTheme="minorEastAsia" w:cstheme="minorEastAsia"/>
          <w:b/>
          <w:sz w:val="24"/>
          <w:szCs w:val="24"/>
          <w:u w:val="single"/>
        </w:rPr>
        <w:t>　　　　　　　　　　　　　</w:t>
      </w:r>
    </w:p>
    <w:p>
      <w:pPr>
        <w:ind w:firstLine="1928" w:firstLineChars="800"/>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文件编号：</w:t>
      </w:r>
      <w:r>
        <w:rPr>
          <w:rFonts w:hint="eastAsia" w:asciiTheme="minorEastAsia" w:hAnsiTheme="minorEastAsia" w:eastAsiaTheme="minorEastAsia" w:cstheme="minorEastAsia"/>
          <w:b/>
          <w:sz w:val="24"/>
          <w:szCs w:val="24"/>
          <w:u w:val="single"/>
        </w:rPr>
        <w:t>　　　QR-RD-0</w:t>
      </w:r>
      <w:r>
        <w:rPr>
          <w:rFonts w:hint="eastAsia" w:asciiTheme="minorEastAsia" w:hAnsiTheme="minorEastAsia" w:eastAsiaTheme="minorEastAsia" w:cstheme="minorEastAsia"/>
          <w:b/>
          <w:sz w:val="24"/>
          <w:szCs w:val="24"/>
          <w:u w:val="single"/>
          <w:lang w:val="en-US" w:eastAsia="zh-CN"/>
        </w:rPr>
        <w:t>25</w:t>
      </w:r>
      <w:r>
        <w:rPr>
          <w:rFonts w:hint="eastAsia" w:asciiTheme="minorEastAsia" w:hAnsiTheme="minorEastAsia" w:eastAsiaTheme="minorEastAsia" w:cstheme="minorEastAsia"/>
          <w:b/>
          <w:sz w:val="24"/>
          <w:szCs w:val="24"/>
          <w:u w:val="single"/>
        </w:rPr>
        <w:t>　</w:t>
      </w:r>
      <w:r>
        <w:rPr>
          <w:rFonts w:hint="eastAsia" w:asciiTheme="minorEastAsia" w:hAnsiTheme="minorEastAsia" w:cstheme="minorEastAsia"/>
          <w:b/>
          <w:sz w:val="24"/>
          <w:szCs w:val="24"/>
          <w:u w:val="single"/>
          <w:lang w:val="en-US" w:eastAsia="zh-CN"/>
        </w:rPr>
        <w:t xml:space="preserve"> </w:t>
      </w:r>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p>
    <w:p>
      <w:pPr>
        <w:ind w:firstLine="1458" w:firstLineChars="605"/>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版　　本：</w:t>
      </w:r>
      <w:bookmarkStart w:id="0" w:name="OLE_LINK1"/>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bookmarkEnd w:id="0"/>
      <w:r>
        <w:rPr>
          <w:rFonts w:hint="eastAsia" w:asciiTheme="minorEastAsia" w:hAnsiTheme="minorEastAsia" w:eastAsiaTheme="minorEastAsia" w:cstheme="minorEastAsia"/>
          <w:b/>
          <w:sz w:val="24"/>
          <w:szCs w:val="24"/>
        </w:rPr>
        <w:t>　　</w:t>
      </w:r>
    </w:p>
    <w:p>
      <w:pPr>
        <w:ind w:firstLine="1458" w:firstLineChars="605"/>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编　　制：</w:t>
      </w:r>
      <w:bookmarkStart w:id="1" w:name="OLE_LINK2"/>
      <w:bookmarkStart w:id="2" w:name="OLE_LINK3"/>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bookmarkEnd w:id="1"/>
      <w:bookmarkEnd w:id="2"/>
    </w:p>
    <w:p>
      <w:pPr>
        <w:ind w:firstLine="1458" w:firstLineChars="605"/>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审　　核：</w:t>
      </w:r>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p>
    <w:p>
      <w:pPr>
        <w:ind w:firstLine="1458" w:firstLineChars="605"/>
        <w:rPr>
          <w:rFonts w:hint="eastAsia" w:asciiTheme="minorEastAsia" w:hAnsiTheme="minorEastAsia" w:eastAsiaTheme="minorEastAsia" w:cstheme="minorEastAsia"/>
          <w:b/>
          <w:sz w:val="24"/>
          <w:szCs w:val="24"/>
        </w:rPr>
      </w:pPr>
    </w:p>
    <w:p>
      <w:pPr>
        <w:ind w:firstLine="1458" w:firstLineChars="60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批　　准：</w:t>
      </w:r>
      <w:r>
        <w:rPr>
          <w:rFonts w:hint="eastAsia" w:asciiTheme="minorEastAsia" w:hAnsiTheme="minorEastAsia" w:eastAsiaTheme="minorEastAsia" w:cstheme="minorEastAsia"/>
          <w:b/>
          <w:sz w:val="24"/>
          <w:szCs w:val="24"/>
          <w:u w:val="single"/>
        </w:rPr>
        <w:t>　　　　　　　　　　　　　</w:t>
      </w:r>
      <w:r>
        <w:rPr>
          <w:rFonts w:hint="eastAsia" w:asciiTheme="minorEastAsia" w:hAnsiTheme="minorEastAsia" w:eastAsiaTheme="minorEastAsia" w:cstheme="minorEastAsia"/>
          <w:b/>
          <w:sz w:val="24"/>
          <w:szCs w:val="24"/>
        </w:rPr>
        <w:t>　　　　　　　　　　　　　</w:t>
      </w: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rPr>
          <w:rFonts w:hint="eastAsia" w:asciiTheme="minorEastAsia" w:hAnsiTheme="minorEastAsia" w:eastAsiaTheme="minorEastAsia" w:cstheme="minorEastAsia"/>
          <w:sz w:val="24"/>
          <w:szCs w:val="24"/>
        </w:rPr>
      </w:pP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公司</w:t>
      </w:r>
    </w:p>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日　</w:t>
      </w:r>
      <w:r>
        <w:rPr>
          <w:rFonts w:hint="eastAsia" w:asciiTheme="minorEastAsia" w:hAnsiTheme="minorEastAsia" w:eastAsiaTheme="minorEastAsia" w:cstheme="minorEastAsia"/>
          <w:sz w:val="24"/>
          <w:szCs w:val="24"/>
        </w:rPr>
        <w:br w:type="page"/>
      </w:r>
    </w:p>
    <w:sdt>
      <w:sdtPr>
        <w:rPr>
          <w:rFonts w:hint="eastAsia" w:asciiTheme="minorEastAsia" w:hAnsiTheme="minorEastAsia" w:eastAsiaTheme="minorEastAsia" w:cstheme="minorEastAsia"/>
          <w:b w:val="0"/>
          <w:bCs w:val="0"/>
          <w:color w:val="auto"/>
          <w:kern w:val="2"/>
          <w:sz w:val="24"/>
          <w:szCs w:val="24"/>
          <w:lang w:val="zh-CN"/>
        </w:rPr>
        <w:id w:val="6800469"/>
        <w:docPartObj>
          <w:docPartGallery w:val="Table of Contents"/>
          <w:docPartUnique/>
        </w:docPartObj>
      </w:sdtPr>
      <w:sdtEndPr>
        <w:rPr>
          <w:rFonts w:hint="eastAsia" w:asciiTheme="minorEastAsia" w:hAnsiTheme="minorEastAsia" w:eastAsiaTheme="minorEastAsia" w:cstheme="minorEastAsia"/>
          <w:b w:val="0"/>
          <w:bCs w:val="0"/>
          <w:color w:val="auto"/>
          <w:kern w:val="2"/>
          <w:sz w:val="24"/>
          <w:szCs w:val="24"/>
          <w:lang w:val="en-US"/>
        </w:rPr>
      </w:sdtEndPr>
      <w:sdtContent>
        <w:p>
          <w:pPr>
            <w:pStyle w:val="25"/>
            <w:jc w:val="center"/>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目录</w:t>
          </w:r>
        </w:p>
        <w:p>
          <w:pPr>
            <w:rPr>
              <w:rFonts w:hint="eastAsia" w:asciiTheme="minorEastAsia" w:hAnsiTheme="minorEastAsia" w:eastAsiaTheme="minorEastAsia" w:cstheme="minorEastAsia"/>
              <w:sz w:val="24"/>
              <w:szCs w:val="24"/>
              <w:lang w:val="zh-CN"/>
            </w:rPr>
          </w:pP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TOC \o "1-3" \h \z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"_Toc455069982"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背景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"_Toc455069983"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1.1目的</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ind w:left="0"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"_Toc455069984"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1.2范围</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"_Toc455069985"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产品介绍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"_Toc455069986"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2.1 产品描述</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"_Toc455069987"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2.2产品组成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"_Toc455069988"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2.3工作原理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"_Toc455069989"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2.4产品功能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_Toc455069989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"_Toc455069990"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2.5预期使用寿命</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"_Toc455069991"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职责与权限分配</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"_Toc455069992"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风险管理过程</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"_Toc455069993"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风险管理活动的评审要求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"_Toc455069994"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5.1风险管理小组成员及其职责</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"_Toc455069995"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5.2对评审活动的要求</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"_Toc455069996"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风险分析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"_Toc455069997"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6.1进行风险分析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"_Toc455069998"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6.2风险分析的内容</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"_Toc455069999"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6.3风险分析的方法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_Toc455069999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"_Toc455070000"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风险可接收性准则</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"_Toc455070001"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7.1损害发生的概率等级</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_Toc455070001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"_Toc455070002"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7.2损害的严重度</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_Toc455070002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"_Toc455070003"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7.3可接受风险决策方法</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2"/>
            <w:tabs>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"_Toc455070004"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7.4风险评价</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_Toc455070004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"_Toc455070005"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风险控制</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63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"_Toc455070006"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9、</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验证活动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84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"_Toc455070007"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剩余风险分析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84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"_Toc455070008"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生产和生产后信息</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84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"_Toc455070009"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年度风险分析</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_Toc455070009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11</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11"/>
            <w:tabs>
              <w:tab w:val="left" w:pos="840"/>
              <w:tab w:val="right" w:leader="dot" w:pos="8296"/>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"_Toc455070010" </w:instrText>
          </w:r>
          <w:r>
            <w:rPr>
              <w:rFonts w:hint="eastAsia" w:asciiTheme="minorEastAsia" w:hAnsiTheme="minorEastAsia" w:eastAsiaTheme="minorEastAsia" w:cstheme="minorEastAsia"/>
              <w:sz w:val="24"/>
              <w:szCs w:val="24"/>
            </w:rPr>
            <w:fldChar w:fldCharType="separate"/>
          </w:r>
          <w:r>
            <w:rPr>
              <w:rStyle w:val="17"/>
              <w:rFonts w:hint="eastAsia" w:asciiTheme="minorEastAsia" w:hAnsiTheme="minorEastAsia" w:eastAsiaTheme="minorEastAsia" w:cstheme="minorEastAsia"/>
              <w:sz w:val="24"/>
              <w:szCs w:val="24"/>
            </w:rPr>
            <w:t>13、</w:t>
          </w:r>
          <w:r>
            <w:rPr>
              <w:rFonts w:hint="eastAsia" w:asciiTheme="minorEastAsia" w:hAnsiTheme="minorEastAsia" w:eastAsiaTheme="minorEastAsia" w:cstheme="minorEastAsia"/>
              <w:sz w:val="24"/>
              <w:szCs w:val="24"/>
            </w:rPr>
            <w:tab/>
          </w:r>
          <w:r>
            <w:rPr>
              <w:rStyle w:val="17"/>
              <w:rFonts w:hint="eastAsia" w:asciiTheme="minorEastAsia" w:hAnsiTheme="minorEastAsia" w:eastAsiaTheme="minorEastAsia" w:cstheme="minorEastAsia"/>
              <w:sz w:val="24"/>
              <w:szCs w:val="24"/>
            </w:rPr>
            <w:t>风险管理报告</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_Toc455070010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12</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end"/>
          </w:r>
        </w:p>
      </w:sdtContent>
    </w:sdt>
    <w:p>
      <w:pPr>
        <w:widowControl/>
        <w:jc w:val="left"/>
        <w:rPr>
          <w:rFonts w:hint="eastAsia" w:asciiTheme="minorEastAsia" w:hAnsiTheme="minorEastAsia" w:eastAsiaTheme="minorEastAsia" w:cstheme="minorEastAsia"/>
          <w:b/>
          <w:bCs/>
          <w:kern w:val="44"/>
          <w:sz w:val="24"/>
          <w:szCs w:val="24"/>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pgNumType w:start="0"/>
          <w:cols w:space="425" w:num="1"/>
          <w:titlePg/>
          <w:docGrid w:type="lines" w:linePitch="312" w:charSpace="0"/>
        </w:sectPr>
      </w:pP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3" w:name="_Toc455069982"/>
      <w:r>
        <w:rPr>
          <w:rFonts w:hint="eastAsia" w:asciiTheme="minorEastAsia" w:hAnsiTheme="minorEastAsia" w:eastAsiaTheme="minorEastAsia" w:cstheme="minorEastAsia"/>
          <w:sz w:val="24"/>
          <w:szCs w:val="24"/>
        </w:rPr>
        <w:t>背景</w:t>
      </w:r>
      <w:bookmarkEnd w:id="3"/>
    </w:p>
    <w:p>
      <w:pPr>
        <w:pStyle w:val="2"/>
        <w:spacing w:before="0" w:after="0" w:line="360" w:lineRule="auto"/>
        <w:rPr>
          <w:rFonts w:hint="eastAsia" w:asciiTheme="minorEastAsia" w:hAnsiTheme="minorEastAsia" w:eastAsiaTheme="minorEastAsia" w:cstheme="minorEastAsia"/>
          <w:sz w:val="24"/>
          <w:szCs w:val="24"/>
        </w:rPr>
      </w:pPr>
      <w:bookmarkStart w:id="4" w:name="_Toc455069983"/>
      <w:bookmarkStart w:id="5" w:name="_Toc424200014"/>
      <w:r>
        <w:rPr>
          <w:rFonts w:hint="eastAsia" w:asciiTheme="minorEastAsia" w:hAnsiTheme="minorEastAsia" w:eastAsiaTheme="minorEastAsia" w:cstheme="minorEastAsia"/>
          <w:sz w:val="24"/>
          <w:szCs w:val="24"/>
        </w:rPr>
        <w:t>1.1目的</w:t>
      </w:r>
      <w:bookmarkEnd w:id="4"/>
      <w:bookmarkEnd w:id="5"/>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本风险管理计划按照ISO14971以及产品适用的相应国际标准，对</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产品在其整个生命周期内的风险管理活动进行指导。通过对产品的风险管理活动，使产品在预期用途使用条件下，对病人、使用者、环境以及其他相关人员的风险降低到最低的、可接受的水平。</w:t>
      </w:r>
    </w:p>
    <w:p>
      <w:pPr>
        <w:pStyle w:val="3"/>
        <w:spacing w:before="0" w:after="0" w:line="415" w:lineRule="auto"/>
        <w:rPr>
          <w:rFonts w:hint="eastAsia" w:asciiTheme="minorEastAsia" w:hAnsiTheme="minorEastAsia" w:eastAsiaTheme="minorEastAsia" w:cstheme="minorEastAsia"/>
          <w:sz w:val="24"/>
          <w:szCs w:val="24"/>
        </w:rPr>
      </w:pPr>
      <w:bookmarkStart w:id="6" w:name="_Toc424200015"/>
      <w:bookmarkStart w:id="7" w:name="_Toc455069984"/>
      <w:r>
        <w:rPr>
          <w:rFonts w:hint="eastAsia" w:asciiTheme="minorEastAsia" w:hAnsiTheme="minorEastAsia" w:eastAsiaTheme="minorEastAsia" w:cstheme="minorEastAsia"/>
          <w:sz w:val="24"/>
          <w:szCs w:val="24"/>
        </w:rPr>
        <w:t>1.2范围</w:t>
      </w:r>
      <w:bookmarkEnd w:id="6"/>
      <w:bookmarkEnd w:id="7"/>
    </w:p>
    <w:p>
      <w:pPr>
        <w:spacing w:line="360" w:lineRule="auto"/>
        <w:ind w:firstLine="420"/>
        <w:rPr>
          <w:rFonts w:hint="eastAsia" w:asciiTheme="minorEastAsia" w:hAnsiTheme="minorEastAsia" w:eastAsiaTheme="minorEastAsia" w:cstheme="minorEastAsia"/>
          <w:i/>
          <w:color w:val="0000FF"/>
          <w:sz w:val="24"/>
          <w:szCs w:val="24"/>
        </w:rPr>
      </w:pPr>
      <w:bookmarkStart w:id="8" w:name="OLE_LINK5"/>
      <w:bookmarkStart w:id="9" w:name="OLE_LINK4"/>
      <w:r>
        <w:rPr>
          <w:rFonts w:hint="eastAsia" w:asciiTheme="minorEastAsia" w:hAnsiTheme="minorEastAsia" w:eastAsiaTheme="minorEastAsia" w:cstheme="minorEastAsia"/>
          <w:sz w:val="24"/>
          <w:szCs w:val="24"/>
        </w:rPr>
        <w:t>本计划适用于</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产品在整个生命周期内所有阶段（包括设计开发、产品实现、最终停用和处置阶段）的风险管理与控制。按照本计划，判定</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产品及其附件有关的危害，估计和评价风险，控制这些风险，并监控控制措施的有效性。本风险管理计划的范围包括仪器整机系统以及由于其他配附件失效可能导致的仪器整机风险，对于配附件以本身不作风险分析。配附件的风险分析由进货检验以及采购质量保证予以保证。</w:t>
      </w:r>
    </w:p>
    <w:bookmarkEnd w:id="8"/>
    <w:bookmarkEnd w:id="9"/>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10" w:name="_Toc455069985"/>
      <w:r>
        <w:rPr>
          <w:rFonts w:hint="eastAsia" w:asciiTheme="minorEastAsia" w:hAnsiTheme="minorEastAsia" w:eastAsiaTheme="minorEastAsia" w:cstheme="minorEastAsia"/>
          <w:sz w:val="24"/>
          <w:szCs w:val="24"/>
        </w:rPr>
        <w:t>产品介绍</w:t>
      </w:r>
      <w:bookmarkEnd w:id="10"/>
    </w:p>
    <w:p>
      <w:pPr>
        <w:pStyle w:val="3"/>
        <w:spacing w:before="0" w:after="0" w:line="415" w:lineRule="auto"/>
        <w:rPr>
          <w:rFonts w:hint="eastAsia" w:asciiTheme="minorEastAsia" w:hAnsiTheme="minorEastAsia" w:eastAsiaTheme="minorEastAsia" w:cstheme="minorEastAsia"/>
          <w:sz w:val="24"/>
          <w:szCs w:val="24"/>
        </w:rPr>
      </w:pPr>
      <w:bookmarkStart w:id="11" w:name="_Toc455069986"/>
      <w:r>
        <w:rPr>
          <w:rFonts w:hint="eastAsia" w:asciiTheme="minorEastAsia" w:hAnsiTheme="minorEastAsia" w:eastAsiaTheme="minorEastAsia" w:cstheme="minorEastAsia"/>
          <w:sz w:val="24"/>
          <w:szCs w:val="24"/>
        </w:rPr>
        <w:t>2.1 产品描述</w:t>
      </w:r>
      <w:bookmarkEnd w:id="11"/>
    </w:p>
    <w:p>
      <w:pPr>
        <w:spacing w:line="360" w:lineRule="auto"/>
        <w:ind w:firstLine="420"/>
        <w:rPr>
          <w:rFonts w:hint="eastAsia" w:asciiTheme="minorEastAsia" w:hAnsiTheme="minorEastAsia" w:eastAsiaTheme="minorEastAsia" w:cstheme="minorEastAsia"/>
          <w:sz w:val="24"/>
          <w:szCs w:val="24"/>
        </w:rPr>
      </w:pPr>
    </w:p>
    <w:p>
      <w:pPr>
        <w:pStyle w:val="3"/>
        <w:spacing w:before="0" w:after="0" w:line="415" w:lineRule="auto"/>
        <w:rPr>
          <w:rFonts w:hint="eastAsia" w:asciiTheme="minorEastAsia" w:hAnsiTheme="minorEastAsia" w:eastAsiaTheme="minorEastAsia" w:cstheme="minorEastAsia"/>
          <w:sz w:val="24"/>
          <w:szCs w:val="24"/>
        </w:rPr>
      </w:pPr>
      <w:bookmarkStart w:id="12" w:name="_Toc455069987"/>
      <w:r>
        <w:rPr>
          <w:rFonts w:hint="eastAsia" w:asciiTheme="minorEastAsia" w:hAnsiTheme="minorEastAsia" w:eastAsiaTheme="minorEastAsia" w:cstheme="minorEastAsia"/>
          <w:sz w:val="24"/>
          <w:szCs w:val="24"/>
        </w:rPr>
        <w:t>2.2产品组成</w:t>
      </w:r>
      <w:bookmarkEnd w:id="12"/>
    </w:p>
    <w:p>
      <w:pPr>
        <w:spacing w:line="360" w:lineRule="auto"/>
        <w:ind w:firstLine="420"/>
        <w:rPr>
          <w:rFonts w:hint="eastAsia" w:asciiTheme="minorEastAsia" w:hAnsiTheme="minorEastAsia" w:eastAsiaTheme="minorEastAsia" w:cstheme="minorEastAsia"/>
          <w:sz w:val="24"/>
          <w:szCs w:val="24"/>
        </w:rPr>
      </w:pPr>
    </w:p>
    <w:p>
      <w:pPr>
        <w:pStyle w:val="3"/>
        <w:spacing w:before="0" w:after="0" w:line="415" w:lineRule="auto"/>
        <w:rPr>
          <w:rFonts w:hint="eastAsia" w:asciiTheme="minorEastAsia" w:hAnsiTheme="minorEastAsia" w:eastAsiaTheme="minorEastAsia" w:cstheme="minorEastAsia"/>
          <w:sz w:val="24"/>
          <w:szCs w:val="24"/>
        </w:rPr>
      </w:pPr>
      <w:bookmarkStart w:id="13" w:name="_Toc455069988"/>
      <w:r>
        <w:rPr>
          <w:rFonts w:hint="eastAsia" w:asciiTheme="minorEastAsia" w:hAnsiTheme="minorEastAsia" w:eastAsiaTheme="minorEastAsia" w:cstheme="minorEastAsia"/>
          <w:sz w:val="24"/>
          <w:szCs w:val="24"/>
        </w:rPr>
        <w:t>2.3工作原理</w:t>
      </w:r>
      <w:bookmarkEnd w:id="13"/>
    </w:p>
    <w:p>
      <w:pPr>
        <w:spacing w:line="360" w:lineRule="auto"/>
        <w:ind w:firstLine="420"/>
        <w:rPr>
          <w:rFonts w:hint="eastAsia" w:asciiTheme="minorEastAsia" w:hAnsiTheme="minorEastAsia" w:eastAsiaTheme="minorEastAsia" w:cstheme="minorEastAsia"/>
          <w:sz w:val="24"/>
          <w:szCs w:val="24"/>
        </w:rPr>
      </w:pPr>
      <w:bookmarkStart w:id="14" w:name="_Toc451939577"/>
      <w:bookmarkStart w:id="15" w:name="_Toc361847743"/>
    </w:p>
    <w:p>
      <w:pPr>
        <w:pStyle w:val="3"/>
        <w:spacing w:before="0" w:after="0" w:line="415" w:lineRule="auto"/>
        <w:rPr>
          <w:rFonts w:hint="eastAsia" w:asciiTheme="minorEastAsia" w:hAnsiTheme="minorEastAsia" w:eastAsiaTheme="minorEastAsia" w:cstheme="minorEastAsia"/>
          <w:sz w:val="24"/>
          <w:szCs w:val="24"/>
        </w:rPr>
      </w:pPr>
      <w:bookmarkStart w:id="16" w:name="_Toc455069989"/>
      <w:r>
        <w:rPr>
          <w:rFonts w:hint="eastAsia" w:asciiTheme="minorEastAsia" w:hAnsiTheme="minorEastAsia" w:eastAsiaTheme="minorEastAsia" w:cstheme="minorEastAsia"/>
          <w:sz w:val="24"/>
          <w:szCs w:val="24"/>
        </w:rPr>
        <w:t>2.4产品功能</w:t>
      </w:r>
      <w:bookmarkEnd w:id="14"/>
      <w:bookmarkEnd w:id="15"/>
      <w:bookmarkEnd w:id="16"/>
    </w:p>
    <w:p>
      <w:pPr>
        <w:spacing w:line="360" w:lineRule="auto"/>
        <w:ind w:firstLine="420"/>
        <w:rPr>
          <w:rFonts w:hint="eastAsia" w:asciiTheme="minorEastAsia" w:hAnsiTheme="minorEastAsia" w:eastAsiaTheme="minorEastAsia" w:cstheme="minorEastAsia"/>
          <w:sz w:val="24"/>
          <w:szCs w:val="24"/>
        </w:rPr>
      </w:pPr>
      <w:bookmarkStart w:id="17" w:name="_Toc451939578"/>
    </w:p>
    <w:p>
      <w:pPr>
        <w:pStyle w:val="3"/>
        <w:spacing w:before="0" w:after="0" w:line="415" w:lineRule="auto"/>
        <w:rPr>
          <w:rFonts w:hint="eastAsia" w:asciiTheme="minorEastAsia" w:hAnsiTheme="minorEastAsia" w:eastAsiaTheme="minorEastAsia" w:cstheme="minorEastAsia"/>
          <w:sz w:val="24"/>
          <w:szCs w:val="24"/>
        </w:rPr>
      </w:pPr>
      <w:bookmarkStart w:id="18" w:name="_Toc455069990"/>
      <w:r>
        <w:rPr>
          <w:rFonts w:hint="eastAsia" w:asciiTheme="minorEastAsia" w:hAnsiTheme="minorEastAsia" w:eastAsiaTheme="minorEastAsia" w:cstheme="minorEastAsia"/>
          <w:sz w:val="24"/>
          <w:szCs w:val="24"/>
        </w:rPr>
        <w:t>2.5预期使用寿命</w:t>
      </w:r>
      <w:bookmarkEnd w:id="17"/>
      <w:bookmarkEnd w:id="18"/>
    </w:p>
    <w:p>
      <w:pPr>
        <w:spacing w:line="360" w:lineRule="auto"/>
        <w:ind w:firstLine="420"/>
        <w:rPr>
          <w:rFonts w:hint="eastAsia" w:asciiTheme="minorEastAsia" w:hAnsiTheme="minorEastAsia" w:eastAsiaTheme="minorEastAsia" w:cstheme="minorEastAsia"/>
          <w:sz w:val="24"/>
          <w:szCs w:val="24"/>
        </w:rPr>
      </w:pP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风险管理小组</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公司组成了风险管理小组，确定了对风险管理的负责人，确保风险管理活动有效地实施。</w:t>
      </w:r>
    </w:p>
    <w:tbl>
      <w:tblPr>
        <w:tblStyle w:val="14"/>
        <w:tblW w:w="88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2"/>
        <w:gridCol w:w="2413"/>
        <w:gridCol w:w="5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2" w:type="dxa"/>
            <w:noWrap w:val="0"/>
            <w:vAlign w:val="center"/>
          </w:tcPr>
          <w:p>
            <w:pPr>
              <w:jc w:val="center"/>
              <w:rPr>
                <w:rFonts w:hint="eastAsia" w:asciiTheme="minorEastAsia" w:hAnsiTheme="minorEastAsia" w:eastAsiaTheme="minorEastAsia" w:cstheme="minorEastAsia"/>
                <w:sz w:val="24"/>
                <w:szCs w:val="24"/>
              </w:rPr>
            </w:pPr>
            <w:bookmarkStart w:id="19" w:name="_Toc455069992"/>
            <w:r>
              <w:rPr>
                <w:rFonts w:hint="eastAsia" w:asciiTheme="minorEastAsia" w:hAnsiTheme="minorEastAsia" w:eastAsiaTheme="minorEastAsia" w:cstheme="minorEastAsia"/>
                <w:sz w:val="24"/>
                <w:szCs w:val="24"/>
              </w:rPr>
              <w:t>参与人员</w:t>
            </w:r>
          </w:p>
        </w:tc>
        <w:tc>
          <w:tcPr>
            <w:tcW w:w="2413" w:type="dxa"/>
            <w:noWrap w:val="0"/>
            <w:vAlign w:val="center"/>
          </w:tcPr>
          <w:p>
            <w:pPr>
              <w:jc w:val="center"/>
              <w:rPr>
                <w:rFonts w:hint="eastAsia" w:asciiTheme="minorEastAsia" w:hAnsiTheme="minorEastAsia" w:eastAsiaTheme="minorEastAsia" w:cstheme="minorEastAsia"/>
                <w:sz w:val="24"/>
                <w:szCs w:val="24"/>
                <w:lang w:eastAsia="ar-SA"/>
              </w:rPr>
            </w:pPr>
            <w:r>
              <w:rPr>
                <w:rFonts w:hint="eastAsia" w:asciiTheme="minorEastAsia" w:hAnsiTheme="minorEastAsia" w:eastAsiaTheme="minorEastAsia" w:cstheme="minorEastAsia"/>
                <w:sz w:val="24"/>
                <w:szCs w:val="24"/>
              </w:rPr>
              <w:t>风险管理活动角色</w:t>
            </w:r>
          </w:p>
          <w:p>
            <w:pPr>
              <w:pStyle w:val="7"/>
              <w:rPr>
                <w:rFonts w:hint="eastAsia" w:asciiTheme="minorEastAsia" w:hAnsiTheme="minorEastAsia" w:eastAsiaTheme="minorEastAsia" w:cstheme="minorEastAsia"/>
                <w:sz w:val="24"/>
                <w:szCs w:val="24"/>
                <w:lang w:eastAsia="zh-CN"/>
              </w:rPr>
            </w:pPr>
            <w:r>
              <w:rPr>
                <w:rFonts w:hint="eastAsia" w:asciiTheme="minorEastAsia" w:hAnsiTheme="minorEastAsia" w:cstheme="minorEastAsia"/>
                <w:sz w:val="24"/>
                <w:szCs w:val="24"/>
                <w:lang w:eastAsia="zh-CN"/>
              </w:rPr>
              <w:t>【</w:t>
            </w:r>
            <w:r>
              <w:rPr>
                <w:rFonts w:hint="eastAsia"/>
                <w:lang w:eastAsia="zh-CN"/>
              </w:rPr>
              <w:t>同风险管理计划</w:t>
            </w:r>
            <w:r>
              <w:rPr>
                <w:rFonts w:hint="eastAsia" w:asciiTheme="minorEastAsia" w:hAnsiTheme="minorEastAsia" w:cstheme="minorEastAsia"/>
                <w:sz w:val="24"/>
                <w:szCs w:val="24"/>
                <w:lang w:eastAsia="zh-CN"/>
              </w:rPr>
              <w:t>】</w:t>
            </w:r>
          </w:p>
        </w:tc>
        <w:tc>
          <w:tcPr>
            <w:tcW w:w="5318" w:type="dxa"/>
            <w:noWrap w:val="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风险管理活动职责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1122" w:type="dxa"/>
            <w:shd w:val="clear" w:color="auto" w:fill="auto"/>
            <w:noWrap w:val="0"/>
            <w:vAlign w:val="center"/>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风险管理小组组长</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负责批准风险可接受准则，并最终决定该产品风险管理活动是否有效。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产品安全工程师</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负责关注是否符合法规和标准的要求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产品认证工程师</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负责关注是否符合法规和标准的要求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临床工程师</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负责从临床角度关注风险是否被有效降低到了可接受范围内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系统设计工程师</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负责从系统角度关注风险是否被有效降低到了可接受范围内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测试负责人</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负责关注风险控制措施的验证是否在整机测试中有效开展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项目QA</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负责确保风险管理活动的开展符合公司流程要求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22" w:type="dxa"/>
            <w:shd w:val="clear" w:color="auto" w:fill="auto"/>
            <w:noWrap w:val="0"/>
            <w:vAlign w:val="top"/>
          </w:tcPr>
          <w:p>
            <w:pPr>
              <w:jc w:val="center"/>
              <w:rPr>
                <w:rFonts w:hint="eastAsia" w:asciiTheme="minorEastAsia" w:hAnsiTheme="minorEastAsia" w:eastAsiaTheme="minorEastAsia" w:cstheme="minorEastAsia"/>
                <w:sz w:val="24"/>
                <w:szCs w:val="24"/>
              </w:rPr>
            </w:pPr>
          </w:p>
        </w:tc>
        <w:tc>
          <w:tcPr>
            <w:tcW w:w="2413" w:type="dxa"/>
            <w:shd w:val="clear" w:color="auto" w:fill="auto"/>
            <w:noWrap w:val="0"/>
            <w:vAlign w:val="center"/>
          </w:tcPr>
          <w:p>
            <w:pPr>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5318" w:type="dxa"/>
            <w:shd w:val="clear" w:color="auto" w:fill="auto"/>
            <w:noWrap w:val="0"/>
            <w:vAlign w:val="center"/>
          </w:tcPr>
          <w:p>
            <w:pPr>
              <w:jc w:val="left"/>
              <w:rPr>
                <w:rFonts w:hint="eastAsia" w:asciiTheme="minorEastAsia" w:hAnsiTheme="minorEastAsia" w:eastAsiaTheme="minorEastAsia" w:cstheme="minorEastAsia"/>
                <w:sz w:val="24"/>
                <w:szCs w:val="24"/>
              </w:rPr>
            </w:pPr>
          </w:p>
        </w:tc>
      </w:tr>
    </w:tbl>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风险管理过程</w:t>
      </w:r>
      <w:bookmarkEnd w:id="19"/>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按据公司《风险管理控制程序》 的要求执行风险管理过程。风险管理过程包括：风险管理计划、风险分析、风险评价、风险控制、综合剩余风险评价、风险管理报告、生产及生产后信息等步骤。具体如下：</w:t>
      </w:r>
    </w:p>
    <w:tbl>
      <w:tblPr>
        <w:tblStyle w:val="1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7"/>
        <w:gridCol w:w="4229"/>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风险管理活动</w:t>
            </w:r>
          </w:p>
        </w:tc>
        <w:tc>
          <w:tcPr>
            <w:tcW w:w="4229" w:type="dxa"/>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评审通过准则</w:t>
            </w:r>
          </w:p>
        </w:tc>
        <w:tc>
          <w:tcPr>
            <w:tcW w:w="1958" w:type="dxa"/>
          </w:tcPr>
          <w:p>
            <w:pPr>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评审参与人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风险管理计划</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完成风险管理计划。</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风险分析</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完成《初始安全特征判定》、《危害判定和初始风险控制方案分析》。</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风险评价、风险控制</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完成《风险评价、风险控制措施记录表》中的风险评价、风险控制措施、采取措施后的风险分析评价及采取措施后是否引发新风险部分。</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风险控制措施验证</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对风险控制措施的有效性和风险控制措施的落实情况已进行验证，将结果填写在《风险评价、风险控制措施记录表》中。</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综合剩余风险的可接受性评价</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全部剩余风险都可接受，没有未记录在风险管理报告的危害，完成《综合剩余风险评价记录表》部分。</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试产阶段的风险评价</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试产阶段不产生新的安全性问题</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77"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生产和生产后信息</w:t>
            </w:r>
          </w:p>
        </w:tc>
        <w:tc>
          <w:tcPr>
            <w:tcW w:w="4229"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新增危害风险可接受且不影响综合剩余风险的可接受性</w:t>
            </w:r>
          </w:p>
        </w:tc>
        <w:tc>
          <w:tcPr>
            <w:tcW w:w="1958" w:type="dxa"/>
          </w:tcPr>
          <w:p>
            <w:p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风险管理小组</w:t>
            </w:r>
          </w:p>
        </w:tc>
      </w:tr>
    </w:tbl>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20" w:name="_Toc455069993"/>
      <w:r>
        <w:rPr>
          <w:rFonts w:hint="eastAsia" w:asciiTheme="minorEastAsia" w:hAnsiTheme="minorEastAsia" w:eastAsiaTheme="minorEastAsia" w:cstheme="minorEastAsia"/>
          <w:sz w:val="24"/>
          <w:szCs w:val="24"/>
        </w:rPr>
        <w:t>风险管理活动的评审要求</w:t>
      </w:r>
      <w:bookmarkEnd w:id="20"/>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评审小组的构成必须包括熟悉产品原理及功能的成员，熟悉产品制造的成员，以及熟悉产品应用的成员，以及法规工程师。评审组成员应对评审结果的正确性和有效性负责。各部门应配合评审组成员对与产品安全性有关的信息进行评审，为综合剩余风险的评价提供依据。</w:t>
      </w:r>
    </w:p>
    <w:p>
      <w:pPr>
        <w:pStyle w:val="23"/>
        <w:numPr>
          <w:ilvl w:val="0"/>
          <w:numId w:val="3"/>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风险管理计划是否已适当实施的验证，包括：</w:t>
      </w:r>
    </w:p>
    <w:p>
      <w:pPr>
        <w:pStyle w:val="23"/>
        <w:ind w:left="846"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根据以下和安全性有关的信息在产品的设计开发、工程化、试生产及产品生产与售后阶段进行评审：</w:t>
      </w:r>
    </w:p>
    <w:p>
      <w:pPr>
        <w:pStyle w:val="23"/>
        <w:numPr>
          <w:ilvl w:val="0"/>
          <w:numId w:val="4"/>
        </w:numPr>
        <w:ind w:left="1276"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是否有事先未知的危害出现；</w:t>
      </w:r>
    </w:p>
    <w:p>
      <w:pPr>
        <w:pStyle w:val="23"/>
        <w:numPr>
          <w:ilvl w:val="0"/>
          <w:numId w:val="4"/>
        </w:numPr>
        <w:ind w:left="1276"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是否有某项危害造成的已被估计的风险（一个或多个）不再是可接受的；</w:t>
      </w:r>
    </w:p>
    <w:p>
      <w:pPr>
        <w:pStyle w:val="23"/>
        <w:numPr>
          <w:ilvl w:val="0"/>
          <w:numId w:val="4"/>
        </w:numPr>
        <w:ind w:left="1276"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是否初始评定的其它方面已经失效；</w:t>
      </w:r>
    </w:p>
    <w:p>
      <w:pPr>
        <w:pStyle w:val="23"/>
        <w:numPr>
          <w:ilvl w:val="0"/>
          <w:numId w:val="4"/>
        </w:numPr>
        <w:ind w:left="1276" w:hanging="425"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产品综合剩余风险是否已降低至可接受水平或经过风险/受益分析判断为可接受。</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应对产品生产和生产后信息的获取方式进行评审，保持评审记录以证实风险管理计划的每个要素在产品特定的生命周期阶段已被适当的实施。</w:t>
      </w:r>
    </w:p>
    <w:p>
      <w:pPr>
        <w:pStyle w:val="23"/>
        <w:numPr>
          <w:ilvl w:val="0"/>
          <w:numId w:val="3"/>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风险管理活动效果验证</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评审组可通过收集临床资料及生产和生产后信息对风险管理实施效果进行验证以确保风险管理活动的有效性。</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21" w:name="_Toc455069996"/>
      <w:r>
        <w:rPr>
          <w:rFonts w:hint="eastAsia" w:asciiTheme="minorEastAsia" w:hAnsiTheme="minorEastAsia" w:eastAsiaTheme="minorEastAsia" w:cstheme="minorEastAsia"/>
          <w:sz w:val="24"/>
          <w:szCs w:val="24"/>
        </w:rPr>
        <w:t>风险分析</w:t>
      </w:r>
      <w:bookmarkEnd w:id="21"/>
    </w:p>
    <w:p>
      <w:pPr>
        <w:pStyle w:val="3"/>
        <w:spacing w:before="0" w:after="0" w:line="415" w:lineRule="auto"/>
        <w:rPr>
          <w:rFonts w:hint="eastAsia" w:asciiTheme="minorEastAsia" w:hAnsiTheme="minorEastAsia" w:eastAsiaTheme="minorEastAsia" w:cstheme="minorEastAsia"/>
          <w:sz w:val="24"/>
          <w:szCs w:val="24"/>
        </w:rPr>
      </w:pPr>
      <w:bookmarkStart w:id="22" w:name="_Toc424200025"/>
      <w:bookmarkStart w:id="23" w:name="_Toc455069998"/>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风险分析的内容</w:t>
      </w:r>
      <w:bookmarkEnd w:id="22"/>
      <w:bookmarkEnd w:id="23"/>
    </w:p>
    <w:p>
      <w:pPr>
        <w:spacing w:line="360" w:lineRule="auto"/>
        <w:ind w:left="420" w:hanging="360" w:hangingChars="1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1）可能的危害及危害事件序列</w:t>
      </w:r>
    </w:p>
    <w:p>
      <w:pPr>
        <w:spacing w:line="360" w:lineRule="auto"/>
        <w:ind w:left="420" w:hanging="360" w:hangingChars="1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2）危害发生及其引起损害的概率</w:t>
      </w:r>
    </w:p>
    <w:p>
      <w:pPr>
        <w:spacing w:line="360" w:lineRule="auto"/>
        <w:ind w:left="420" w:hanging="360" w:hangingChars="15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3）损害的严重度</w:t>
      </w:r>
    </w:p>
    <w:p>
      <w:pPr>
        <w:pStyle w:val="3"/>
        <w:spacing w:before="0" w:after="0" w:line="415" w:lineRule="auto"/>
        <w:rPr>
          <w:rFonts w:hint="eastAsia" w:asciiTheme="minorEastAsia" w:hAnsiTheme="minorEastAsia" w:eastAsiaTheme="minorEastAsia" w:cstheme="minorEastAsia"/>
          <w:sz w:val="24"/>
          <w:szCs w:val="24"/>
        </w:rPr>
      </w:pPr>
      <w:bookmarkStart w:id="24" w:name="_Toc424200026"/>
      <w:bookmarkStart w:id="25" w:name="_Toc455069999"/>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风险分析的方法</w:t>
      </w:r>
      <w:bookmarkEnd w:id="24"/>
      <w:bookmarkEnd w:id="25"/>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本项目风险分析方法包括《ISO14971：2007 医疗器械——风险管理对医疗器械的应用》中《附录G (提示性)风险管理技术资料》中的G.2“初步危害分析法”（PHA）和G.4“失效模式和效应分析法”（FMEA）。</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26" w:name="_Toc455070000"/>
      <w:r>
        <w:rPr>
          <w:rFonts w:hint="eastAsia" w:asciiTheme="minorEastAsia" w:hAnsiTheme="minorEastAsia" w:eastAsiaTheme="minorEastAsia" w:cstheme="minorEastAsia"/>
          <w:sz w:val="24"/>
          <w:szCs w:val="24"/>
        </w:rPr>
        <w:t>风险可接收性准则</w:t>
      </w:r>
      <w:bookmarkEnd w:id="26"/>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团队对经风险分析判断出的危害进行发生概率与损害严重度的分析，根据本计划确定的风险可接受准则判断风险的可接受性。以下是本产品确定的风险可接受准则，其中损害的严重度采用定性分析，损害发生的概率采用半定量分析，风险可接受性准则以4</w:t>
      </w:r>
      <w:r>
        <w:rPr>
          <w:rFonts w:hint="eastAsia" w:asciiTheme="minorEastAsia" w:hAnsiTheme="minorEastAsia" w:eastAsiaTheme="minorEastAsia" w:cstheme="minorEastAsia"/>
          <w:sz w:val="24"/>
          <w:szCs w:val="24"/>
        </w:rPr>
        <w:sym w:font="Symbol" w:char="F0B4"/>
      </w:r>
      <w:r>
        <w:rPr>
          <w:rFonts w:hint="eastAsia" w:asciiTheme="minorEastAsia" w:hAnsiTheme="minorEastAsia" w:eastAsiaTheme="minorEastAsia" w:cstheme="minorEastAsia"/>
          <w:sz w:val="24"/>
          <w:szCs w:val="24"/>
        </w:rPr>
        <w:t>6三分区矩阵图表示。</w:t>
      </w:r>
    </w:p>
    <w:p>
      <w:pPr>
        <w:pStyle w:val="3"/>
        <w:spacing w:beforeLines="50" w:afterLines="50" w:line="360" w:lineRule="auto"/>
        <w:rPr>
          <w:rFonts w:hint="eastAsia" w:asciiTheme="minorEastAsia" w:hAnsiTheme="minorEastAsia" w:eastAsiaTheme="minorEastAsia" w:cstheme="minorEastAsia"/>
          <w:sz w:val="24"/>
          <w:szCs w:val="24"/>
        </w:rPr>
      </w:pPr>
      <w:bookmarkStart w:id="27" w:name="_Toc455070001"/>
      <w:bookmarkStart w:id="28" w:name="_Toc424200028"/>
      <w:r>
        <w:rPr>
          <w:rFonts w:hint="eastAsia" w:asciiTheme="minorEastAsia" w:hAnsiTheme="minorEastAsia" w:eastAsiaTheme="minorEastAsia" w:cstheme="minorEastAsia"/>
          <w:sz w:val="24"/>
          <w:szCs w:val="24"/>
        </w:rPr>
        <w:t>7.1损害发生的概率等级</w:t>
      </w:r>
      <w:bookmarkEnd w:id="27"/>
      <w:bookmarkEnd w:id="28"/>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093"/>
        <w:gridCol w:w="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tcBorders>
              <w:bottom w:val="single" w:color="auto" w:sz="4" w:space="0"/>
            </w:tcBorders>
            <w:shd w:val="clear" w:color="auto" w:fill="C0C0C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等级名称</w:t>
            </w:r>
          </w:p>
        </w:tc>
        <w:tc>
          <w:tcPr>
            <w:tcW w:w="2095" w:type="dxa"/>
            <w:tcBorders>
              <w:bottom w:val="single" w:color="auto" w:sz="4" w:space="0"/>
            </w:tcBorders>
            <w:shd w:val="clear" w:color="auto" w:fill="C0C0C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代号</w:t>
            </w:r>
          </w:p>
        </w:tc>
        <w:tc>
          <w:tcPr>
            <w:tcW w:w="3591" w:type="dxa"/>
            <w:tcBorders>
              <w:bottom w:val="single" w:color="auto" w:sz="4" w:space="0"/>
            </w:tcBorders>
            <w:shd w:val="clear" w:color="auto" w:fill="C0C0C0"/>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频次（次数/年/单个产品）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频繁</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&gt;1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很可能</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1~10</w:t>
            </w:r>
            <w:r>
              <w:rPr>
                <w:rFonts w:hint="eastAsia" w:asciiTheme="minorEastAsia" w:hAnsiTheme="minorEastAsia" w:eastAsiaTheme="minorEastAsia" w:cstheme="minorEastAsia"/>
                <w:sz w:val="24"/>
                <w:szCs w:val="24"/>
                <w:vertAlign w:val="superscript"/>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偶然</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很少</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-2</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未必可能</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-4</w:t>
            </w: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vertAlign w:val="superscript"/>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43"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难以置信</w:t>
            </w:r>
          </w:p>
        </w:tc>
        <w:tc>
          <w:tcPr>
            <w:tcW w:w="209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3591" w:type="dxa"/>
            <w:shd w:val="clear" w:color="auto" w:fill="auto"/>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&lt;10</w:t>
            </w:r>
            <w:r>
              <w:rPr>
                <w:rFonts w:hint="eastAsia" w:asciiTheme="minorEastAsia" w:hAnsiTheme="minorEastAsia" w:eastAsiaTheme="minorEastAsia" w:cstheme="minorEastAsia"/>
                <w:sz w:val="24"/>
                <w:szCs w:val="24"/>
                <w:vertAlign w:val="superscript"/>
              </w:rPr>
              <w:t>-6</w:t>
            </w:r>
          </w:p>
        </w:tc>
      </w:tr>
    </w:tbl>
    <w:p>
      <w:pPr>
        <w:pStyle w:val="3"/>
        <w:spacing w:beforeLines="50" w:afterLines="50" w:line="360" w:lineRule="auto"/>
        <w:rPr>
          <w:rFonts w:hint="eastAsia" w:asciiTheme="minorEastAsia" w:hAnsiTheme="minorEastAsia" w:eastAsiaTheme="minorEastAsia" w:cstheme="minorEastAsia"/>
          <w:sz w:val="24"/>
          <w:szCs w:val="24"/>
        </w:rPr>
      </w:pPr>
      <w:bookmarkStart w:id="29" w:name="_Toc455070002"/>
      <w:bookmarkStart w:id="30" w:name="_Toc424200029"/>
      <w:r>
        <w:rPr>
          <w:rFonts w:hint="eastAsia" w:asciiTheme="minorEastAsia" w:hAnsiTheme="minorEastAsia" w:eastAsiaTheme="minorEastAsia" w:cstheme="minorEastAsia"/>
          <w:sz w:val="24"/>
          <w:szCs w:val="24"/>
        </w:rPr>
        <w:t>7.2损害的严重度</w:t>
      </w:r>
      <w:bookmarkEnd w:id="29"/>
      <w:bookmarkEnd w:id="30"/>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1701"/>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tcBorders>
              <w:bottom w:val="single" w:color="auto" w:sz="4" w:space="0"/>
            </w:tcBorders>
            <w:shd w:val="clear" w:color="auto" w:fill="C0C0C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等级名称</w:t>
            </w:r>
          </w:p>
        </w:tc>
        <w:tc>
          <w:tcPr>
            <w:tcW w:w="1701" w:type="dxa"/>
            <w:tcBorders>
              <w:bottom w:val="single" w:color="auto" w:sz="4" w:space="0"/>
            </w:tcBorders>
            <w:shd w:val="clear" w:color="auto" w:fill="C0C0C0"/>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代号</w:t>
            </w:r>
          </w:p>
        </w:tc>
        <w:tc>
          <w:tcPr>
            <w:tcW w:w="4586" w:type="dxa"/>
            <w:tcBorders>
              <w:bottom w:val="single" w:color="auto" w:sz="4" w:space="0"/>
            </w:tcBorders>
            <w:shd w:val="clear" w:color="auto" w:fill="C0C0C0"/>
            <w:vAlign w:val="center"/>
          </w:tcPr>
          <w:p>
            <w:pPr>
              <w:tabs>
                <w:tab w:val="left" w:pos="675"/>
              </w:tabs>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定性说明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可忽略</w:t>
            </w:r>
          </w:p>
        </w:tc>
        <w:tc>
          <w:tcPr>
            <w:tcW w:w="1701"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4586" w:type="dxa"/>
            <w:shd w:val="clear" w:color="auto" w:fill="auto"/>
            <w:vAlign w:val="center"/>
          </w:tcPr>
          <w:p>
            <w:pPr>
              <w:tabs>
                <w:tab w:val="left" w:pos="67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几乎没有或没有潜在伤害的可能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边际</w:t>
            </w:r>
          </w:p>
        </w:tc>
        <w:tc>
          <w:tcPr>
            <w:tcW w:w="1701"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4586" w:type="dxa"/>
            <w:shd w:val="clear" w:color="auto" w:fill="auto"/>
            <w:vAlign w:val="center"/>
          </w:tcPr>
          <w:p>
            <w:pPr>
              <w:tabs>
                <w:tab w:val="left" w:pos="67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潜在伤害可能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危重</w:t>
            </w:r>
          </w:p>
        </w:tc>
        <w:tc>
          <w:tcPr>
            <w:tcW w:w="1701"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4586" w:type="dxa"/>
            <w:shd w:val="clear" w:color="auto" w:fill="auto"/>
            <w:vAlign w:val="center"/>
          </w:tcPr>
          <w:p>
            <w:pPr>
              <w:tabs>
                <w:tab w:val="left" w:pos="67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潜在死亡或严重伤害可能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235"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灾难</w:t>
            </w:r>
          </w:p>
        </w:tc>
        <w:tc>
          <w:tcPr>
            <w:tcW w:w="1701" w:type="dxa"/>
            <w:shd w:val="clear" w:color="auto" w:fill="auto"/>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4586" w:type="dxa"/>
            <w:shd w:val="clear" w:color="auto" w:fill="auto"/>
            <w:vAlign w:val="center"/>
          </w:tcPr>
          <w:p>
            <w:pPr>
              <w:tabs>
                <w:tab w:val="left" w:pos="675"/>
              </w:tabs>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潜在多重死亡或严重伤害可能</w:t>
            </w:r>
          </w:p>
        </w:tc>
      </w:tr>
    </w:tbl>
    <w:p>
      <w:pPr>
        <w:pStyle w:val="3"/>
        <w:spacing w:before="0" w:after="0" w:line="415" w:lineRule="auto"/>
        <w:rPr>
          <w:rFonts w:hint="eastAsia" w:asciiTheme="minorEastAsia" w:hAnsiTheme="minorEastAsia" w:eastAsiaTheme="minorEastAsia" w:cstheme="minorEastAsia"/>
          <w:sz w:val="24"/>
          <w:szCs w:val="24"/>
        </w:rPr>
      </w:pPr>
      <w:bookmarkStart w:id="31" w:name="_Toc455070003"/>
      <w:bookmarkStart w:id="32" w:name="_Toc424200030"/>
      <w:r>
        <w:rPr>
          <w:rFonts w:hint="eastAsia" w:asciiTheme="minorEastAsia" w:hAnsiTheme="minorEastAsia" w:eastAsiaTheme="minorEastAsia" w:cstheme="minorEastAsia"/>
          <w:sz w:val="24"/>
          <w:szCs w:val="24"/>
        </w:rPr>
        <w:t>7.3可接受风险决策方法</w:t>
      </w:r>
      <w:bookmarkEnd w:id="31"/>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依据本计划中规定的风险可接受性准则，由风险管理团队对</w:t>
      </w:r>
      <w:r>
        <w:rPr>
          <w:rFonts w:hint="eastAsia" w:asciiTheme="minorEastAsia" w:hAnsiTheme="minorEastAsia" w:eastAsiaTheme="minorEastAsia" w:cstheme="minorEastAsia"/>
          <w:color w:val="FF0000"/>
          <w:sz w:val="24"/>
          <w:szCs w:val="24"/>
        </w:rPr>
        <w:t>XX</w:t>
      </w:r>
      <w:r>
        <w:rPr>
          <w:rFonts w:hint="eastAsia" w:asciiTheme="minorEastAsia" w:hAnsiTheme="minorEastAsia" w:eastAsiaTheme="minorEastAsia" w:cstheme="minorEastAsia"/>
          <w:sz w:val="24"/>
          <w:szCs w:val="24"/>
        </w:rPr>
        <w:t>产品相关危害在正常使用、可预见误用以及单一故障情况下可能导致的风险进行评审，评审时基于以下方法判断危害的严重程度：</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——使用已执行的有规定要求的适用标准；</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——已在使用的类似医疗器械的现场资料；</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——由典型使用者进行的适用性实验；</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——临床证据、适当的调研结果、科学技术资料、专家意见；</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——外部质量评定情况；</w:t>
      </w:r>
    </w:p>
    <w:p>
      <w:pPr>
        <w:ind w:firstLine="364" w:firstLineChars="15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对风险是否可接受进行决策时，必须以当前社会价值为基础。</w:t>
      </w:r>
    </w:p>
    <w:p>
      <w:pPr>
        <w:pStyle w:val="3"/>
        <w:spacing w:beforeLines="50" w:afterLines="50" w:line="360" w:lineRule="auto"/>
        <w:rPr>
          <w:rFonts w:hint="eastAsia" w:asciiTheme="minorEastAsia" w:hAnsiTheme="minorEastAsia" w:eastAsiaTheme="minorEastAsia" w:cstheme="minorEastAsia"/>
          <w:sz w:val="24"/>
          <w:szCs w:val="24"/>
        </w:rPr>
      </w:pPr>
      <w:bookmarkStart w:id="33" w:name="_Toc455070004"/>
      <w:r>
        <w:rPr>
          <w:rFonts w:hint="eastAsia" w:asciiTheme="minorEastAsia" w:hAnsiTheme="minorEastAsia" w:eastAsiaTheme="minorEastAsia" w:cstheme="minorEastAsia"/>
          <w:sz w:val="24"/>
          <w:szCs w:val="24"/>
        </w:rPr>
        <w:t>7.4风险评价</w:t>
      </w:r>
      <w:bookmarkEnd w:id="32"/>
      <w:bookmarkEnd w:id="33"/>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可使用概率等级和严重度对风险进行综合估计：（风险系数=严重度（S）×概率(P)）</w:t>
      </w:r>
    </w:p>
    <w:p>
      <w:pPr>
        <w:ind w:firstLine="480" w:firstLineChars="200"/>
        <w:rPr>
          <w:rFonts w:hint="eastAsia" w:asciiTheme="minorEastAsia" w:hAnsiTheme="minorEastAsia" w:eastAsiaTheme="minorEastAsia" w:cstheme="minorEastAsia"/>
          <w:sz w:val="24"/>
          <w:szCs w:val="24"/>
        </w:rPr>
      </w:pPr>
    </w:p>
    <w:tbl>
      <w:tblPr>
        <w:tblStyle w:val="14"/>
        <w:tblW w:w="851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8"/>
        <w:gridCol w:w="1565"/>
        <w:gridCol w:w="1456"/>
        <w:gridCol w:w="1276"/>
        <w:gridCol w:w="16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2568" w:type="dxa"/>
            <w:tcBorders>
              <w:left w:val="single" w:color="auto" w:sz="4" w:space="0"/>
              <w:bottom w:val="single" w:color="auto" w:sz="4" w:space="0"/>
              <w:right w:val="single" w:color="auto" w:sz="4" w:space="0"/>
              <w:tl2br w:val="single" w:color="auto" w:sz="4" w:space="0"/>
            </w:tcBorders>
          </w:tcPr>
          <w:p>
            <w:pPr>
              <w:spacing w:beforeLines="15" w:afterLines="15"/>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
                <w:sz w:val="24"/>
                <w:szCs w:val="24"/>
              </w:rPr>
              <w:t xml:space="preserve">  严重度</w:t>
            </w:r>
          </w:p>
          <w:p>
            <w:pPr>
              <w:spacing w:beforeLines="15" w:afterLines="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概率</w:t>
            </w:r>
          </w:p>
        </w:tc>
        <w:tc>
          <w:tcPr>
            <w:tcW w:w="1565" w:type="dxa"/>
            <w:tcBorders>
              <w:left w:val="single" w:color="auto" w:sz="4" w:space="0"/>
              <w:bottom w:val="single"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可忽略</w:t>
            </w:r>
          </w:p>
        </w:tc>
        <w:tc>
          <w:tcPr>
            <w:tcW w:w="1456" w:type="dxa"/>
            <w:tcBorders>
              <w:left w:val="single" w:color="auto" w:sz="4" w:space="0"/>
              <w:bottom w:val="single"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边际</w:t>
            </w:r>
          </w:p>
        </w:tc>
        <w:tc>
          <w:tcPr>
            <w:tcW w:w="1276" w:type="dxa"/>
            <w:tcBorders>
              <w:left w:val="single" w:color="auto" w:sz="4" w:space="0"/>
              <w:bottom w:val="single"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危重</w:t>
            </w:r>
          </w:p>
        </w:tc>
        <w:tc>
          <w:tcPr>
            <w:tcW w:w="1653" w:type="dxa"/>
            <w:tcBorders>
              <w:left w:val="single" w:color="auto" w:sz="4" w:space="0"/>
              <w:bottom w:val="single"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灾难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 频繁</w:t>
            </w:r>
          </w:p>
        </w:tc>
        <w:tc>
          <w:tcPr>
            <w:tcW w:w="1565" w:type="dxa"/>
            <w:tcBorders>
              <w:top w:val="single"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456" w:type="dxa"/>
            <w:tcBorders>
              <w:top w:val="single"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c>
          <w:tcPr>
            <w:tcW w:w="1276" w:type="dxa"/>
            <w:tcBorders>
              <w:top w:val="single"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c>
          <w:tcPr>
            <w:tcW w:w="1653" w:type="dxa"/>
            <w:tcBorders>
              <w:top w:val="single"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 很可能</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 偶然</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N / ACC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 很少</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bottom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未必可能</w:t>
            </w:r>
          </w:p>
        </w:tc>
        <w:tc>
          <w:tcPr>
            <w:tcW w:w="1565" w:type="dxa"/>
            <w:tcBorders>
              <w:top w:val="dashSmallGap" w:color="auto" w:sz="4" w:space="0"/>
              <w:left w:val="single"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45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276" w:type="dxa"/>
            <w:tcBorders>
              <w:top w:val="dashSmallGap" w:color="auto" w:sz="4" w:space="0"/>
              <w:left w:val="dashSmallGap" w:color="auto" w:sz="4" w:space="0"/>
              <w:bottom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653" w:type="dxa"/>
            <w:tcBorders>
              <w:top w:val="dashSmallGap" w:color="auto" w:sz="4" w:space="0"/>
              <w:left w:val="dashSmallGap" w:color="auto" w:sz="4" w:space="0"/>
              <w:bottom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2568" w:type="dxa"/>
            <w:tcBorders>
              <w:top w:val="single" w:color="auto" w:sz="4" w:space="0"/>
              <w:left w:val="single" w:color="auto" w:sz="4" w:space="0"/>
              <w:right w:val="single" w:color="auto" w:sz="4" w:space="0"/>
            </w:tcBorders>
            <w:vAlign w:val="center"/>
          </w:tcPr>
          <w:p>
            <w:pPr>
              <w:spacing w:beforeLines="15" w:afterLines="15"/>
              <w:ind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难以置信</w:t>
            </w:r>
          </w:p>
        </w:tc>
        <w:tc>
          <w:tcPr>
            <w:tcW w:w="1565" w:type="dxa"/>
            <w:tcBorders>
              <w:top w:val="dashSmallGap" w:color="auto" w:sz="4" w:space="0"/>
              <w:left w:val="single"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456" w:type="dxa"/>
            <w:tcBorders>
              <w:top w:val="dashSmallGap" w:color="auto" w:sz="4" w:space="0"/>
              <w:left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276" w:type="dxa"/>
            <w:tcBorders>
              <w:top w:val="dashSmallGap" w:color="auto" w:sz="4" w:space="0"/>
              <w:left w:val="dashSmallGap" w:color="auto" w:sz="4" w:space="0"/>
              <w:right w:val="dashSmallGap"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c>
          <w:tcPr>
            <w:tcW w:w="1653" w:type="dxa"/>
            <w:tcBorders>
              <w:top w:val="dashSmallGap" w:color="auto" w:sz="4" w:space="0"/>
              <w:left w:val="dashSmallGap" w:color="auto" w:sz="4" w:space="0"/>
              <w:right w:val="single" w:color="auto" w:sz="4" w:space="0"/>
            </w:tcBorders>
            <w:vAlign w:val="center"/>
          </w:tcPr>
          <w:p>
            <w:pPr>
              <w:spacing w:beforeLines="15" w:afterLines="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ACC</w:t>
            </w:r>
          </w:p>
        </w:tc>
      </w:tr>
    </w:tbl>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说明：N/ACC: 不经过风险/受益分析即判定为不可接受风险。</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 (ALARP)：合理可降低的风险。</w:t>
      </w:r>
    </w:p>
    <w:p>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ACC: 广泛可接受风险。</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经过风险分析和风险评价过程判断出的产品所有的风险均应采取合理可行的措施降至可接受区。当所有风险控制措施已经实施并验证后，应根据本准则判断由产品造成的剩余风险的可接受性。当剩余风险被判断为不可接受时，应收集和评审有关预期用途、预期目的的医疗受益的资料和文献，对剩余风险进行风险/受益分析。如果受益大于风险，则该风险还是可接受的，如果风险大于受益则设计应放弃。</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损害概率不能加以估计的危害处境，应编写一个危害的可能后果清单以用于风险评价和风险控制，采取合理可行降低法将风险降低到合理可行的最低水平，对于无法降低的风险进行风险/受益分析，如果受益大于风险，则该危害可接受，如果风险大于受益，则风险不可接受。受益必须大于风险，才能判定为可接受。</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在可接受区，风险是很低的，但是还应主动采取可行的措施将风险降至最低。</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34" w:name="_Toc455070005"/>
      <w:r>
        <w:rPr>
          <w:rFonts w:hint="eastAsia" w:asciiTheme="minorEastAsia" w:hAnsiTheme="minorEastAsia" w:eastAsiaTheme="minorEastAsia" w:cstheme="minorEastAsia"/>
          <w:sz w:val="24"/>
          <w:szCs w:val="24"/>
        </w:rPr>
        <w:t>风险控制</w:t>
      </w:r>
      <w:bookmarkEnd w:id="34"/>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对于经判断为不可接受的风险，应在设计开发阶段从以下几个方面进行风险控制方案分析，识别一个或多个风险控制措施，以把风险降低到可接受水平。</w:t>
      </w:r>
    </w:p>
    <w:p>
      <w:pPr>
        <w:pStyle w:val="23"/>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1）用设计方法取得固有安全性</w:t>
      </w:r>
    </w:p>
    <w:p>
      <w:pPr>
        <w:pStyle w:val="23"/>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--消除特定的危害；</w:t>
      </w:r>
    </w:p>
    <w:p>
      <w:pPr>
        <w:pStyle w:val="23"/>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--降低损害的发生概率；</w:t>
      </w:r>
    </w:p>
    <w:p>
      <w:pPr>
        <w:pStyle w:val="23"/>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--降低损害的严重度。</w:t>
      </w:r>
    </w:p>
    <w:p>
      <w:pPr>
        <w:pStyle w:val="23"/>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2）在产品本身或在制造过程中的防护措施。</w:t>
      </w:r>
    </w:p>
    <w:p>
      <w:pPr>
        <w:pStyle w:val="23"/>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3）安全信息</w:t>
      </w:r>
    </w:p>
    <w:p>
      <w:pPr>
        <w:pStyle w:val="23"/>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--在产品随附文件中给出警告、使用说明；</w:t>
      </w:r>
    </w:p>
    <w:p>
      <w:pPr>
        <w:pStyle w:val="23"/>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--限制医疗器械的使用或限制使用环境；</w:t>
      </w:r>
    </w:p>
    <w:p>
      <w:pPr>
        <w:pStyle w:val="23"/>
        <w:spacing w:line="360" w:lineRule="auto"/>
        <w:ind w:left="450"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--对操作者进行培训。</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在产品试生产或生产阶段，对产品制造过程进行控制，如运用HACCP技术。（危害分析和关键控制点）</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如果经方案分析确定所需的风险降低是不可行的，则各部门应收集相关资料对剩余风险进行风险/受益分析，若经评审所收集的资料和文献不支持受益大于风险，则设计应放弃。</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各部门应确保经判定的危害处境产生的一个或多个风险得到了考虑，保证风险控制的完整性。</w:t>
      </w:r>
    </w:p>
    <w:p>
      <w:pPr>
        <w:ind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在风险控制方案实施中或实施后，应对实施效果进行验证，以确定控制措施的适应性和有效性，对任何剩余风险都应采取本计划中第4条的风险可接受准则进行评价，对判断为不可接受的应采取进一步的风险控制措施，如果控制措施不可行，则应收集和评审相关的资料和文献对剩余风险进行风险/受益分析，若受益大于风险，则剩余风险依然是可接收到，如果风险大于受益，则为不可接受。对于判断为可接受的剩余风险，、销售部应配合技术部决定那些剩余风险应予以公开，依据ISO14971附件J的指南公开哪些剩余风险。同时对控制措施的实施是否会引起的一个或多个新的风险或对采取措施之前评价的风险是否有影响进行分析，必要时进行再次风险分析、风险评价和风险控制，所采取活动的结果应进行记录并保持，此过程预期30个月</w:t>
      </w:r>
      <w:r>
        <w:rPr>
          <w:rFonts w:hint="eastAsia" w:asciiTheme="minorEastAsia" w:hAnsiTheme="minorEastAsia" w:eastAsiaTheme="minorEastAsia" w:cstheme="minorEastAsia"/>
          <w:sz w:val="24"/>
          <w:szCs w:val="24"/>
          <w:lang w:val="en-US"/>
        </w:rPr>
        <w:t>.</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35" w:name="_Toc455070006"/>
      <w:r>
        <w:rPr>
          <w:rFonts w:hint="eastAsia" w:asciiTheme="minorEastAsia" w:hAnsiTheme="minorEastAsia" w:eastAsiaTheme="minorEastAsia" w:cstheme="minorEastAsia"/>
          <w:sz w:val="24"/>
          <w:szCs w:val="24"/>
        </w:rPr>
        <w:t>验证活动</w:t>
      </w:r>
      <w:bookmarkEnd w:id="35"/>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应确保经判定的危害处境产生的一个或多个风险得到了考虑，并保证所有已评价的风险已通过合理可行的措施降低至可接受水平，保证风险控制的完整性。</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风险管理评审小组负责对风险管理计划的实施情况进行验证，以查看风险管理文档的方式查看风险分析、风险评价、风险控制等记录，确保风险管理计划中策划的风险管理活动已得到适当的实施。</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风险控制方案实施中或实施后，应对实施效果进行验证，可通过收集临床资料及生产和生产后信息对风险管理实施效果进行验证以确保风险管理活动的有效性。同时对控制措施的实施是否会引起的一个或多个新的风险或对采取措施之前评价的风险是否有影响进行分析，必要时进行再次风险分析、风险评价和风险控制。</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综合剩余风险分析</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所有风险控制措施已经实施并验证后，各部门应考虑是否所有由该产品造成的综合剩余风险依据本计划中第4条的准则判断是可接受的，如果判断为不可接受，则各部门应收集和评审有关资料和文献，以便决定预期用途的医疗受益是否超过综合剩余风险，如果上述证据支持医疗受益超过综合剩余风险的结论，则综合剩余风险是可接受的，否则综合剩余风险任然是不可接受的。</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各部门可以参考一下的一些方法评价综合剩余风险</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1）事件树分析法：对单个风险进行共同研究，以便确定综合剩余风险是否可以接受；</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2）故障树分析：同一种损害可能是由不同概率的危害处境造成的，该方法可以导出损害的结合概率；</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3）对单个风险控制措施进行综合评审：对单个风险是适宜的风险控制措施可能产生相互矛盾的要求；</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4）警告的评审：单个警告可能提供风险降低，但过多的警告可能降低警告的效果；</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5）评审操作说明书：对产品全部操作说明书的评审可能检出信息是不一致的，或者难以遵守的；</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6）比较风险：将整理过的单个剩余风险和类似现有的产品考虑不同使用情形下的风险进行逐个比较，尤其是最新的不良事件。</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各部门应决定哪些综合剩余风险应依据ISO14971附录J予以公布，应保持综合剩余风险的评价结果记录，此过程预期3个月。</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36" w:name="_Toc455070008"/>
      <w:r>
        <w:rPr>
          <w:rFonts w:hint="eastAsia" w:asciiTheme="minorEastAsia" w:hAnsiTheme="minorEastAsia" w:eastAsiaTheme="minorEastAsia" w:cstheme="minorEastAsia"/>
          <w:sz w:val="24"/>
          <w:szCs w:val="24"/>
        </w:rPr>
        <w:t>生产和生产后信息</w:t>
      </w:r>
      <w:bookmarkEnd w:id="36"/>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产品开发完成投入生产的过程中，要密切关注该产品的生产以及原材料的采购，各部门如果得到有关同类或类似产品中可能与安全有关的信息后，需要立即反馈研发部，研发部应对这些信息作出及时的评价，包括的评价有：</w:t>
      </w:r>
    </w:p>
    <w:p>
      <w:pPr>
        <w:pStyle w:val="23"/>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是否有事先未认知的危害出现；</w:t>
      </w:r>
    </w:p>
    <w:p>
      <w:pPr>
        <w:pStyle w:val="23"/>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是否有某项危害造成的已被估计的一个或多个风险不再是可以接受的；</w:t>
      </w:r>
    </w:p>
    <w:p>
      <w:pPr>
        <w:pStyle w:val="23"/>
        <w:numPr>
          <w:ilvl w:val="0"/>
          <w:numId w:val="5"/>
        </w:numPr>
        <w:spacing w:line="360" w:lineRule="auto"/>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初始评定是否无效。</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果上述条件之一满足，则应作为风险管理过程的输入，考虑对医疗器械风险管理过程的适当阶段进行评审。如果一个或多个剩余风险或其可接受性已有潜在的变化，应对已实施的风险控制措施的影响进行重新评价。如果有新的风险产生，应对已销售产品进行评估，和给出适当的处理措施。评价的结果记录在风险管理报告中。</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37" w:name="_Toc455070009"/>
      <w:bookmarkStart w:id="38" w:name="_Toc451939590"/>
      <w:r>
        <w:rPr>
          <w:rFonts w:hint="eastAsia" w:asciiTheme="minorEastAsia" w:hAnsiTheme="minorEastAsia" w:eastAsiaTheme="minorEastAsia" w:cstheme="minorEastAsia"/>
          <w:sz w:val="24"/>
          <w:szCs w:val="24"/>
        </w:rPr>
        <w:t>年度风险分析</w:t>
      </w:r>
      <w:bookmarkEnd w:id="37"/>
      <w:bookmarkEnd w:id="38"/>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投入生产上市后，按年度进行风险分析，对产品生产中的各个环节、及客户要求与反馈进行整体评估，并形成年度风险分析报告。在进行年度风险分析时，应考虑由医疗器械的操作者、使用者或医疗器械安装、使用和维护人员所产生信息的收集和处理机制，还应考虑新的或者修订的标准要求。</w:t>
      </w:r>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有新的资料/数据可供应用时，应考虑核查已做出的风险分析报告，若必要，进行一次新的风险分析。因为快速发展的技术有可能消除、增加或降低任一特定危害的风险。随着时间的推移，风险有可能发生变化，依据新的资料/数据，新的风险也可能出现。</w:t>
      </w:r>
    </w:p>
    <w:p>
      <w:pPr>
        <w:pStyle w:val="2"/>
        <w:numPr>
          <w:ilvl w:val="0"/>
          <w:numId w:val="2"/>
        </w:numPr>
        <w:spacing w:before="0" w:after="0" w:line="360" w:lineRule="auto"/>
        <w:ind w:left="448" w:hanging="448"/>
        <w:rPr>
          <w:rFonts w:hint="eastAsia" w:asciiTheme="minorEastAsia" w:hAnsiTheme="minorEastAsia" w:eastAsiaTheme="minorEastAsia" w:cstheme="minorEastAsia"/>
          <w:sz w:val="24"/>
          <w:szCs w:val="24"/>
        </w:rPr>
      </w:pPr>
      <w:bookmarkStart w:id="39" w:name="_Toc455070010"/>
      <w:r>
        <w:rPr>
          <w:rFonts w:hint="eastAsia" w:asciiTheme="minorEastAsia" w:hAnsiTheme="minorEastAsia" w:eastAsiaTheme="minorEastAsia" w:cstheme="minorEastAsia"/>
          <w:sz w:val="24"/>
          <w:szCs w:val="24"/>
        </w:rPr>
        <w:t>风险管理报告</w:t>
      </w:r>
      <w:bookmarkEnd w:id="39"/>
    </w:p>
    <w:p>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在产品上市销售前，各部门应配合研发部完成对风险管理过程的评审，评审要求见本计划，评审的结果最终以风险管理报告的方式给出。</w:t>
      </w:r>
    </w:p>
    <w:p>
      <w:pPr>
        <w:ind w:firstLine="480" w:firstLineChars="200"/>
        <w:rPr>
          <w:rFonts w:hint="eastAsia" w:asciiTheme="minorEastAsia" w:hAnsiTheme="minorEastAsia" w:eastAsiaTheme="minorEastAsia" w:cstheme="minorEastAsia"/>
          <w:sz w:val="24"/>
          <w:szCs w:val="24"/>
        </w:rPr>
      </w:pPr>
    </w:p>
    <w:p>
      <w:pPr>
        <w:ind w:firstLine="480" w:firstLineChars="200"/>
        <w:rPr>
          <w:rFonts w:hint="eastAsia" w:asciiTheme="minorEastAsia" w:hAnsiTheme="minorEastAsia" w:eastAsiaTheme="minorEastAsia" w:cstheme="minorEastAsia"/>
          <w:sz w:val="24"/>
          <w:szCs w:val="24"/>
        </w:rPr>
      </w:pPr>
    </w:p>
    <w:p/>
    <w:p/>
    <w:p>
      <w:pPr>
        <w:jc w:val="left"/>
        <w:rPr>
          <w:rFonts w:ascii="黑体" w:eastAsia="黑体"/>
          <w:color w:val="FF0000"/>
          <w:szCs w:val="21"/>
        </w:rPr>
      </w:pPr>
      <w:r>
        <w:rPr>
          <w:rFonts w:ascii="宋体" w:hAnsi="宋体" w:eastAsia="宋体" w:cs="宋体"/>
          <w:color w:val="FF0000"/>
          <w:sz w:val="24"/>
          <w:szCs w:val="24"/>
        </w:rPr>
        <w:t>免责声明：</w:t>
      </w:r>
      <w:r>
        <w:rPr>
          <w:rFonts w:ascii="宋体" w:hAnsi="宋体" w:eastAsia="宋体" w:cs="宋体"/>
          <w:color w:val="FF0000"/>
          <w:sz w:val="24"/>
          <w:szCs w:val="24"/>
        </w:rPr>
        <w:br w:type="textWrapping"/>
      </w:r>
      <w:r>
        <w:rPr>
          <w:rFonts w:ascii="宋体" w:hAnsi="宋体" w:eastAsia="宋体" w:cs="宋体"/>
          <w:color w:val="FF0000"/>
          <w:sz w:val="24"/>
          <w:szCs w:val="24"/>
        </w:rPr>
        <w:t>该文件仅为相关流程记录表单的样式，内容仅根据当前法规相关流程进行编写，仅供参考使用。</w:t>
      </w:r>
      <w:r>
        <w:rPr>
          <w:rFonts w:ascii="宋体" w:hAnsi="宋体" w:eastAsia="宋体" w:cs="宋体"/>
          <w:color w:val="FF0000"/>
          <w:sz w:val="24"/>
          <w:szCs w:val="24"/>
        </w:rPr>
        <w:br w:type="textWrapping"/>
      </w:r>
      <w:r>
        <w:rPr>
          <w:rFonts w:ascii="宋体" w:hAnsi="宋体" w:eastAsia="宋体" w:cs="宋体"/>
          <w:color w:val="FF0000"/>
          <w:sz w:val="24"/>
          <w:szCs w:val="24"/>
        </w:rPr>
        <w:t>企业直接采用不代表合规，请根据企业补充、细化和调整后的相关流程进行调整后使用，确保最终产生的体系运行记录能够证明质量管理体系的合规性、有效性。</w:t>
      </w:r>
    </w:p>
    <w:p/>
    <w:p>
      <w:pPr>
        <w:ind w:firstLine="480" w:firstLineChars="200"/>
        <w:rPr>
          <w:rFonts w:hint="eastAsia" w:asciiTheme="minorEastAsia" w:hAnsiTheme="minorEastAsia" w:eastAsiaTheme="minorEastAsia" w:cstheme="minorEastAsia"/>
          <w:sz w:val="24"/>
          <w:szCs w:val="24"/>
        </w:rPr>
      </w:pPr>
    </w:p>
    <w:sectPr>
      <w:headerReference r:id="rId9"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文本框 3"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r>
      <w:rPr>
        <w:rFonts w:hint="eastAsia"/>
      </w:rPr>
      <w:t xml:space="preserve">专业带去价值，服务赢来美誉!                   </w:t>
    </w:r>
    <w:r>
      <w:rPr>
        <w:rFonts w:hint="eastAsia"/>
        <w:lang w:val="en-US" w:eastAsia="zh-CN"/>
      </w:rPr>
      <w:t xml:space="preserve">            </w:t>
    </w:r>
    <w:r>
      <w:rPr>
        <w:rFonts w:hint="eastAsia"/>
      </w:rPr>
      <w:t xml:space="preserve">   模板仅供参考，请以法规要求为准。</w: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path/>
          <v:fill on="f" focussize="0,0"/>
          <v:stroke on="f" weight="0.5pt"/>
          <v:imagedata o:title=""/>
          <o:lock v:ext="edit" aspectratio="f"/>
          <v:textbox inset="0mm,0mm,0mm,0mm" style="mso-fit-shape-to-text:t;">
            <w:txbxContent>
              <w:p>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w:r>
    <w:r>
      <w:rPr>
        <w:rFonts w:hint="eastAsia"/>
      </w:rPr>
      <w:t xml:space="preserve">专业带去价值，服务赢来美誉!                   </w:t>
    </w:r>
    <w:r>
      <w:rPr>
        <w:rFonts w:hint="eastAsia"/>
        <w:lang w:val="en-US" w:eastAsia="zh-CN"/>
      </w:rPr>
      <w:t xml:space="preserve">                </w:t>
    </w:r>
    <w:r>
      <w:rPr>
        <w:rFonts w:hint="eastAsia"/>
      </w:rPr>
      <w:t xml:space="preserve"> 模板仅供参考，请以法规要求为准。</w:t>
    </w:r>
    <w:bookmarkStart w:id="40" w:name="_GoBack"/>
    <w:bookmarkEnd w:id="40"/>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742950" cy="571500"/>
          <wp:effectExtent l="0" t="0" r="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
                  <a:stretch>
                    <a:fillRect/>
                  </a:stretch>
                </pic:blipFill>
                <pic:spPr>
                  <a:xfrm>
                    <a:off x="0" y="0"/>
                    <a:ext cx="742950" cy="571500"/>
                  </a:xfrm>
                  <a:prstGeom prst="rect">
                    <a:avLst/>
                  </a:prstGeom>
                  <a:noFill/>
                  <a:ln w="9525">
                    <a:noFill/>
                  </a:ln>
                </pic:spPr>
              </pic:pic>
            </a:graphicData>
          </a:graphic>
        </wp:inline>
      </w:drawing>
    </w:r>
    <w:r>
      <w:rPr>
        <w:rFonts w:hint="eastAsia" w:ascii="宋体" w:hAnsi="宋体" w:cs="宋体"/>
        <w:kern w:val="0"/>
        <w:sz w:val="24"/>
        <w:szCs w:val="24"/>
        <w:lang w:val="en-US" w:eastAsia="zh-CN" w:bidi="ar"/>
      </w:rPr>
      <w:t xml:space="preserve"> </w:t>
    </w:r>
    <w:r>
      <w:rPr>
        <w:rFonts w:hint="eastAsia"/>
      </w:rPr>
      <w:t xml:space="preserve">医械企业一站式知识平台！   </w:t>
    </w:r>
    <w:r>
      <w:rPr>
        <w:rFonts w:hint="eastAsia"/>
        <w:lang w:val="en-US" w:eastAsia="zh-CN"/>
      </w:rPr>
      <w:t xml:space="preserve">      </w:t>
    </w:r>
    <w:r>
      <w:rPr>
        <w:rFonts w:hint="eastAsia"/>
      </w:rPr>
      <w:t xml:space="preserve">              联系龙德获取更多知识!</w:t>
    </w:r>
  </w:p>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742950" cy="571500"/>
          <wp:effectExtent l="0" t="0" r="0" b="0"/>
          <wp:docPr id="3"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6"/>
                  <pic:cNvPicPr>
                    <a:picLocks noChangeAspect="1"/>
                  </pic:cNvPicPr>
                </pic:nvPicPr>
                <pic:blipFill>
                  <a:blip r:embed="rId1"/>
                  <a:stretch>
                    <a:fillRect/>
                  </a:stretch>
                </pic:blipFill>
                <pic:spPr>
                  <a:xfrm>
                    <a:off x="0" y="0"/>
                    <a:ext cx="742950" cy="571500"/>
                  </a:xfrm>
                  <a:prstGeom prst="rect">
                    <a:avLst/>
                  </a:prstGeom>
                  <a:noFill/>
                  <a:ln w="9525">
                    <a:noFill/>
                  </a:ln>
                </pic:spPr>
              </pic:pic>
            </a:graphicData>
          </a:graphic>
        </wp:inline>
      </w:drawing>
    </w:r>
    <w:r>
      <w:rPr>
        <w:rFonts w:hint="eastAsia" w:ascii="宋体" w:hAnsi="宋体" w:cs="宋体"/>
        <w:kern w:val="0"/>
        <w:sz w:val="24"/>
        <w:szCs w:val="24"/>
        <w:lang w:val="en-US" w:eastAsia="zh-CN" w:bidi="ar"/>
      </w:rPr>
      <w:t xml:space="preserve"> </w:t>
    </w:r>
    <w:r>
      <w:rPr>
        <w:rFonts w:hint="eastAsia"/>
      </w:rPr>
      <w:t xml:space="preserve">医械企业一站式知识平台！   </w:t>
    </w:r>
    <w:r>
      <w:rPr>
        <w:rFonts w:hint="eastAsia"/>
        <w:lang w:val="en-US" w:eastAsia="zh-CN"/>
      </w:rPr>
      <w:t xml:space="preserve">      </w:t>
    </w:r>
    <w:r>
      <w:rPr>
        <w:rFonts w:hint="eastAsia"/>
      </w:rPr>
      <w:t xml:space="preserve">              联系龙德获取更多知识!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widowControl/>
      <w:suppressLineNumbers w:val="0"/>
      <w:jc w:val="left"/>
      <w:rPr>
        <w:rFonts w:hint="eastAsia"/>
      </w:rPr>
    </w:pPr>
    <w:r>
      <w:rPr>
        <w:rFonts w:ascii="宋体" w:hAnsi="宋体" w:eastAsia="宋体" w:cs="宋体"/>
        <w:kern w:val="0"/>
        <w:sz w:val="24"/>
        <w:szCs w:val="24"/>
        <w:lang w:val="en-US" w:eastAsia="zh-CN" w:bidi="ar"/>
      </w:rPr>
      <w:drawing>
        <wp:inline distT="0" distB="0" distL="114300" distR="114300">
          <wp:extent cx="742950" cy="5715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
                  <a:stretch>
                    <a:fillRect/>
                  </a:stretch>
                </pic:blipFill>
                <pic:spPr>
                  <a:xfrm>
                    <a:off x="0" y="0"/>
                    <a:ext cx="742950" cy="571500"/>
                  </a:xfrm>
                  <a:prstGeom prst="rect">
                    <a:avLst/>
                  </a:prstGeom>
                  <a:noFill/>
                  <a:ln w="9525">
                    <a:noFill/>
                  </a:ln>
                </pic:spPr>
              </pic:pic>
            </a:graphicData>
          </a:graphic>
        </wp:inline>
      </w:drawing>
    </w:r>
    <w:r>
      <w:rPr>
        <w:rFonts w:hint="eastAsia" w:ascii="宋体" w:hAnsi="宋体" w:cs="宋体"/>
        <w:kern w:val="0"/>
        <w:sz w:val="24"/>
        <w:szCs w:val="24"/>
        <w:lang w:val="en-US" w:eastAsia="zh-CN" w:bidi="ar"/>
      </w:rPr>
      <w:t xml:space="preserve"> </w:t>
    </w:r>
    <w:r>
      <w:rPr>
        <w:rFonts w:hint="eastAsia"/>
      </w:rPr>
      <w:t xml:space="preserve">医械企业一站式知识平台！   </w:t>
    </w:r>
    <w:r>
      <w:rPr>
        <w:rFonts w:hint="eastAsia"/>
        <w:lang w:val="en-US" w:eastAsia="zh-CN"/>
      </w:rPr>
      <w:t xml:space="preserve">      </w:t>
    </w:r>
    <w:r>
      <w:rPr>
        <w:rFonts w:hint="eastAsia"/>
      </w:rPr>
      <w:t xml:space="preserve">              联系龙德获取更多知识!</w:t>
    </w:r>
  </w:p>
  <w:p>
    <w:pPr>
      <w:keepNext w:val="0"/>
      <w:keepLines w:val="0"/>
      <w:widowControl/>
      <w:suppressLineNumbers w:val="0"/>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B223F9"/>
    <w:multiLevelType w:val="multilevel"/>
    <w:tmpl w:val="09B223F9"/>
    <w:lvl w:ilvl="0" w:tentative="0">
      <w:start w:val="1"/>
      <w:numFmt w:val="decimal"/>
      <w:lvlText w:val="第%1章."/>
      <w:lvlJc w:val="left"/>
      <w:pPr>
        <w:ind w:left="0" w:firstLine="0"/>
      </w:pPr>
      <w:rPr>
        <w:rFonts w:hint="eastAsia"/>
        <w:sz w:val="44"/>
        <w:szCs w:val="44"/>
      </w:rPr>
    </w:lvl>
    <w:lvl w:ilvl="1" w:tentative="0">
      <w:start w:val="1"/>
      <w:numFmt w:val="none"/>
      <w:suff w:val="nothing"/>
      <w:lvlText w:val=""/>
      <w:lvlJc w:val="left"/>
      <w:pPr>
        <w:ind w:left="0" w:firstLine="0"/>
      </w:pPr>
    </w:lvl>
    <w:lvl w:ilvl="2" w:tentative="0">
      <w:start w:val="1"/>
      <w:numFmt w:val="decimal"/>
      <w:pStyle w:val="4"/>
      <w:lvlText w:val="%3)"/>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1A7B0646"/>
    <w:multiLevelType w:val="multilevel"/>
    <w:tmpl w:val="1A7B0646"/>
    <w:lvl w:ilvl="0" w:tentative="0">
      <w:start w:val="1"/>
      <w:numFmt w:val="decimal"/>
      <w:lvlText w:val="%1、"/>
      <w:lvlJc w:val="left"/>
      <w:pPr>
        <w:ind w:left="450" w:hanging="450"/>
      </w:pPr>
      <w:rPr>
        <w:rFonts w:hint="default"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28210A0"/>
    <w:multiLevelType w:val="multilevel"/>
    <w:tmpl w:val="228210A0"/>
    <w:lvl w:ilvl="0" w:tentative="0">
      <w:start w:val="1"/>
      <w:numFmt w:val="decimal"/>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3">
    <w:nsid w:val="6E697231"/>
    <w:multiLevelType w:val="multilevel"/>
    <w:tmpl w:val="6E697231"/>
    <w:lvl w:ilvl="0" w:tentative="0">
      <w:start w:val="1"/>
      <w:numFmt w:val="lowerLetter"/>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4">
    <w:nsid w:val="731F4FB1"/>
    <w:multiLevelType w:val="multilevel"/>
    <w:tmpl w:val="731F4FB1"/>
    <w:lvl w:ilvl="0" w:tentative="0">
      <w:start w:val="1"/>
      <w:numFmt w:val="decimal"/>
      <w:lvlText w:val="%1)"/>
      <w:lvlJc w:val="left"/>
      <w:pPr>
        <w:ind w:left="420" w:hanging="420"/>
      </w:pPr>
      <w:rPr>
        <w:rFonts w:asciiTheme="minorEastAsia" w:hAnsiTheme="minorEastAsia" w:eastAsiaTheme="minor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mRhZDRiYTc0MWIyMDZlYjJkOTg5ZGRjYTYzZDE4NmQifQ=="/>
  </w:docVars>
  <w:rsids>
    <w:rsidRoot w:val="00E848D2"/>
    <w:rsid w:val="00001E8F"/>
    <w:rsid w:val="000D44C5"/>
    <w:rsid w:val="00242C82"/>
    <w:rsid w:val="002D42D7"/>
    <w:rsid w:val="00315F01"/>
    <w:rsid w:val="00361A78"/>
    <w:rsid w:val="00361D9B"/>
    <w:rsid w:val="0036213B"/>
    <w:rsid w:val="003B0E4D"/>
    <w:rsid w:val="003F1ED0"/>
    <w:rsid w:val="003F48D6"/>
    <w:rsid w:val="00497500"/>
    <w:rsid w:val="004E1861"/>
    <w:rsid w:val="0051326D"/>
    <w:rsid w:val="00542882"/>
    <w:rsid w:val="00551F6C"/>
    <w:rsid w:val="005E3FDB"/>
    <w:rsid w:val="00621D71"/>
    <w:rsid w:val="006600DA"/>
    <w:rsid w:val="00681F69"/>
    <w:rsid w:val="00695D07"/>
    <w:rsid w:val="006F52E7"/>
    <w:rsid w:val="007161D5"/>
    <w:rsid w:val="007507CC"/>
    <w:rsid w:val="007542A6"/>
    <w:rsid w:val="007C750D"/>
    <w:rsid w:val="008265B5"/>
    <w:rsid w:val="00850B20"/>
    <w:rsid w:val="008F5F40"/>
    <w:rsid w:val="00905002"/>
    <w:rsid w:val="00912062"/>
    <w:rsid w:val="00933AFC"/>
    <w:rsid w:val="00983902"/>
    <w:rsid w:val="00996D9B"/>
    <w:rsid w:val="00A96323"/>
    <w:rsid w:val="00B14F47"/>
    <w:rsid w:val="00BA58FD"/>
    <w:rsid w:val="00C53949"/>
    <w:rsid w:val="00CC3B3B"/>
    <w:rsid w:val="00CC69A1"/>
    <w:rsid w:val="00D40791"/>
    <w:rsid w:val="00D63955"/>
    <w:rsid w:val="00D652FC"/>
    <w:rsid w:val="00E11207"/>
    <w:rsid w:val="00E63CE2"/>
    <w:rsid w:val="00E848D2"/>
    <w:rsid w:val="00EC359F"/>
    <w:rsid w:val="00EF090A"/>
    <w:rsid w:val="00EF5D84"/>
    <w:rsid w:val="00F17939"/>
    <w:rsid w:val="00F858F7"/>
    <w:rsid w:val="00FA05D4"/>
    <w:rsid w:val="110919FD"/>
    <w:rsid w:val="1592707B"/>
    <w:rsid w:val="1D212406"/>
    <w:rsid w:val="21FC0273"/>
    <w:rsid w:val="299B2082"/>
    <w:rsid w:val="40AE5ACF"/>
    <w:rsid w:val="44393F9E"/>
    <w:rsid w:val="5A651F15"/>
    <w:rsid w:val="74FD51C1"/>
    <w:rsid w:val="7DC67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28"/>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5"/>
    <w:link w:val="30"/>
    <w:qFormat/>
    <w:uiPriority w:val="0"/>
    <w:pPr>
      <w:keepNext/>
      <w:keepLines/>
      <w:numPr>
        <w:ilvl w:val="2"/>
        <w:numId w:val="1"/>
      </w:numPr>
      <w:spacing w:beforeLines="50"/>
      <w:outlineLvl w:val="2"/>
    </w:pPr>
    <w:rPr>
      <w:rFonts w:ascii="Times New Roman" w:hAnsi="Times New Roman" w:eastAsia="宋体" w:cs="Times New Roman"/>
      <w:b/>
      <w:szCs w:val="20"/>
    </w:rPr>
  </w:style>
  <w:style w:type="paragraph" w:styleId="6">
    <w:name w:val="heading 4"/>
    <w:basedOn w:val="1"/>
    <w:next w:val="1"/>
    <w:link w:val="29"/>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24"/>
    <w:qFormat/>
    <w:uiPriority w:val="0"/>
    <w:pPr>
      <w:spacing w:before="60"/>
      <w:ind w:firstLine="420" w:firstLineChars="200"/>
    </w:pPr>
    <w:rPr>
      <w:rFonts w:ascii="Times New Roman" w:hAnsi="Times New Roman" w:eastAsia="宋体" w:cs="Times New Roman"/>
      <w:szCs w:val="24"/>
    </w:rPr>
  </w:style>
  <w:style w:type="paragraph" w:styleId="7">
    <w:name w:val="annotation text"/>
    <w:basedOn w:val="1"/>
    <w:link w:val="27"/>
    <w:semiHidden/>
    <w:unhideWhenUsed/>
    <w:qFormat/>
    <w:uiPriority w:val="99"/>
    <w:pPr>
      <w:jc w:val="left"/>
    </w:pPr>
  </w:style>
  <w:style w:type="paragraph" w:styleId="8">
    <w:name w:val="Balloon Text"/>
    <w:basedOn w:val="1"/>
    <w:link w:val="26"/>
    <w:semiHidden/>
    <w:unhideWhenUsed/>
    <w:qFormat/>
    <w:uiPriority w:val="99"/>
    <w:rPr>
      <w:sz w:val="18"/>
      <w:szCs w:val="18"/>
    </w:rPr>
  </w:style>
  <w:style w:type="paragraph" w:styleId="9">
    <w:name w:val="footer"/>
    <w:basedOn w:val="1"/>
    <w:link w:val="21"/>
    <w:semiHidden/>
    <w:unhideWhenUsed/>
    <w:qFormat/>
    <w:uiPriority w:val="99"/>
    <w:pPr>
      <w:tabs>
        <w:tab w:val="center" w:pos="4153"/>
        <w:tab w:val="right" w:pos="8306"/>
      </w:tabs>
      <w:snapToGrid w:val="0"/>
      <w:jc w:val="left"/>
    </w:pPr>
    <w:rPr>
      <w:sz w:val="18"/>
      <w:szCs w:val="18"/>
    </w:rPr>
  </w:style>
  <w:style w:type="paragraph" w:styleId="10">
    <w:name w:val="header"/>
    <w:basedOn w:val="1"/>
    <w:link w:val="2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style>
  <w:style w:type="paragraph" w:styleId="12">
    <w:name w:val="toc 2"/>
    <w:basedOn w:val="1"/>
    <w:next w:val="1"/>
    <w:unhideWhenUsed/>
    <w:qFormat/>
    <w:uiPriority w:val="39"/>
    <w:pPr>
      <w:ind w:left="420" w:leftChars="200"/>
    </w:pPr>
  </w:style>
  <w:style w:type="paragraph" w:styleId="13">
    <w:name w:val="annotation subject"/>
    <w:basedOn w:val="7"/>
    <w:next w:val="7"/>
    <w:link w:val="28"/>
    <w:semiHidden/>
    <w:unhideWhenUsed/>
    <w:qFormat/>
    <w:uiPriority w:val="99"/>
    <w:rPr>
      <w:b/>
      <w:bCs/>
    </w:rPr>
  </w:style>
  <w:style w:type="table" w:styleId="15">
    <w:name w:val="Table Grid"/>
    <w:basedOn w:val="1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7">
    <w:name w:val="Hyperlink"/>
    <w:basedOn w:val="16"/>
    <w:unhideWhenUsed/>
    <w:qFormat/>
    <w:uiPriority w:val="99"/>
    <w:rPr>
      <w:color w:val="0000FF" w:themeColor="hyperlink"/>
      <w:u w:val="single"/>
    </w:rPr>
  </w:style>
  <w:style w:type="character" w:styleId="18">
    <w:name w:val="annotation reference"/>
    <w:basedOn w:val="16"/>
    <w:semiHidden/>
    <w:unhideWhenUsed/>
    <w:qFormat/>
    <w:uiPriority w:val="99"/>
    <w:rPr>
      <w:sz w:val="21"/>
      <w:szCs w:val="21"/>
    </w:rPr>
  </w:style>
  <w:style w:type="character" w:customStyle="1" w:styleId="19">
    <w:name w:val="标题 2 Char"/>
    <w:basedOn w:val="16"/>
    <w:link w:val="3"/>
    <w:qFormat/>
    <w:uiPriority w:val="9"/>
    <w:rPr>
      <w:rFonts w:asciiTheme="majorHAnsi" w:hAnsiTheme="majorHAnsi" w:eastAsiaTheme="majorEastAsia" w:cstheme="majorBidi"/>
      <w:b/>
      <w:bCs/>
      <w:sz w:val="32"/>
      <w:szCs w:val="32"/>
    </w:rPr>
  </w:style>
  <w:style w:type="character" w:customStyle="1" w:styleId="20">
    <w:name w:val="页眉 Char"/>
    <w:basedOn w:val="16"/>
    <w:link w:val="10"/>
    <w:semiHidden/>
    <w:qFormat/>
    <w:uiPriority w:val="99"/>
    <w:rPr>
      <w:sz w:val="18"/>
      <w:szCs w:val="18"/>
    </w:rPr>
  </w:style>
  <w:style w:type="character" w:customStyle="1" w:styleId="21">
    <w:name w:val="页脚 Char"/>
    <w:basedOn w:val="16"/>
    <w:link w:val="9"/>
    <w:semiHidden/>
    <w:qFormat/>
    <w:uiPriority w:val="99"/>
    <w:rPr>
      <w:sz w:val="18"/>
      <w:szCs w:val="18"/>
    </w:rPr>
  </w:style>
  <w:style w:type="character" w:customStyle="1" w:styleId="22">
    <w:name w:val="标题 1 Char"/>
    <w:basedOn w:val="16"/>
    <w:link w:val="2"/>
    <w:qFormat/>
    <w:uiPriority w:val="9"/>
    <w:rPr>
      <w:b/>
      <w:bCs/>
      <w:kern w:val="44"/>
      <w:sz w:val="28"/>
      <w:szCs w:val="44"/>
    </w:rPr>
  </w:style>
  <w:style w:type="paragraph" w:styleId="23">
    <w:name w:val="List Paragraph"/>
    <w:basedOn w:val="1"/>
    <w:qFormat/>
    <w:uiPriority w:val="34"/>
    <w:pPr>
      <w:ind w:firstLine="420" w:firstLineChars="200"/>
    </w:pPr>
  </w:style>
  <w:style w:type="character" w:customStyle="1" w:styleId="24">
    <w:name w:val="正文缩进 Char"/>
    <w:basedOn w:val="16"/>
    <w:link w:val="5"/>
    <w:qFormat/>
    <w:uiPriority w:val="0"/>
    <w:rPr>
      <w:rFonts w:ascii="Times New Roman" w:hAnsi="Times New Roman" w:eastAsia="宋体" w:cs="Times New Roman"/>
      <w:szCs w:val="24"/>
    </w:rPr>
  </w:style>
  <w:style w:type="paragraph" w:customStyle="1" w:styleId="25">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Cs w:val="28"/>
    </w:rPr>
  </w:style>
  <w:style w:type="character" w:customStyle="1" w:styleId="26">
    <w:name w:val="批注框文本 Char"/>
    <w:basedOn w:val="16"/>
    <w:link w:val="8"/>
    <w:semiHidden/>
    <w:qFormat/>
    <w:uiPriority w:val="99"/>
    <w:rPr>
      <w:sz w:val="18"/>
      <w:szCs w:val="18"/>
    </w:rPr>
  </w:style>
  <w:style w:type="character" w:customStyle="1" w:styleId="27">
    <w:name w:val="批注文字 Char"/>
    <w:basedOn w:val="16"/>
    <w:link w:val="7"/>
    <w:semiHidden/>
    <w:qFormat/>
    <w:uiPriority w:val="99"/>
  </w:style>
  <w:style w:type="character" w:customStyle="1" w:styleId="28">
    <w:name w:val="批注主题 Char"/>
    <w:basedOn w:val="27"/>
    <w:link w:val="13"/>
    <w:semiHidden/>
    <w:qFormat/>
    <w:uiPriority w:val="99"/>
    <w:rPr>
      <w:b/>
      <w:bCs/>
    </w:rPr>
  </w:style>
  <w:style w:type="character" w:customStyle="1" w:styleId="29">
    <w:name w:val="标题 4 Char"/>
    <w:basedOn w:val="16"/>
    <w:link w:val="6"/>
    <w:semiHidden/>
    <w:qFormat/>
    <w:uiPriority w:val="9"/>
    <w:rPr>
      <w:rFonts w:asciiTheme="majorHAnsi" w:hAnsiTheme="majorHAnsi" w:eastAsiaTheme="majorEastAsia" w:cstheme="majorBidi"/>
      <w:b/>
      <w:bCs/>
      <w:sz w:val="28"/>
      <w:szCs w:val="28"/>
    </w:rPr>
  </w:style>
  <w:style w:type="character" w:customStyle="1" w:styleId="30">
    <w:name w:val="标题 3 Char"/>
    <w:basedOn w:val="16"/>
    <w:link w:val="4"/>
    <w:qFormat/>
    <w:uiPriority w:val="0"/>
    <w:rPr>
      <w:rFonts w:ascii="Times New Roman" w:hAnsi="Times New Roman" w:eastAsia="宋体" w:cs="Times New Roman"/>
      <w:b/>
      <w:szCs w:val="20"/>
    </w:rPr>
  </w:style>
  <w:style w:type="paragraph" w:customStyle="1" w:styleId="31">
    <w:name w:val="列出段落1"/>
    <w:basedOn w:val="1"/>
    <w:qFormat/>
    <w:uiPriority w:val="34"/>
    <w:pPr>
      <w:suppressAutoHyphens/>
      <w:ind w:firstLine="420" w:firstLineChars="200"/>
    </w:pPr>
    <w:rPr>
      <w:rFonts w:ascii="Times New Roman" w:hAnsi="Times New Roman" w:eastAsia="宋体" w:cs="Times New Roman"/>
      <w:kern w:val="1"/>
      <w:szCs w:val="24"/>
      <w:lang w:eastAsia="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Info spid="_x0000_s4098"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3A0EDC3-669E-4427-B217-B98E1C02EF9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4997</Words>
  <Characters>5212</Characters>
  <Lines>52</Lines>
  <Paragraphs>14</Paragraphs>
  <TotalTime>0</TotalTime>
  <ScaleCrop>false</ScaleCrop>
  <LinksUpToDate>false</LinksUpToDate>
  <CharactersWithSpaces>5540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2015-02-06T07:03:00Z</dcterms:created>
  <dc:creator>blue</dc:creator>
  <cp:lastModifiedBy>伊人</cp:lastModifiedBy>
  <dcterms:modified xsi:type="dcterms:W3CDTF">2023-10-07T08:39:28Z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A16C577A169448D88D4DA6525FD6F987_12</vt:lpwstr>
  </property>
</Properties>
</file>