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ind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ind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ind w:firstLine="0" w:firstLineChars="0"/>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before="0" w:beforeLines="0"/>
        <w:ind w:firstLine="0" w:firstLineChars="0"/>
        <w:textAlignment w:val="auto"/>
        <w:rPr>
          <w:color w:val="FF0000"/>
          <w:sz w:val="24"/>
          <w:szCs w:val="24"/>
          <w:highlight w:val="none"/>
        </w:rPr>
      </w:pPr>
      <w:r>
        <w:rPr>
          <w:rFonts w:ascii="宋体" w:hAnsi="宋体" w:eastAsia="宋体" w:cs="宋体"/>
          <w:color w:val="FF0000"/>
          <w:sz w:val="32"/>
          <w:szCs w:val="32"/>
        </w:rPr>
        <w:t>免责声明：</w:t>
      </w:r>
      <w:r>
        <w:rPr>
          <w:rFonts w:ascii="宋体" w:hAnsi="宋体" w:eastAsia="宋体" w:cs="宋体"/>
          <w:color w:val="FF0000"/>
          <w:sz w:val="32"/>
          <w:szCs w:val="32"/>
        </w:rPr>
        <w:br w:type="textWrapping"/>
      </w:r>
      <w:r>
        <w:rPr>
          <w:rFonts w:hint="eastAsia" w:ascii="宋体" w:hAnsi="宋体" w:cs="宋体"/>
          <w:color w:val="FF0000"/>
          <w:sz w:val="32"/>
          <w:szCs w:val="32"/>
          <w:lang w:val="en-US" w:eastAsia="zh-CN"/>
        </w:rPr>
        <w:t>本套</w:t>
      </w:r>
      <w:r>
        <w:rPr>
          <w:rFonts w:ascii="宋体" w:hAnsi="宋体" w:eastAsia="宋体" w:cs="宋体"/>
          <w:color w:val="FF0000"/>
          <w:sz w:val="32"/>
          <w:szCs w:val="32"/>
        </w:rPr>
        <w:t>模板内容仅根据当前法规及行业常规实践经验进行编写，仅供参考使用。</w:t>
      </w:r>
      <w:r>
        <w:rPr>
          <w:rFonts w:ascii="宋体" w:hAnsi="宋体" w:eastAsia="宋体" w:cs="宋体"/>
          <w:color w:val="FF0000"/>
          <w:sz w:val="32"/>
          <w:szCs w:val="32"/>
        </w:rPr>
        <w:br w:type="textWrapping"/>
      </w:r>
      <w:r>
        <w:rPr>
          <w:rFonts w:ascii="宋体" w:hAnsi="宋体" w:eastAsia="宋体" w:cs="宋体"/>
          <w:color w:val="FF0000"/>
          <w:sz w:val="32"/>
          <w:szCs w:val="32"/>
        </w:rPr>
        <w:t>质量管理体系的合规需要结合公司实际情况、体系文件、体系运行记录/文档等综合考虑，企业直接采用不代表合规，请根据最新法规及公司实际工作流程等进行补充、细化和调整，并有效运行质量管理体系。</w:t>
      </w:r>
    </w:p>
    <w:p>
      <w:pPr>
        <w:keepNext w:val="0"/>
        <w:keepLines w:val="0"/>
        <w:pageBreakBefore w:val="0"/>
        <w:widowControl w:val="0"/>
        <w:kinsoku/>
        <w:wordWrap/>
        <w:overflowPunct/>
        <w:topLinePunct w:val="0"/>
        <w:autoSpaceDE/>
        <w:autoSpaceDN/>
        <w:bidi w:val="0"/>
        <w:adjustRightInd/>
        <w:snapToGrid/>
        <w:spacing w:before="0" w:beforeLines="0"/>
        <w:ind w:firstLine="0" w:firstLineChars="0"/>
        <w:textAlignment w:val="auto"/>
        <w:rPr>
          <w:color w:val="auto"/>
          <w:highlight w:val="none"/>
        </w:rPr>
      </w:pPr>
    </w:p>
    <w:p>
      <w:pPr>
        <w:rPr>
          <w:rFonts w:hint="eastAsia"/>
          <w:color w:val="auto"/>
          <w:sz w:val="72"/>
          <w:szCs w:val="72"/>
          <w:highlight w:val="none"/>
          <w:lang w:val="en-US" w:eastAsia="zh-CN"/>
        </w:rPr>
      </w:pPr>
      <w:r>
        <w:rPr>
          <w:rFonts w:hint="eastAsia"/>
          <w:color w:val="auto"/>
          <w:sz w:val="72"/>
          <w:szCs w:val="7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0" w:firstLineChars="0"/>
        <w:jc w:val="center"/>
        <w:textAlignment w:val="auto"/>
        <w:rPr>
          <w:rFonts w:hint="eastAsia"/>
          <w:color w:val="auto"/>
          <w:sz w:val="72"/>
          <w:szCs w:val="72"/>
          <w:highlight w:val="none"/>
          <w:lang w:val="en-US" w:eastAsia="zh-CN"/>
        </w:rPr>
      </w:pPr>
      <w:r>
        <w:rPr>
          <w:rFonts w:hint="eastAsia"/>
          <w:color w:val="auto"/>
          <w:sz w:val="72"/>
          <w:szCs w:val="72"/>
          <w:highlight w:val="none"/>
          <w:lang w:val="en-US" w:eastAsia="zh-CN"/>
        </w:rPr>
        <w:t>质量手册</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0" w:firstLineChars="0"/>
        <w:jc w:val="center"/>
        <w:textAlignment w:val="auto"/>
        <w:rPr>
          <w:rFonts w:hint="eastAsia"/>
          <w:color w:val="auto"/>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eastAsia="宋体"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rPr>
        <w:t>文件编号</w:t>
      </w:r>
      <w:r>
        <w:rPr>
          <w:rFonts w:hint="eastAsia" w:cs="Times New Roman"/>
          <w:bCs/>
          <w:color w:val="auto"/>
          <w:sz w:val="28"/>
          <w:szCs w:val="28"/>
          <w:highlight w:val="none"/>
          <w:lang w:eastAsia="zh-CN"/>
        </w:rPr>
        <w:t>：</w:t>
      </w:r>
      <w:r>
        <w:rPr>
          <w:rFonts w:hint="eastAsia" w:cs="Times New Roman"/>
          <w:bCs/>
          <w:color w:val="auto"/>
          <w:sz w:val="28"/>
          <w:szCs w:val="28"/>
          <w:highlight w:val="none"/>
          <w:lang w:val="en-US" w:eastAsia="zh-CN"/>
        </w:rPr>
        <w:t>XX-QM-001</w:t>
      </w: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eastAsia="宋体"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rPr>
        <w:t>版    本</w:t>
      </w:r>
      <w:r>
        <w:rPr>
          <w:rFonts w:hint="eastAsia" w:cs="Times New Roman"/>
          <w:bCs/>
          <w:color w:val="auto"/>
          <w:sz w:val="28"/>
          <w:szCs w:val="28"/>
          <w:highlight w:val="none"/>
          <w:lang w:eastAsia="zh-CN"/>
        </w:rPr>
        <w:t>：</w:t>
      </w:r>
      <w:r>
        <w:rPr>
          <w:rFonts w:hint="eastAsia" w:cs="Times New Roman"/>
          <w:bCs/>
          <w:color w:val="auto"/>
          <w:sz w:val="28"/>
          <w:szCs w:val="28"/>
          <w:highlight w:val="none"/>
          <w:lang w:val="en-US" w:eastAsia="zh-CN"/>
        </w:rPr>
        <w:t>A0</w:t>
      </w: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2318" w:firstLineChars="828"/>
        <w:jc w:val="both"/>
        <w:textAlignment w:val="auto"/>
        <w:rPr>
          <w:rFonts w:hint="eastAsia" w:cs="Times New Roman"/>
          <w:bCs/>
          <w:color w:val="auto"/>
          <w:sz w:val="28"/>
          <w:szCs w:val="28"/>
          <w:highlight w:val="none"/>
          <w:u w:val="single"/>
          <w:lang w:val="en-US" w:eastAsia="zh-CN"/>
        </w:rPr>
      </w:pPr>
      <w:r>
        <w:rPr>
          <w:rFonts w:hint="default" w:ascii="Times New Roman" w:hAnsi="Times New Roman" w:cs="Times New Roman"/>
          <w:bCs/>
          <w:color w:val="auto"/>
          <w:sz w:val="28"/>
          <w:szCs w:val="28"/>
          <w:highlight w:val="none"/>
          <w:lang w:val="en-US" w:eastAsia="zh-CN"/>
        </w:rPr>
        <w:t>编制</w:t>
      </w:r>
      <w:r>
        <w:rPr>
          <w:rFonts w:hint="eastAsia" w:cs="Times New Roman"/>
          <w:bCs/>
          <w:color w:val="auto"/>
          <w:sz w:val="28"/>
          <w:szCs w:val="28"/>
          <w:highlight w:val="none"/>
          <w:lang w:val="en-US" w:eastAsia="zh-CN"/>
        </w:rPr>
        <w:t xml:space="preserve">/日期： </w:t>
      </w:r>
      <w:r>
        <w:rPr>
          <w:rFonts w:hint="eastAsia" w:cs="Times New Roman"/>
          <w:bCs/>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2318" w:firstLineChars="828"/>
        <w:jc w:val="both"/>
        <w:textAlignment w:val="auto"/>
        <w:rPr>
          <w:rFonts w:hint="eastAsia"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2318" w:firstLineChars="828"/>
        <w:jc w:val="both"/>
        <w:textAlignment w:val="auto"/>
        <w:rPr>
          <w:rFonts w:hint="eastAsia" w:cs="Times New Roman"/>
          <w:bCs/>
          <w:color w:val="auto"/>
          <w:sz w:val="28"/>
          <w:szCs w:val="28"/>
          <w:highlight w:val="none"/>
          <w:lang w:val="en-US" w:eastAsia="zh-CN"/>
        </w:rPr>
      </w:pPr>
      <w:r>
        <w:rPr>
          <w:rFonts w:hint="eastAsia" w:cs="Times New Roman"/>
          <w:bCs/>
          <w:color w:val="auto"/>
          <w:sz w:val="28"/>
          <w:szCs w:val="28"/>
          <w:highlight w:val="none"/>
          <w:lang w:val="en-US" w:eastAsia="zh-CN"/>
        </w:rPr>
        <w:t xml:space="preserve">审核/日期： </w:t>
      </w:r>
      <w:r>
        <w:rPr>
          <w:rFonts w:hint="eastAsia" w:cs="Times New Roman"/>
          <w:bCs/>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2318" w:firstLineChars="828"/>
        <w:jc w:val="both"/>
        <w:textAlignment w:val="auto"/>
        <w:rPr>
          <w:rFonts w:hint="eastAsia"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2318" w:firstLineChars="828"/>
        <w:jc w:val="both"/>
        <w:textAlignment w:val="auto"/>
        <w:rPr>
          <w:rFonts w:hint="default" w:cs="Times New Roman"/>
          <w:bCs/>
          <w:color w:val="auto"/>
          <w:sz w:val="28"/>
          <w:szCs w:val="28"/>
          <w:highlight w:val="none"/>
          <w:lang w:val="en-US" w:eastAsia="zh-CN"/>
        </w:rPr>
      </w:pPr>
      <w:r>
        <w:rPr>
          <w:rFonts w:hint="eastAsia" w:cs="Times New Roman"/>
          <w:bCs/>
          <w:color w:val="auto"/>
          <w:sz w:val="28"/>
          <w:szCs w:val="28"/>
          <w:highlight w:val="none"/>
          <w:lang w:val="en-US" w:eastAsia="zh-CN"/>
        </w:rPr>
        <w:t xml:space="preserve">批准/日期： </w:t>
      </w:r>
      <w:r>
        <w:rPr>
          <w:rFonts w:hint="eastAsia" w:cs="Times New Roman"/>
          <w:bCs/>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left"/>
        <w:textAlignment w:val="auto"/>
        <w:rPr>
          <w:rFonts w:hint="default" w:ascii="Times New Roman" w:hAnsi="Times New Roman" w:cs="Times New Roman"/>
          <w:bCs/>
          <w:color w:val="auto"/>
          <w:sz w:val="28"/>
          <w:szCs w:val="28"/>
          <w:highlight w:val="none"/>
          <w:lang w:val="en-US" w:eastAsia="zh-CN"/>
        </w:rPr>
      </w:pPr>
      <w:r>
        <w:rPr>
          <w:rFonts w:hint="eastAsia" w:cs="Times New Roman"/>
          <w:bCs/>
          <w:color w:val="auto"/>
          <w:sz w:val="28"/>
          <w:szCs w:val="28"/>
          <w:highlight w:val="none"/>
          <w:lang w:val="en-US" w:eastAsia="zh-CN"/>
        </w:rPr>
        <w:t>20   年   月   日发布                         20   年   月   日实施</w:t>
      </w:r>
    </w:p>
    <w:p>
      <w:pPr>
        <w:spacing w:line="240" w:lineRule="auto"/>
        <w:jc w:val="center"/>
        <w:rPr>
          <w:rFonts w:hint="default" w:ascii="Times New Roman" w:hAnsi="Times New Roman" w:cs="Times New Roman"/>
          <w:bCs/>
          <w:color w:val="auto"/>
          <w:sz w:val="28"/>
          <w:szCs w:val="28"/>
          <w:highlight w:val="none"/>
          <w:lang w:val="en-US" w:eastAsia="zh-CN"/>
        </w:rPr>
        <w:sectPr>
          <w:headerReference r:id="rId6" w:type="first"/>
          <w:footerReference r:id="rId8" w:type="first"/>
          <w:headerReference r:id="rId5" w:type="default"/>
          <w:footerReference r:id="rId7" w:type="default"/>
          <w:pgSz w:w="11906" w:h="16838"/>
          <w:pgMar w:top="296" w:right="1080" w:bottom="1440" w:left="1080" w:header="700" w:footer="930" w:gutter="0"/>
          <w:pgBorders>
            <w:top w:val="none" w:sz="0" w:space="0"/>
            <w:left w:val="none" w:sz="0" w:space="0"/>
            <w:bottom w:val="none" w:sz="0" w:space="0"/>
            <w:right w:val="none" w:sz="0" w:space="0"/>
          </w:pgBorders>
          <w:pgNumType w:fmt="decimal" w:start="0"/>
          <w:cols w:space="425" w:num="1"/>
          <w:titlePg/>
          <w:docGrid w:type="lines" w:linePitch="312" w:charSpace="0"/>
        </w:sectPr>
      </w:pPr>
    </w:p>
    <w:tbl>
      <w:tblPr>
        <w:tblStyle w:val="28"/>
        <w:tblW w:w="97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38"/>
        <w:gridCol w:w="1586"/>
        <w:gridCol w:w="1586"/>
        <w:gridCol w:w="1586"/>
        <w:gridCol w:w="1586"/>
        <w:gridCol w:w="15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90" w:hRule="atLeast"/>
          <w:jc w:val="center"/>
        </w:trPr>
        <w:tc>
          <w:tcPr>
            <w:tcW w:w="9772" w:type="dxa"/>
            <w:gridSpan w:val="6"/>
            <w:tcBorders>
              <w:bottom w:val="single" w:color="auto" w:sz="2" w:space="0"/>
              <w:tl2br w:val="nil"/>
              <w:tr2bl w:val="nil"/>
            </w:tcBorders>
          </w:tcPr>
          <w:p>
            <w:pPr>
              <w:spacing w:line="240" w:lineRule="auto"/>
              <w:jc w:val="center"/>
              <w:rPr>
                <w:rFonts w:ascii="黑体" w:hAnsi="黑体" w:eastAsia="黑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ascii="黑体" w:hAnsi="黑体" w:eastAsia="黑体"/>
                <w:bCs/>
                <w:color w:val="auto"/>
                <w:sz w:val="32"/>
                <w:szCs w:val="32"/>
                <w:highlight w:val="none"/>
              </w:rPr>
            </w:pPr>
            <w:r>
              <w:rPr>
                <w:rFonts w:hint="eastAsia" w:ascii="黑体" w:hAnsi="黑体" w:eastAsia="黑体"/>
                <w:bCs/>
                <w:color w:val="auto"/>
                <w:sz w:val="32"/>
                <w:szCs w:val="32"/>
                <w:highlight w:val="none"/>
              </w:rPr>
              <w:t>修改页</w:t>
            </w: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ascii="黑体" w:hAnsi="黑体" w:eastAsia="黑体"/>
                <w:bCs/>
                <w:color w:val="auto"/>
                <w:sz w:val="32"/>
                <w:szCs w:val="32"/>
                <w:highlight w:val="none"/>
              </w:rPr>
            </w:pPr>
          </w:p>
          <w:tbl>
            <w:tblPr>
              <w:tblStyle w:val="28"/>
              <w:tblW w:w="947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012"/>
              <w:gridCol w:w="1465"/>
              <w:gridCol w:w="440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序号</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版本号</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修改条款</w:t>
                  </w: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修改内容</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修改人/日期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1</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A0</w:t>
                  </w:r>
                </w:p>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w:t>
                  </w: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首次发放</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outlineLvl w:val="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rPr>
                    <w:t>XXX</w:t>
                  </w:r>
                  <w:r>
                    <w:rPr>
                      <w:rFonts w:hint="eastAsia" w:cs="Times New Roman"/>
                      <w:bCs/>
                      <w:color w:val="auto"/>
                      <w:szCs w:val="21"/>
                      <w:highlight w:val="no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31"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012"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4406"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c>
                <w:tcPr>
                  <w:tcW w:w="1757" w:type="dxa"/>
                  <w:vAlign w:val="center"/>
                </w:tcPr>
                <w:p>
                  <w:pPr>
                    <w:keepNext w:val="0"/>
                    <w:keepLines w:val="0"/>
                    <w:pageBreakBefore w:val="0"/>
                    <w:widowControl w:val="0"/>
                    <w:kinsoku/>
                    <w:wordWrap/>
                    <w:overflowPunct/>
                    <w:topLinePunct w:val="0"/>
                    <w:autoSpaceDE/>
                    <w:autoSpaceDN/>
                    <w:bidi w:val="0"/>
                    <w:adjustRightInd/>
                    <w:snapToGrid/>
                    <w:spacing w:beforeLines="0" w:line="240" w:lineRule="auto"/>
                    <w:jc w:val="center"/>
                    <w:textAlignment w:val="auto"/>
                    <w:outlineLvl w:val="0"/>
                    <w:rPr>
                      <w:rFonts w:hint="default" w:ascii="Times New Roman" w:hAnsi="Times New Roman" w:cs="Times New Roman"/>
                      <w:bCs/>
                      <w:color w:val="auto"/>
                      <w:szCs w:val="21"/>
                      <w:highlight w:val="none"/>
                    </w:rPr>
                  </w:pPr>
                </w:p>
              </w:tc>
            </w:tr>
          </w:tbl>
          <w:p>
            <w:pPr>
              <w:spacing w:line="240" w:lineRule="auto"/>
              <w:rPr>
                <w:rFonts w:ascii="黑体" w:hAnsi="黑体" w:eastAsia="黑体"/>
                <w:bCs/>
                <w:color w:val="auto"/>
                <w:sz w:val="32"/>
                <w:szCs w:val="32"/>
                <w:highlight w:val="none"/>
              </w:rPr>
            </w:pPr>
            <w:bookmarkStart w:id="3" w:name="_GoBack"/>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5" w:hRule="atLeast"/>
          <w:jc w:val="center"/>
        </w:trPr>
        <w:tc>
          <w:tcPr>
            <w:tcW w:w="9772" w:type="dxa"/>
            <w:gridSpan w:val="6"/>
            <w:tcBorders>
              <w:top w:val="single" w:color="auto" w:sz="2" w:space="0"/>
              <w:left w:val="single" w:color="auto" w:sz="8" w:space="0"/>
              <w:bottom w:val="single" w:color="auto" w:sz="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jc w:val="center"/>
              <w:textAlignment w:val="auto"/>
              <w:rPr>
                <w:rFonts w:ascii="宋体" w:hAnsi="宋体"/>
                <w:color w:val="auto"/>
                <w:sz w:val="20"/>
                <w:szCs w:val="20"/>
                <w:highlight w:val="none"/>
              </w:rPr>
            </w:pPr>
            <w:r>
              <w:rPr>
                <w:rFonts w:hint="eastAsia" w:ascii="宋体" w:hAnsi="宋体"/>
                <w:color w:val="auto"/>
                <w:sz w:val="20"/>
                <w:szCs w:val="20"/>
                <w:highlight w:val="none"/>
              </w:rPr>
              <w:t>分 发 部 门 会 签</w:t>
            </w:r>
            <w:r>
              <w:rPr>
                <w:rFonts w:hint="eastAsia" w:ascii="宋体" w:hAnsi="宋体"/>
                <w:i/>
                <w:iCs/>
                <w:color w:val="auto"/>
                <w:sz w:val="20"/>
                <w:szCs w:val="20"/>
                <w:highlight w:val="none"/>
                <w:lang w:eastAsia="zh-CN"/>
              </w:rPr>
              <w:t>【</w:t>
            </w:r>
            <w:r>
              <w:rPr>
                <w:rFonts w:hint="eastAsia" w:ascii="宋体" w:hAnsi="宋体"/>
                <w:i/>
                <w:iCs/>
                <w:color w:val="auto"/>
                <w:sz w:val="20"/>
                <w:szCs w:val="20"/>
                <w:highlight w:val="none"/>
                <w:lang w:val="en-US" w:eastAsia="zh-CN"/>
              </w:rPr>
              <w:t>根据公司组织架构进行调整</w:t>
            </w:r>
            <w:r>
              <w:rPr>
                <w:rFonts w:hint="eastAsia" w:ascii="宋体" w:hAnsi="宋体"/>
                <w:i/>
                <w:iCs/>
                <w:color w:val="auto"/>
                <w:sz w:val="20"/>
                <w:szCs w:val="20"/>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jc w:val="center"/>
        </w:trPr>
        <w:tc>
          <w:tcPr>
            <w:tcW w:w="1838" w:type="dxa"/>
            <w:tcBorders>
              <w:top w:val="single" w:color="auto" w:sz="2" w:space="0"/>
              <w:left w:val="single" w:color="auto" w:sz="8" w:space="0"/>
              <w:bottom w:val="single" w:color="auto" w:sz="8" w:space="0"/>
              <w:right w:val="single" w:color="auto" w:sz="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w:t>
            </w:r>
            <w:r>
              <w:rPr>
                <w:rFonts w:hint="eastAsia" w:ascii="宋体" w:hAnsi="宋体"/>
                <w:color w:val="auto"/>
                <w:sz w:val="20"/>
                <w:szCs w:val="20"/>
                <w:highlight w:val="none"/>
                <w:lang w:eastAsia="zh-CN"/>
              </w:rPr>
              <w:t>销售部</w:t>
            </w:r>
          </w:p>
        </w:tc>
        <w:tc>
          <w:tcPr>
            <w:tcW w:w="1586" w:type="dxa"/>
            <w:tcBorders>
              <w:top w:val="single" w:color="auto" w:sz="2" w:space="0"/>
              <w:left w:val="single" w:color="auto" w:sz="2" w:space="0"/>
              <w:bottom w:val="single" w:color="auto" w:sz="8" w:space="0"/>
              <w:right w:val="single" w:color="auto" w:sz="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□研发部</w:t>
            </w:r>
          </w:p>
        </w:tc>
        <w:tc>
          <w:tcPr>
            <w:tcW w:w="1586" w:type="dxa"/>
            <w:tcBorders>
              <w:top w:val="single" w:color="auto" w:sz="2" w:space="0"/>
              <w:left w:val="single" w:color="auto" w:sz="2" w:space="0"/>
              <w:bottom w:val="single" w:color="auto" w:sz="8" w:space="0"/>
              <w:right w:val="single" w:color="auto" w:sz="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□采购部</w:t>
            </w:r>
          </w:p>
        </w:tc>
        <w:tc>
          <w:tcPr>
            <w:tcW w:w="1586" w:type="dxa"/>
            <w:tcBorders>
              <w:top w:val="single" w:color="auto" w:sz="2" w:space="0"/>
              <w:left w:val="single" w:color="auto" w:sz="2" w:space="0"/>
              <w:bottom w:val="single" w:color="auto" w:sz="8" w:space="0"/>
              <w:right w:val="single" w:color="auto" w:sz="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□生产部</w:t>
            </w:r>
          </w:p>
        </w:tc>
        <w:tc>
          <w:tcPr>
            <w:tcW w:w="1586" w:type="dxa"/>
            <w:tcBorders>
              <w:top w:val="single" w:color="auto" w:sz="2" w:space="0"/>
              <w:left w:val="single" w:color="auto" w:sz="2" w:space="0"/>
              <w:bottom w:val="single" w:color="auto" w:sz="8" w:space="0"/>
              <w:right w:val="single" w:color="auto" w:sz="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□质量部</w:t>
            </w:r>
          </w:p>
        </w:tc>
        <w:tc>
          <w:tcPr>
            <w:tcW w:w="1590" w:type="dxa"/>
            <w:tcBorders>
              <w:top w:val="single" w:color="auto" w:sz="2" w:space="0"/>
              <w:left w:val="single" w:color="auto" w:sz="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firstLine="0" w:firstLineChars="0"/>
              <w:jc w:val="center"/>
              <w:textAlignment w:val="auto"/>
              <w:rPr>
                <w:rFonts w:hint="eastAsia" w:ascii="宋体" w:hAnsi="宋体"/>
                <w:color w:val="auto"/>
                <w:sz w:val="20"/>
                <w:szCs w:val="20"/>
                <w:highlight w:val="none"/>
              </w:rPr>
            </w:pPr>
            <w:r>
              <w:rPr>
                <w:rFonts w:hint="eastAsia" w:ascii="宋体" w:hAnsi="宋体"/>
                <w:color w:val="auto"/>
                <w:sz w:val="20"/>
                <w:szCs w:val="20"/>
                <w:highlight w:val="none"/>
              </w:rPr>
              <w:t>□</w:t>
            </w:r>
            <w:r>
              <w:rPr>
                <w:rFonts w:hint="eastAsia" w:ascii="宋体" w:hAnsi="宋体"/>
                <w:color w:val="auto"/>
                <w:sz w:val="20"/>
                <w:szCs w:val="20"/>
                <w:highlight w:val="none"/>
                <w:lang w:eastAsia="zh-CN"/>
              </w:rPr>
              <w:t>人事部</w:t>
            </w:r>
          </w:p>
        </w:tc>
      </w:tr>
    </w:tbl>
    <w:p>
      <w:pP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br w:type="page"/>
      </w:r>
    </w:p>
    <w:p>
      <w:pPr>
        <w:pageBreakBefore w:val="0"/>
        <w:kinsoku/>
        <w:wordWrap/>
        <w:overflowPunct/>
        <w:topLinePunct w:val="0"/>
        <w:bidi w:val="0"/>
        <w:spacing w:line="240" w:lineRule="auto"/>
        <w:jc w:val="center"/>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目录</w:t>
      </w:r>
    </w:p>
    <w:p>
      <w:pPr>
        <w:pageBreakBefore w:val="0"/>
        <w:kinsoku/>
        <w:wordWrap/>
        <w:overflowPunct/>
        <w:topLinePunct w:val="0"/>
        <w:bidi w:val="0"/>
        <w:spacing w:line="240" w:lineRule="auto"/>
        <w:jc w:val="center"/>
        <w:textAlignment w:val="auto"/>
        <w:rPr>
          <w:rFonts w:hint="default" w:ascii="Times New Roman" w:hAnsi="Times New Roman" w:eastAsia="宋体" w:cs="Times New Roman"/>
          <w:b/>
          <w:bCs/>
          <w:color w:val="auto"/>
          <w:sz w:val="21"/>
          <w:szCs w:val="21"/>
          <w:highlight w:val="none"/>
        </w:rPr>
      </w:pPr>
    </w:p>
    <w:tbl>
      <w:tblPr>
        <w:tblStyle w:val="28"/>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72"/>
        <w:gridCol w:w="751"/>
        <w:gridCol w:w="2809"/>
        <w:gridCol w:w="240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
                <w:bCs/>
                <w:color w:val="auto"/>
                <w:sz w:val="21"/>
                <w:szCs w:val="21"/>
                <w:highlight w:val="none"/>
              </w:rPr>
            </w:pPr>
            <w:bookmarkStart w:id="0" w:name="OLE_LINK114"/>
            <w:bookmarkStart w:id="1" w:name="OLE_LINK113"/>
            <w:bookmarkStart w:id="2" w:name="OLE_LINK112"/>
            <w:r>
              <w:rPr>
                <w:rFonts w:hint="default" w:ascii="Times New Roman" w:hAnsi="Times New Roman" w:eastAsia="宋体" w:cs="Times New Roman"/>
                <w:b/>
                <w:bCs/>
                <w:color w:val="auto"/>
                <w:sz w:val="21"/>
                <w:szCs w:val="21"/>
                <w:highlight w:val="none"/>
              </w:rPr>
              <w:t>手册章节号</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eastAsia" w:ascii="Times New Roman" w:hAnsi="Times New Roman" w:eastAsia="宋体" w:cs="Times New Roman"/>
                <w:b/>
                <w:bCs/>
                <w:color w:val="auto"/>
                <w:sz w:val="21"/>
                <w:szCs w:val="21"/>
                <w:highlight w:val="none"/>
                <w:lang w:eastAsia="zh-CN"/>
              </w:rPr>
            </w:pPr>
            <w:r>
              <w:rPr>
                <w:rFonts w:hint="eastAsia" w:cs="Times New Roman"/>
                <w:b/>
                <w:bCs/>
                <w:color w:val="auto"/>
                <w:sz w:val="21"/>
                <w:szCs w:val="21"/>
                <w:highlight w:val="none"/>
                <w:lang w:val="en-US" w:eastAsia="zh-CN"/>
              </w:rPr>
              <w:t>标  题</w:t>
            </w:r>
          </w:p>
        </w:tc>
        <w:tc>
          <w:tcPr>
            <w:tcW w:w="24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章节号</w:t>
            </w: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页 码</w:t>
            </w:r>
          </w:p>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i/>
                <w:iCs/>
                <w:color w:val="auto"/>
                <w:sz w:val="21"/>
                <w:szCs w:val="21"/>
                <w:highlight w:val="none"/>
                <w:lang w:eastAsia="zh-CN"/>
              </w:rPr>
              <w:t>【请结合最后定稿的《质量手册》进行调整】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质量手册发布令</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0.引言</w:t>
            </w:r>
          </w:p>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1.范围</w:t>
            </w:r>
          </w:p>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2.引用标准</w:t>
            </w:r>
          </w:p>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3.术语和定义</w:t>
            </w: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公司简介</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质量方针</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公司组织机构图</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质量手册适用范围</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术语和定义</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质量手册管理方法</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质量管理体系</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4.质量管理体系</w:t>
            </w: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4"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总要求</w:t>
            </w:r>
          </w:p>
        </w:tc>
        <w:tc>
          <w:tcPr>
            <w:tcW w:w="2409" w:type="dxa"/>
            <w:vMerge w:val="continue"/>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214"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文件要求</w:t>
            </w:r>
          </w:p>
        </w:tc>
        <w:tc>
          <w:tcPr>
            <w:tcW w:w="2409" w:type="dxa"/>
            <w:vMerge w:val="continue"/>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管理职责</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 管理职责</w:t>
            </w: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管理承诺</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以顾客为关注焦点</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质量方针</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策划</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5.5</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职责、权限与沟通</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5.6</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管理评审</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资源管理</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 资源管理</w:t>
            </w: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资源提供</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人力资源</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基础设施</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工作环境</w:t>
            </w:r>
            <w:r>
              <w:rPr>
                <w:rFonts w:hint="default" w:ascii="Times New Roman" w:hAnsi="Times New Roman" w:eastAsia="宋体" w:cs="Times New Roman"/>
                <w:bCs/>
                <w:color w:val="auto"/>
                <w:sz w:val="21"/>
                <w:szCs w:val="21"/>
                <w:highlight w:val="none"/>
                <w:lang w:val="en-US" w:eastAsia="zh-CN"/>
              </w:rPr>
              <w:t>和污染控制</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产品实现</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7.产品实现</w:t>
            </w:r>
          </w:p>
        </w:tc>
        <w:tc>
          <w:tcPr>
            <w:tcW w:w="234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486"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产品实现的策划</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86"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与顾客有关的过程</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设计和开发</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采购</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生产和服务提供</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检验仪器和设备</w:t>
            </w:r>
            <w:r>
              <w:rPr>
                <w:rFonts w:hint="default" w:ascii="Times New Roman" w:hAnsi="Times New Roman" w:eastAsia="宋体" w:cs="Times New Roman"/>
                <w:bCs/>
                <w:color w:val="auto"/>
                <w:sz w:val="21"/>
                <w:szCs w:val="21"/>
                <w:highlight w:val="none"/>
              </w:rPr>
              <w:t>的控制</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测量、分析和改进</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 测量、分析和改进</w:t>
            </w: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总则</w:t>
            </w:r>
          </w:p>
        </w:tc>
        <w:tc>
          <w:tcPr>
            <w:tcW w:w="2409" w:type="dxa"/>
            <w:vMerge w:val="continue"/>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监视和测量</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不合格品的控制</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数据分析</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14"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p>
        </w:tc>
        <w:tc>
          <w:tcPr>
            <w:tcW w:w="1023"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8.5</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改进</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附录A</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质量职责分配表</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附录B</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管理者代表任命书</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附录C</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文件及相关资料对照表</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37"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附录D</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0" w:leftChars="0" w:right="105" w:rightChars="50" w:firstLine="0" w:firstLineChars="0"/>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质量目标</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340"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bookmarkEnd w:id="0"/>
      <w:bookmarkEnd w:id="1"/>
      <w:bookmarkEnd w:id="2"/>
    </w:tbl>
    <w:p>
      <w:pPr>
        <w:spacing w:line="240" w:lineRule="auto"/>
        <w:jc w:val="center"/>
        <w:rPr>
          <w:rFonts w:hint="default" w:ascii="Times New Roman" w:hAnsi="Times New Roman" w:cs="Times New Roman"/>
          <w:bCs/>
          <w:color w:val="auto"/>
          <w:sz w:val="28"/>
          <w:szCs w:val="28"/>
          <w:highlight w:val="none"/>
          <w:lang w:val="en-US" w:eastAsia="zh-CN"/>
        </w:rPr>
      </w:pPr>
    </w:p>
    <w:p>
      <w:pPr>
        <w:rPr>
          <w:rFonts w:ascii="黑体" w:hAnsi="宋体" w:eastAsia="黑体" w:cs="Arial"/>
          <w:b/>
          <w:bCs/>
          <w:color w:val="auto"/>
          <w:sz w:val="24"/>
          <w:highlight w:val="none"/>
        </w:rPr>
      </w:pPr>
      <w:r>
        <w:rPr>
          <w:rFonts w:ascii="黑体" w:hAnsi="宋体" w:eastAsia="黑体" w:cs="Arial"/>
          <w:b/>
          <w:bCs/>
          <w:color w:val="auto"/>
          <w:sz w:val="24"/>
          <w:highlight w:val="none"/>
        </w:rPr>
        <w:br w:type="page"/>
      </w:r>
    </w:p>
    <w:p>
      <w:pPr>
        <w:pStyle w:val="2"/>
        <w:bidi w:val="0"/>
        <w:ind w:left="432" w:leftChars="0" w:hanging="432" w:firstLineChars="0"/>
        <w:rPr>
          <w:color w:val="auto"/>
        </w:rPr>
      </w:pPr>
      <w:r>
        <w:rPr>
          <w:color w:val="auto"/>
        </w:rPr>
        <w:t>质量手册发布令</w:t>
      </w:r>
    </w:p>
    <w:p>
      <w:pPr>
        <w:bidi w:val="0"/>
        <w:rPr>
          <w:rFonts w:hint="eastAsia" w:eastAsia="宋体"/>
          <w:color w:val="auto"/>
          <w:highlight w:val="none"/>
          <w:lang w:eastAsia="zh-CN"/>
        </w:rPr>
      </w:pPr>
      <w:r>
        <w:rPr>
          <w:color w:val="auto"/>
          <w:highlight w:val="none"/>
        </w:rPr>
        <w:t>本手册是按照《医疗器械生产质量管理规范》及《医疗器械生产质量管理规范附录无菌医疗器械》的要求并结合了本</w:t>
      </w:r>
      <w:r>
        <w:rPr>
          <w:rFonts w:hint="eastAsia"/>
          <w:color w:val="auto"/>
          <w:highlight w:val="none"/>
        </w:rPr>
        <w:t>公司</w:t>
      </w:r>
      <w:r>
        <w:rPr>
          <w:color w:val="auto"/>
          <w:highlight w:val="none"/>
        </w:rPr>
        <w:t>的实际和日常质量管理活动中取得的经验编写的，质量手册中包括了本</w:t>
      </w:r>
      <w:r>
        <w:rPr>
          <w:rFonts w:hint="eastAsia"/>
          <w:color w:val="auto"/>
          <w:highlight w:val="none"/>
        </w:rPr>
        <w:t>公司</w:t>
      </w:r>
      <w:r>
        <w:rPr>
          <w:color w:val="auto"/>
          <w:highlight w:val="none"/>
        </w:rPr>
        <w:t>制定的质量方针及说明、质量目标、本</w:t>
      </w:r>
      <w:r>
        <w:rPr>
          <w:rFonts w:hint="eastAsia"/>
          <w:color w:val="auto"/>
          <w:highlight w:val="none"/>
        </w:rPr>
        <w:t>公司</w:t>
      </w:r>
      <w:r>
        <w:rPr>
          <w:color w:val="auto"/>
          <w:highlight w:val="none"/>
        </w:rPr>
        <w:t>对顾客的质量承诺等内容，并对</w:t>
      </w:r>
      <w:r>
        <w:rPr>
          <w:rFonts w:hint="eastAsia"/>
          <w:color w:val="auto"/>
          <w:highlight w:val="none"/>
        </w:rPr>
        <w:t>公司</w:t>
      </w:r>
      <w:r>
        <w:rPr>
          <w:color w:val="auto"/>
          <w:highlight w:val="none"/>
        </w:rPr>
        <w:t>质量管理的要求进行了阐述。质量手册是本</w:t>
      </w:r>
      <w:r>
        <w:rPr>
          <w:rFonts w:hint="eastAsia"/>
          <w:color w:val="auto"/>
          <w:highlight w:val="none"/>
        </w:rPr>
        <w:t>公司</w:t>
      </w:r>
      <w:r>
        <w:rPr>
          <w:color w:val="auto"/>
          <w:highlight w:val="none"/>
        </w:rPr>
        <w:t>质量体系运行所必须长期遵循的纲领性</w:t>
      </w:r>
      <w:r>
        <w:rPr>
          <w:rFonts w:hint="eastAsia"/>
          <w:color w:val="auto"/>
          <w:highlight w:val="none"/>
        </w:rPr>
        <w:t>、法规性</w:t>
      </w:r>
      <w:r>
        <w:rPr>
          <w:color w:val="auto"/>
          <w:highlight w:val="none"/>
        </w:rPr>
        <w:t xml:space="preserve">文件, </w:t>
      </w:r>
      <w:r>
        <w:rPr>
          <w:rFonts w:hint="eastAsia"/>
          <w:color w:val="auto"/>
          <w:highlight w:val="none"/>
        </w:rPr>
        <w:t>是指导公司建立、实施、保持和改进质量体系的依据,</w:t>
      </w:r>
      <w:r>
        <w:rPr>
          <w:color w:val="auto"/>
          <w:highlight w:val="none"/>
        </w:rPr>
        <w:t>是生产经营过程中各项活动必须遵守的基本准则。</w:t>
      </w:r>
      <w:r>
        <w:rPr>
          <w:rFonts w:hint="eastAsia"/>
          <w:color w:val="auto"/>
          <w:highlight w:val="none"/>
        </w:rPr>
        <w:t>公司全体员工勿必认真地、全面地、准确地、严格地遵照执行</w:t>
      </w:r>
      <w:r>
        <w:rPr>
          <w:rFonts w:hint="eastAsia"/>
          <w:color w:val="auto"/>
          <w:highlight w:val="none"/>
          <w:lang w:eastAsia="zh-CN"/>
        </w:rPr>
        <w:t>。</w:t>
      </w:r>
    </w:p>
    <w:p>
      <w:pPr>
        <w:bidi w:val="0"/>
        <w:rPr>
          <w:color w:val="auto"/>
          <w:highlight w:val="none"/>
        </w:rPr>
      </w:pPr>
      <w:r>
        <w:rPr>
          <w:color w:val="auto"/>
          <w:highlight w:val="none"/>
        </w:rPr>
        <w:t>本手册自发布之日起正式实施。</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right="0" w:rightChars="0" w:firstLine="360" w:firstLineChars="180"/>
        <w:textAlignment w:val="auto"/>
        <w:rPr>
          <w:rFonts w:ascii="宋体" w:hAnsi="宋体" w:cs="Arial"/>
          <w:color w:val="auto"/>
          <w:sz w:val="20"/>
          <w:szCs w:val="20"/>
          <w:highlight w:val="none"/>
        </w:rPr>
      </w:pPr>
    </w:p>
    <w:p>
      <w:pPr>
        <w:keepNext w:val="0"/>
        <w:keepLines w:val="0"/>
        <w:pageBreakBefore w:val="0"/>
        <w:widowControl w:val="0"/>
        <w:kinsoku/>
        <w:wordWrap/>
        <w:overflowPunct/>
        <w:topLinePunct w:val="0"/>
        <w:autoSpaceDE/>
        <w:autoSpaceDN/>
        <w:bidi w:val="0"/>
        <w:spacing w:line="360" w:lineRule="auto"/>
        <w:ind w:left="420" w:leftChars="200" w:right="0" w:rightChars="0"/>
        <w:textAlignment w:val="auto"/>
        <w:rPr>
          <w:rFonts w:ascii="宋体" w:hAnsi="宋体" w:cs="Arial"/>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358" w:firstLineChars="3504"/>
        <w:jc w:val="both"/>
        <w:textAlignment w:val="auto"/>
        <w:rPr>
          <w:rFonts w:ascii="宋体" w:hAnsi="宋体" w:cs="Arial"/>
          <w:color w:val="auto"/>
          <w:szCs w:val="21"/>
          <w:highlight w:val="none"/>
          <w:u w:val="single"/>
        </w:rPr>
      </w:pPr>
      <w:r>
        <w:rPr>
          <w:rFonts w:hint="eastAsia" w:ascii="宋体" w:hAnsi="宋体" w:cs="Arial"/>
          <w:color w:val="auto"/>
          <w:szCs w:val="21"/>
          <w:highlight w:val="none"/>
        </w:rPr>
        <w:t>总经理：</w:t>
      </w:r>
      <w:r>
        <w:rPr>
          <w:rFonts w:hint="eastAsia" w:ascii="宋体" w:hAnsi="宋体" w:cs="Arial"/>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firstLine="7358" w:firstLineChars="3504"/>
        <w:jc w:val="left"/>
        <w:textAlignment w:val="auto"/>
        <w:rPr>
          <w:rFonts w:hint="default" w:ascii="Times New Roman" w:hAnsi="Times New Roman" w:eastAsia="宋体" w:cs="Times New Roman"/>
          <w:b/>
          <w:bCs/>
          <w:color w:val="auto"/>
          <w:sz w:val="21"/>
          <w:szCs w:val="21"/>
          <w:highlight w:val="none"/>
        </w:rPr>
      </w:pPr>
      <w:r>
        <w:rPr>
          <w:rFonts w:hint="eastAsia" w:ascii="宋体" w:hAnsi="宋体" w:cs="Arial"/>
          <w:color w:val="auto"/>
          <w:szCs w:val="21"/>
          <w:highlight w:val="none"/>
        </w:rPr>
        <w:t xml:space="preserve">日 </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期：</w:t>
      </w:r>
      <w:r>
        <w:rPr>
          <w:rFonts w:hint="eastAsia" w:ascii="宋体" w:hAnsi="宋体" w:cs="Arial"/>
          <w:color w:val="auto"/>
          <w:szCs w:val="21"/>
          <w:highlight w:val="none"/>
          <w:u w:val="single"/>
        </w:rPr>
        <w:t xml:space="preserve">             </w:t>
      </w:r>
    </w:p>
    <w:p>
      <w:pPr>
        <w:rPr>
          <w:rFonts w:hint="default"/>
          <w:color w:val="auto"/>
          <w:highlight w:val="none"/>
        </w:rPr>
      </w:pPr>
      <w:r>
        <w:rPr>
          <w:rFonts w:hint="default"/>
          <w:color w:val="auto"/>
          <w:highlight w:val="none"/>
        </w:rPr>
        <w:br w:type="page"/>
      </w:r>
    </w:p>
    <w:p>
      <w:pPr>
        <w:pStyle w:val="2"/>
        <w:bidi w:val="0"/>
        <w:ind w:left="432" w:leftChars="0" w:hanging="432" w:firstLineChars="0"/>
        <w:rPr>
          <w:rFonts w:hint="default"/>
          <w:color w:val="auto"/>
        </w:rPr>
      </w:pPr>
      <w:r>
        <w:rPr>
          <w:rFonts w:hint="default"/>
          <w:color w:val="auto"/>
        </w:rPr>
        <w:t>公司简介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ourier New" w:eastAsia="宋体" w:cs="Courier New"/>
          <w:i/>
          <w:iCs/>
          <w:color w:val="auto"/>
          <w:kern w:val="2"/>
          <w:sz w:val="21"/>
          <w:szCs w:val="21"/>
          <w:highlight w:val="none"/>
          <w:lang w:val="en-US" w:eastAsia="zh-CN" w:bidi="ar-SA"/>
        </w:rPr>
      </w:pPr>
      <w:r>
        <w:rPr>
          <w:rFonts w:hint="eastAsia" w:ascii="宋体" w:hAnsi="Courier New" w:eastAsia="宋体" w:cs="Courier New"/>
          <w:i/>
          <w:iCs/>
          <w:color w:val="auto"/>
          <w:kern w:val="2"/>
          <w:sz w:val="21"/>
          <w:szCs w:val="21"/>
          <w:highlight w:val="none"/>
          <w:lang w:val="en-US" w:eastAsia="zh-CN" w:bidi="ar-SA"/>
        </w:rPr>
        <w:t>{公司介绍}</w:t>
      </w: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rPr>
          <w:rFonts w:hint="default"/>
          <w:color w:val="auto"/>
          <w:highlight w:val="none"/>
        </w:rPr>
      </w:pPr>
      <w:r>
        <w:rPr>
          <w:rFonts w:hint="default"/>
          <w:color w:val="auto"/>
          <w:highlight w:val="none"/>
        </w:rPr>
        <w:br w:type="page"/>
      </w:r>
    </w:p>
    <w:p>
      <w:pPr>
        <w:pStyle w:val="2"/>
        <w:bidi w:val="0"/>
        <w:ind w:left="432" w:leftChars="0" w:hanging="432" w:firstLineChars="0"/>
        <w:rPr>
          <w:rFonts w:hint="default"/>
          <w:color w:val="auto"/>
        </w:rPr>
      </w:pPr>
      <w:r>
        <w:rPr>
          <w:rFonts w:hint="default"/>
          <w:color w:val="auto"/>
        </w:rPr>
        <w:t>质量方针</w:t>
      </w:r>
    </w:p>
    <w:p>
      <w:pPr>
        <w:bidi w:val="0"/>
        <w:rPr>
          <w:rFonts w:hint="default"/>
          <w:color w:val="auto"/>
          <w:highlight w:val="none"/>
        </w:rPr>
      </w:pPr>
      <w:r>
        <w:rPr>
          <w:rFonts w:hint="default"/>
          <w:color w:val="auto"/>
          <w:highlight w:val="none"/>
        </w:rPr>
        <w:t>依据《</w:t>
      </w:r>
      <w:r>
        <w:rPr>
          <w:rFonts w:hint="default"/>
          <w:color w:val="auto"/>
          <w:highlight w:val="none"/>
          <w:lang w:eastAsia="zh-CN"/>
        </w:rPr>
        <w:t>医疗器械生产质量管理规范</w:t>
      </w:r>
      <w:r>
        <w:rPr>
          <w:rFonts w:hint="default"/>
          <w:color w:val="auto"/>
          <w:highlight w:val="none"/>
        </w:rPr>
        <w:t>》及《</w:t>
      </w:r>
      <w:r>
        <w:rPr>
          <w:rFonts w:hint="eastAsia"/>
          <w:color w:val="auto"/>
          <w:highlight w:val="none"/>
          <w:lang w:eastAsia="zh-CN"/>
        </w:rPr>
        <w:t>医疗器械生产质量管理规范附录体外诊断试剂</w:t>
      </w:r>
      <w:r>
        <w:rPr>
          <w:rFonts w:hint="default"/>
          <w:color w:val="auto"/>
          <w:highlight w:val="none"/>
        </w:rPr>
        <w:t>》建立并逐步完善质量管理体系。</w:t>
      </w:r>
    </w:p>
    <w:p>
      <w:pPr>
        <w:bidi w:val="0"/>
        <w:rPr>
          <w:rFonts w:hint="default"/>
          <w:color w:val="auto"/>
          <w:highlight w:val="none"/>
        </w:rPr>
      </w:pPr>
      <w:r>
        <w:rPr>
          <w:rFonts w:hint="default"/>
          <w:color w:val="auto"/>
          <w:highlight w:val="none"/>
        </w:rPr>
        <w:t>公司通过全面质量管理，以客户的要求与期望为出发点，利用企业的技术优势与管理优势，持续改进，为用户提供</w:t>
      </w:r>
      <w:r>
        <w:rPr>
          <w:rFonts w:hint="default"/>
          <w:color w:val="auto"/>
          <w:highlight w:val="none"/>
          <w:lang w:val="en-US" w:eastAsia="zh-CN"/>
        </w:rPr>
        <w:t>高质量的产品</w:t>
      </w:r>
      <w:r>
        <w:rPr>
          <w:rFonts w:hint="default"/>
          <w:color w:val="auto"/>
          <w:highlight w:val="none"/>
        </w:rPr>
        <w:t>，达到更好地满足用户需要的目的。</w:t>
      </w:r>
    </w:p>
    <w:p>
      <w:pPr>
        <w:bidi w:val="0"/>
        <w:rPr>
          <w:rFonts w:hint="default"/>
          <w:color w:val="auto"/>
          <w:highlight w:val="none"/>
        </w:rPr>
      </w:pPr>
      <w:r>
        <w:rPr>
          <w:rFonts w:hint="default"/>
          <w:color w:val="auto"/>
          <w:highlight w:val="none"/>
        </w:rPr>
        <w:t>公司质量方针</w:t>
      </w:r>
      <w:r>
        <w:rPr>
          <w:rFonts w:hint="eastAsia"/>
          <w:color w:val="auto"/>
          <w:highlight w:val="none"/>
          <w:lang w:val="en-US" w:eastAsia="zh-CN"/>
        </w:rPr>
        <w:t>见附件，</w:t>
      </w:r>
      <w:r>
        <w:rPr>
          <w:rFonts w:hint="default"/>
          <w:color w:val="auto"/>
          <w:highlight w:val="none"/>
        </w:rPr>
        <w:t>各级人员都要贯彻落实公司质量方针，按质量管理体系的具体要求实施。</w:t>
      </w: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pPr>
        <w:pStyle w:val="2"/>
        <w:bidi w:val="0"/>
        <w:ind w:left="432" w:leftChars="0" w:hanging="432" w:firstLineChars="0"/>
        <w:rPr>
          <w:rFonts w:hint="default"/>
          <w:color w:val="auto"/>
        </w:rPr>
      </w:pPr>
      <w:r>
        <w:rPr>
          <w:rFonts w:hint="default"/>
          <w:color w:val="auto"/>
        </w:rPr>
        <w:t>质量体系组织机构图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Courier New" w:eastAsia="宋体" w:cs="Courier New"/>
          <w:i/>
          <w:iCs/>
          <w:color w:val="auto"/>
          <w:kern w:val="2"/>
          <w:sz w:val="21"/>
          <w:szCs w:val="21"/>
          <w:highlight w:val="none"/>
          <w:lang w:val="en-US" w:eastAsia="zh-CN" w:bidi="ar-SA"/>
        </w:rPr>
      </w:pPr>
      <w:r>
        <w:rPr>
          <w:rFonts w:hint="eastAsia" w:ascii="宋体" w:hAnsi="Courier New" w:eastAsia="宋体" w:cs="Courier New"/>
          <w:i/>
          <w:iCs/>
          <w:color w:val="auto"/>
          <w:kern w:val="2"/>
          <w:sz w:val="21"/>
          <w:szCs w:val="21"/>
          <w:highlight w:val="none"/>
          <w:lang w:val="en-US" w:eastAsia="zh-CN" w:bidi="ar-SA"/>
        </w:rPr>
        <w:t>【下图仅供参考，请结合公司实际组织架构进行调整，注意调整后的组织架构中必须包含以下各职能部门】</w:t>
      </w: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0" distR="0">
            <wp:extent cx="5276850" cy="4194810"/>
            <wp:effectExtent l="76200" t="0" r="95250" b="0"/>
            <wp:docPr id="7" name="图表 1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Style w:val="2"/>
        <w:numPr>
          <w:ilvl w:val="0"/>
          <w:numId w:val="2"/>
        </w:numPr>
        <w:bidi w:val="0"/>
        <w:ind w:left="0" w:leftChars="0" w:firstLine="0" w:firstLineChars="0"/>
        <w:rPr>
          <w:rFonts w:hint="default"/>
          <w:color w:val="auto"/>
        </w:rPr>
      </w:pPr>
      <w:r>
        <w:rPr>
          <w:rFonts w:hint="default"/>
          <w:color w:val="auto"/>
          <w:highlight w:val="none"/>
        </w:rPr>
        <w:t>质量手册使用范围</w:t>
      </w:r>
    </w:p>
    <w:p>
      <w:pPr>
        <w:pStyle w:val="3"/>
        <w:numPr>
          <w:ilvl w:val="1"/>
          <w:numId w:val="2"/>
        </w:numPr>
        <w:bidi w:val="0"/>
        <w:ind w:left="0" w:leftChars="0" w:firstLine="0" w:firstLineChars="0"/>
        <w:rPr>
          <w:rFonts w:hint="default"/>
          <w:color w:val="auto"/>
        </w:rPr>
      </w:pPr>
      <w:r>
        <w:rPr>
          <w:rFonts w:hint="default"/>
          <w:color w:val="auto"/>
          <w:lang w:val="en-US" w:eastAsia="zh-CN"/>
        </w:rPr>
        <w:t>总则</w:t>
      </w:r>
    </w:p>
    <w:p>
      <w:pPr>
        <w:keepNext w:val="0"/>
        <w:keepLines w:val="0"/>
        <w:pageBreakBefore w:val="0"/>
        <w:widowControl w:val="0"/>
        <w:numPr>
          <w:ilvl w:val="2"/>
          <w:numId w:val="2"/>
        </w:numPr>
        <w:tabs>
          <w:tab w:val="left" w:pos="640"/>
        </w:tabs>
        <w:kinsoku/>
        <w:wordWrap/>
        <w:overflowPunct/>
        <w:topLinePunct w:val="0"/>
        <w:autoSpaceDE/>
        <w:autoSpaceDN/>
        <w:bidi w:val="0"/>
        <w:adjustRightInd/>
        <w:snapToGrid/>
        <w:spacing w:before="0" w:beforeLines="0" w:line="360" w:lineRule="auto"/>
        <w:ind w:left="0" w:leftChars="0" w:firstLine="0" w:firstLineChars="0"/>
        <w:textAlignment w:val="auto"/>
        <w:rPr>
          <w:rFonts w:hint="default"/>
          <w:color w:val="auto"/>
          <w:highlight w:val="none"/>
          <w:lang w:val="en-US" w:eastAsia="zh-CN"/>
        </w:rPr>
      </w:pPr>
      <w:r>
        <w:rPr>
          <w:rFonts w:hint="default"/>
          <w:color w:val="auto"/>
          <w:highlight w:val="none"/>
        </w:rPr>
        <w:t>本</w:t>
      </w:r>
      <w:r>
        <w:rPr>
          <w:rFonts w:hint="default"/>
          <w:color w:val="auto"/>
          <w:highlight w:val="none"/>
          <w:lang w:val="en-US" w:eastAsia="zh-CN"/>
        </w:rPr>
        <w:t>手册是按照《医疗器械生产质量管理规范》及《</w:t>
      </w:r>
      <w:r>
        <w:rPr>
          <w:rFonts w:hint="eastAsia"/>
          <w:color w:val="auto"/>
          <w:highlight w:val="none"/>
          <w:lang w:val="en-US" w:eastAsia="zh-CN"/>
        </w:rPr>
        <w:t>医疗器械生产质量管理规范附录体外诊断试剂</w:t>
      </w:r>
      <w:r>
        <w:rPr>
          <w:rFonts w:hint="default"/>
          <w:color w:val="auto"/>
          <w:highlight w:val="none"/>
          <w:lang w:val="en-US" w:eastAsia="zh-CN"/>
        </w:rPr>
        <w:t>》的规定，结合本公司实际情况编制而成的，并符合该标准全部要求和适用的</w:t>
      </w:r>
      <w:r>
        <w:rPr>
          <w:rFonts w:hint="eastAsia"/>
          <w:color w:val="auto"/>
          <w:highlight w:val="none"/>
          <w:lang w:val="en-US" w:eastAsia="zh-CN"/>
        </w:rPr>
        <w:t>医疗器械</w:t>
      </w:r>
      <w:r>
        <w:rPr>
          <w:rFonts w:hint="default"/>
          <w:color w:val="auto"/>
          <w:highlight w:val="none"/>
          <w:lang w:val="en-US" w:eastAsia="zh-CN"/>
        </w:rPr>
        <w:t>法规要求。</w:t>
      </w:r>
    </w:p>
    <w:p>
      <w:pPr>
        <w:keepNext w:val="0"/>
        <w:keepLines w:val="0"/>
        <w:pageBreakBefore w:val="0"/>
        <w:widowControl w:val="0"/>
        <w:numPr>
          <w:ilvl w:val="2"/>
          <w:numId w:val="2"/>
        </w:numPr>
        <w:tabs>
          <w:tab w:val="left" w:pos="640"/>
        </w:tabs>
        <w:kinsoku/>
        <w:wordWrap/>
        <w:overflowPunct/>
        <w:topLinePunct w:val="0"/>
        <w:autoSpaceDE/>
        <w:autoSpaceDN/>
        <w:bidi w:val="0"/>
        <w:adjustRightInd/>
        <w:snapToGrid/>
        <w:spacing w:before="0" w:beforeLines="0" w:line="360" w:lineRule="auto"/>
        <w:ind w:left="0" w:leftChars="0" w:firstLine="0" w:firstLineChars="0"/>
        <w:textAlignment w:val="auto"/>
        <w:rPr>
          <w:rFonts w:hint="default"/>
          <w:color w:val="auto"/>
          <w:highlight w:val="none"/>
        </w:rPr>
      </w:pPr>
      <w:r>
        <w:rPr>
          <w:rFonts w:hint="default"/>
          <w:color w:val="auto"/>
          <w:highlight w:val="none"/>
          <w:lang w:val="en-US" w:eastAsia="zh-CN"/>
        </w:rPr>
        <w:t>本手册阐述了公司的质量方针和质量目标，规定了质量管理体系要求，用于证实公司有能力提供持续满足顾</w:t>
      </w:r>
      <w:r>
        <w:rPr>
          <w:rFonts w:hint="default"/>
          <w:color w:val="auto"/>
          <w:highlight w:val="none"/>
        </w:rPr>
        <w:t>客要求和适用于</w:t>
      </w:r>
      <w:r>
        <w:rPr>
          <w:rFonts w:hint="eastAsia"/>
          <w:color w:val="auto"/>
          <w:highlight w:val="none"/>
          <w:lang w:eastAsia="zh-CN"/>
        </w:rPr>
        <w:t>医疗器械</w:t>
      </w:r>
      <w:r>
        <w:rPr>
          <w:rFonts w:hint="default"/>
          <w:color w:val="auto"/>
          <w:highlight w:val="none"/>
        </w:rPr>
        <w:t>和相关服务法规要求的产品和相关服务的组织规定了质量管理体系要求。通过体系的有效运行，从而</w:t>
      </w:r>
      <w:r>
        <w:rPr>
          <w:rFonts w:hint="default"/>
          <w:color w:val="auto"/>
          <w:highlight w:val="none"/>
          <w:lang w:val="en-US" w:eastAsia="zh-CN"/>
        </w:rPr>
        <w:t>为用户提供符合</w:t>
      </w:r>
      <w:r>
        <w:rPr>
          <w:rFonts w:hint="default"/>
          <w:color w:val="auto"/>
          <w:highlight w:val="none"/>
        </w:rPr>
        <w:t>法律法规要求的、安全有效的</w:t>
      </w:r>
      <w:r>
        <w:rPr>
          <w:rFonts w:hint="eastAsia"/>
          <w:color w:val="auto"/>
          <w:highlight w:val="none"/>
          <w:lang w:val="en-US" w:eastAsia="zh-CN"/>
        </w:rPr>
        <w:t>医疗器械</w:t>
      </w:r>
      <w:r>
        <w:rPr>
          <w:rFonts w:hint="default"/>
          <w:color w:val="auto"/>
          <w:highlight w:val="none"/>
        </w:rPr>
        <w:t>产品。</w:t>
      </w:r>
    </w:p>
    <w:p>
      <w:pPr>
        <w:pStyle w:val="3"/>
        <w:numPr>
          <w:ilvl w:val="1"/>
          <w:numId w:val="2"/>
        </w:numPr>
        <w:bidi w:val="0"/>
        <w:ind w:left="0" w:leftChars="0" w:firstLine="0" w:firstLineChars="0"/>
        <w:rPr>
          <w:rFonts w:hint="default"/>
          <w:color w:val="auto"/>
          <w:lang w:val="en-US" w:eastAsia="zh-CN"/>
        </w:rPr>
      </w:pPr>
      <w:r>
        <w:rPr>
          <w:rFonts w:hint="default"/>
          <w:color w:val="auto"/>
          <w:lang w:val="en-US" w:eastAsia="zh-CN"/>
        </w:rPr>
        <w:t>应用</w:t>
      </w:r>
    </w:p>
    <w:p>
      <w:pPr>
        <w:keepNext w:val="0"/>
        <w:keepLines w:val="0"/>
        <w:pageBreakBefore w:val="0"/>
        <w:widowControl w:val="0"/>
        <w:numPr>
          <w:ilvl w:val="2"/>
          <w:numId w:val="2"/>
        </w:numPr>
        <w:tabs>
          <w:tab w:val="left" w:pos="640"/>
        </w:tabs>
        <w:kinsoku/>
        <w:wordWrap/>
        <w:overflowPunct/>
        <w:topLinePunct w:val="0"/>
        <w:autoSpaceDE/>
        <w:autoSpaceDN/>
        <w:bidi w:val="0"/>
        <w:adjustRightInd/>
        <w:snapToGrid/>
        <w:spacing w:before="0" w:beforeLines="0" w:line="360" w:lineRule="auto"/>
        <w:ind w:left="0" w:leftChars="0" w:firstLine="0" w:firstLineChars="0"/>
        <w:textAlignment w:val="auto"/>
        <w:rPr>
          <w:rFonts w:hint="default"/>
          <w:color w:val="auto"/>
          <w:highlight w:val="none"/>
        </w:rPr>
      </w:pPr>
      <w:r>
        <w:rPr>
          <w:rFonts w:hint="default"/>
          <w:color w:val="auto"/>
          <w:highlight w:val="none"/>
        </w:rPr>
        <w:t>本《</w:t>
      </w:r>
      <w:r>
        <w:rPr>
          <w:rFonts w:hint="default"/>
          <w:color w:val="auto"/>
          <w:highlight w:val="none"/>
          <w:lang w:val="en-US" w:eastAsia="zh-CN"/>
        </w:rPr>
        <w:t>质量手册</w:t>
      </w:r>
      <w:r>
        <w:rPr>
          <w:rFonts w:hint="default"/>
          <w:color w:val="auto"/>
          <w:highlight w:val="none"/>
        </w:rPr>
        <w:t>》适用于公司产品的设计和开发、</w:t>
      </w:r>
      <w:r>
        <w:rPr>
          <w:rFonts w:hint="eastAsia"/>
          <w:color w:val="auto"/>
          <w:highlight w:val="none"/>
          <w:lang w:val="en-US" w:eastAsia="zh-CN"/>
        </w:rPr>
        <w:t>生产、质量控制、采购、</w:t>
      </w:r>
      <w:r>
        <w:rPr>
          <w:rFonts w:hint="default"/>
          <w:color w:val="auto"/>
          <w:highlight w:val="none"/>
        </w:rPr>
        <w:t>销售和服务</w:t>
      </w:r>
      <w:r>
        <w:rPr>
          <w:rFonts w:hint="eastAsia"/>
          <w:color w:val="auto"/>
          <w:highlight w:val="none"/>
          <w:lang w:val="en-US" w:eastAsia="zh-CN"/>
        </w:rPr>
        <w:t>等活动</w:t>
      </w:r>
      <w:r>
        <w:rPr>
          <w:rFonts w:hint="default"/>
          <w:color w:val="auto"/>
          <w:highlight w:val="none"/>
        </w:rPr>
        <w:t>。是公司实施管理及管理体系建设的总体政策、纲领和行动准则。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本</w:t>
      </w:r>
      <w:r>
        <w:rPr>
          <w:rFonts w:hint="default"/>
          <w:color w:val="auto"/>
          <w:highlight w:val="none"/>
          <w:lang w:val="en-US" w:eastAsia="zh-CN"/>
        </w:rPr>
        <w:t>手册</w:t>
      </w:r>
      <w:r>
        <w:rPr>
          <w:rFonts w:hint="default"/>
          <w:color w:val="auto"/>
          <w:highlight w:val="none"/>
        </w:rPr>
        <w:t>覆盖的产品为：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ourier New" w:eastAsia="宋体" w:cs="Courier New"/>
          <w:i/>
          <w:iCs/>
          <w:color w:val="auto"/>
          <w:kern w:val="2"/>
          <w:sz w:val="21"/>
          <w:szCs w:val="21"/>
          <w:highlight w:val="none"/>
          <w:lang w:val="en-US" w:eastAsia="zh-CN" w:bidi="ar-SA"/>
        </w:rPr>
      </w:pPr>
      <w:r>
        <w:rPr>
          <w:rFonts w:hint="eastAsia" w:ascii="宋体" w:hAnsi="Courier New" w:eastAsia="宋体" w:cs="Courier New"/>
          <w:i/>
          <w:iCs/>
          <w:color w:val="auto"/>
          <w:kern w:val="2"/>
          <w:sz w:val="21"/>
          <w:szCs w:val="21"/>
          <w:highlight w:val="none"/>
          <w:lang w:val="en-US" w:eastAsia="zh-CN" w:bidi="ar-SA"/>
        </w:rPr>
        <w:t>{医疗器械产品名称、规格型号}</w:t>
      </w:r>
    </w:p>
    <w:p>
      <w:pPr>
        <w:keepNext w:val="0"/>
        <w:keepLines w:val="0"/>
        <w:pageBreakBefore w:val="0"/>
        <w:widowControl w:val="0"/>
        <w:numPr>
          <w:ilvl w:val="2"/>
          <w:numId w:val="2"/>
        </w:numPr>
        <w:tabs>
          <w:tab w:val="left" w:pos="640"/>
        </w:tabs>
        <w:kinsoku/>
        <w:wordWrap/>
        <w:overflowPunct/>
        <w:topLinePunct w:val="0"/>
        <w:autoSpaceDE/>
        <w:autoSpaceDN/>
        <w:bidi w:val="0"/>
        <w:adjustRightInd/>
        <w:snapToGrid/>
        <w:spacing w:before="0" w:beforeLines="0" w:line="360" w:lineRule="auto"/>
        <w:ind w:left="0" w:leftChars="0" w:firstLine="0" w:firstLineChars="0"/>
        <w:textAlignment w:val="auto"/>
        <w:rPr>
          <w:rFonts w:hint="default"/>
          <w:color w:val="auto"/>
          <w:highlight w:val="none"/>
          <w:lang w:val="en-US" w:eastAsia="zh-CN"/>
        </w:rPr>
      </w:pPr>
      <w:r>
        <w:rPr>
          <w:rFonts w:hint="default"/>
          <w:color w:val="auto"/>
          <w:highlight w:val="none"/>
        </w:rPr>
        <w:t>本</w:t>
      </w:r>
      <w:r>
        <w:rPr>
          <w:rFonts w:hint="default"/>
          <w:color w:val="auto"/>
          <w:highlight w:val="none"/>
          <w:lang w:val="en-US" w:eastAsia="zh-CN"/>
        </w:rPr>
        <w:t>手册覆盖质量管理体系管理职责、资源管理、产品实现和测量、分析和改进四大过程，适用于质量管理体系覆盖的研发部、生产部、质量部、人事部、销售部、采购部等部门，以及相关的所有领导和人员。</w:t>
      </w:r>
    </w:p>
    <w:p>
      <w:pPr>
        <w:keepNext w:val="0"/>
        <w:keepLines w:val="0"/>
        <w:pageBreakBefore w:val="0"/>
        <w:widowControl w:val="0"/>
        <w:numPr>
          <w:ilvl w:val="2"/>
          <w:numId w:val="2"/>
        </w:numPr>
        <w:tabs>
          <w:tab w:val="left" w:pos="640"/>
        </w:tabs>
        <w:kinsoku/>
        <w:wordWrap/>
        <w:overflowPunct/>
        <w:topLinePunct w:val="0"/>
        <w:autoSpaceDE/>
        <w:autoSpaceDN/>
        <w:bidi w:val="0"/>
        <w:adjustRightInd/>
        <w:snapToGrid/>
        <w:spacing w:before="0" w:beforeLines="0" w:line="360" w:lineRule="auto"/>
        <w:ind w:left="0" w:leftChars="0" w:firstLine="0" w:firstLineChars="0"/>
        <w:textAlignment w:val="auto"/>
        <w:rPr>
          <w:rFonts w:hint="default"/>
          <w:color w:val="auto"/>
          <w:highlight w:val="none"/>
        </w:rPr>
      </w:pPr>
      <w:r>
        <w:rPr>
          <w:rFonts w:hint="default"/>
          <w:color w:val="auto"/>
          <w:highlight w:val="none"/>
          <w:lang w:val="en-US" w:eastAsia="zh-CN"/>
        </w:rPr>
        <w:t>本</w:t>
      </w:r>
      <w:r>
        <w:rPr>
          <w:rFonts w:hint="default"/>
          <w:color w:val="auto"/>
          <w:highlight w:val="none"/>
        </w:rPr>
        <w:t>手册适用于内部质量管理和对外部提供质量证实，也适用于第三方质量管理体系认证。</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删减说明</w:t>
      </w:r>
      <w:r>
        <w:rPr>
          <w:rFonts w:hint="eastAsia" w:ascii="宋体" w:hAnsi="Courier New" w:eastAsia="宋体" w:cs="Courier New"/>
          <w:i/>
          <w:iCs/>
          <w:color w:val="auto"/>
          <w:kern w:val="2"/>
          <w:sz w:val="21"/>
          <w:szCs w:val="21"/>
          <w:highlight w:val="none"/>
          <w:lang w:val="en-US" w:eastAsia="zh-CN" w:bidi="ar-SA"/>
        </w:rPr>
        <w:t>【请结合公司实际情况调整删减范围】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default"/>
          <w:color w:val="auto"/>
          <w:highlight w:val="none"/>
          <w:lang w:val="en-US" w:eastAsia="zh-CN"/>
        </w:rPr>
        <w:t>以下条款不适用于本公司产品要求，依据公司提供产品的性质，予以删减。</w:t>
      </w:r>
    </w:p>
    <w:p>
      <w:pPr>
        <w:pStyle w:val="18"/>
        <w:numPr>
          <w:ilvl w:val="0"/>
          <w:numId w:val="3"/>
        </w:numPr>
        <w:tabs>
          <w:tab w:val="left" w:pos="630"/>
        </w:tabs>
        <w:spacing w:line="360" w:lineRule="auto"/>
        <w:ind w:left="1060" w:leftChars="0" w:hanging="640" w:firstLineChars="0"/>
        <w:rPr>
          <w:rFonts w:hint="default" w:hAnsi="宋体" w:cs="Times New Roman"/>
          <w:color w:val="auto"/>
          <w:highlight w:val="none"/>
        </w:rPr>
      </w:pPr>
      <w:r>
        <w:rPr>
          <w:rFonts w:hint="eastAsia" w:hAnsi="宋体" w:cs="Times New Roman"/>
          <w:color w:val="auto"/>
          <w:highlight w:val="none"/>
          <w:lang w:val="en-US" w:eastAsia="zh-CN"/>
        </w:rPr>
        <w:t xml:space="preserve">7.5.3 </w:t>
      </w:r>
      <w:r>
        <w:rPr>
          <w:rFonts w:hint="default" w:hAnsi="宋体" w:cs="Times New Roman"/>
          <w:color w:val="auto"/>
          <w:highlight w:val="none"/>
        </w:rPr>
        <w:t>安装活动</w:t>
      </w:r>
    </w:p>
    <w:p>
      <w:pPr>
        <w:pStyle w:val="18"/>
        <w:numPr>
          <w:ilvl w:val="0"/>
          <w:numId w:val="3"/>
        </w:numPr>
        <w:tabs>
          <w:tab w:val="left" w:pos="630"/>
        </w:tabs>
        <w:spacing w:line="360" w:lineRule="auto"/>
        <w:ind w:left="1060" w:leftChars="0" w:hanging="640" w:firstLineChars="0"/>
        <w:rPr>
          <w:rFonts w:hAnsi="宋体" w:cs="Times New Roman"/>
          <w:color w:val="auto"/>
          <w:highlight w:val="none"/>
        </w:rPr>
      </w:pPr>
      <w:r>
        <w:rPr>
          <w:rFonts w:hAnsi="宋体" w:cs="Times New Roman"/>
          <w:color w:val="auto"/>
          <w:highlight w:val="none"/>
        </w:rPr>
        <w:t>7.5.</w:t>
      </w:r>
      <w:r>
        <w:rPr>
          <w:rFonts w:hint="eastAsia" w:hAnsi="宋体" w:cs="Times New Roman"/>
          <w:color w:val="auto"/>
          <w:highlight w:val="none"/>
        </w:rPr>
        <w:t>5</w:t>
      </w:r>
      <w:r>
        <w:rPr>
          <w:rFonts w:hint="eastAsia" w:hAnsi="宋体" w:cs="Times New Roman"/>
          <w:color w:val="auto"/>
          <w:highlight w:val="none"/>
          <w:lang w:val="en-US" w:eastAsia="zh-CN"/>
        </w:rPr>
        <w:t xml:space="preserve"> 无菌</w:t>
      </w:r>
      <w:r>
        <w:rPr>
          <w:rFonts w:hAnsi="宋体" w:cs="Times New Roman"/>
          <w:color w:val="auto"/>
          <w:highlight w:val="none"/>
        </w:rPr>
        <w:t>医疗器械的</w:t>
      </w:r>
      <w:r>
        <w:rPr>
          <w:rFonts w:hint="eastAsia" w:hAnsi="宋体" w:cs="Times New Roman"/>
          <w:color w:val="auto"/>
          <w:highlight w:val="none"/>
          <w:lang w:val="en-US" w:eastAsia="zh-CN"/>
        </w:rPr>
        <w:t>专用</w:t>
      </w:r>
      <w:r>
        <w:rPr>
          <w:rFonts w:hAnsi="宋体" w:cs="Times New Roman"/>
          <w:color w:val="auto"/>
          <w:highlight w:val="none"/>
        </w:rPr>
        <w:t>要求</w:t>
      </w:r>
    </w:p>
    <w:p>
      <w:pPr>
        <w:pStyle w:val="18"/>
        <w:numPr>
          <w:ilvl w:val="0"/>
          <w:numId w:val="3"/>
        </w:numPr>
        <w:tabs>
          <w:tab w:val="left" w:pos="630"/>
        </w:tabs>
        <w:spacing w:line="360" w:lineRule="auto"/>
        <w:ind w:left="1060" w:leftChars="0" w:hanging="640" w:firstLineChars="0"/>
        <w:rPr>
          <w:rFonts w:hint="default"/>
          <w:color w:val="auto"/>
          <w:highlight w:val="none"/>
        </w:rPr>
      </w:pPr>
      <w:r>
        <w:rPr>
          <w:rFonts w:hAnsi="宋体" w:cs="Times New Roman"/>
          <w:color w:val="auto"/>
          <w:highlight w:val="none"/>
        </w:rPr>
        <w:t>……</w:t>
      </w:r>
      <w:r>
        <w:rPr>
          <w:rFonts w:hint="eastAsia"/>
          <w:i/>
          <w:iCs/>
          <w:color w:val="auto"/>
          <w:highlight w:val="none"/>
          <w:lang w:val="en-US" w:eastAsia="zh-CN"/>
        </w:rPr>
        <w:t>{其他不适用条款，如有}</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术语</w:t>
      </w:r>
    </w:p>
    <w:p>
      <w:pPr>
        <w:numPr>
          <w:ilvl w:val="1"/>
          <w:numId w:val="2"/>
        </w:numPr>
        <w:bidi w:val="0"/>
        <w:rPr>
          <w:rFonts w:hint="default"/>
          <w:color w:val="auto"/>
          <w:lang w:val="en-US" w:eastAsia="zh-CN"/>
        </w:rPr>
      </w:pPr>
      <w:r>
        <w:rPr>
          <w:rFonts w:hint="default"/>
          <w:color w:val="auto"/>
          <w:lang w:val="en-US" w:eastAsia="zh-CN"/>
        </w:rPr>
        <w:t>引用GB/T19000:2015《质量管理体系—基础和术语》、GB/T19001:2015《质量管理体系—要求》和《医疗器械生产质量管理规范》对质量手册中使用的主要术语做出规定。</w:t>
      </w:r>
    </w:p>
    <w:p>
      <w:pPr>
        <w:numPr>
          <w:ilvl w:val="1"/>
          <w:numId w:val="2"/>
        </w:numPr>
        <w:bidi w:val="0"/>
        <w:rPr>
          <w:rFonts w:hint="default"/>
          <w:color w:val="auto"/>
          <w:lang w:val="en-US" w:eastAsia="zh-CN"/>
        </w:rPr>
      </w:pPr>
      <w:r>
        <w:rPr>
          <w:rFonts w:hint="default"/>
          <w:color w:val="auto"/>
          <w:lang w:val="en-US" w:eastAsia="zh-CN"/>
        </w:rPr>
        <w:t>本质量体系采用的供应链为：供方 → 组织 → 客户 。</w:t>
      </w:r>
    </w:p>
    <w:p>
      <w:pPr>
        <w:numPr>
          <w:ilvl w:val="1"/>
          <w:numId w:val="2"/>
        </w:numPr>
        <w:bidi w:val="0"/>
        <w:rPr>
          <w:rFonts w:hint="default"/>
          <w:color w:val="auto"/>
          <w:lang w:val="en-US" w:eastAsia="zh-CN"/>
        </w:rPr>
      </w:pPr>
      <w:r>
        <w:rPr>
          <w:rFonts w:hint="default"/>
          <w:color w:val="auto"/>
          <w:lang w:val="en-US" w:eastAsia="zh-CN"/>
        </w:rPr>
        <w:t>本质量体系中，有时“组织”也被称为“本公司”。</w:t>
      </w:r>
    </w:p>
    <w:p>
      <w:pPr>
        <w:pageBreakBefore w:val="0"/>
        <w:kinsoku/>
        <w:wordWrap/>
        <w:overflowPunct/>
        <w:topLinePunct w:val="0"/>
        <w:bidi w:val="0"/>
        <w:spacing w:line="360" w:lineRule="auto"/>
        <w:ind w:right="105" w:rightChars="50" w:firstLine="445" w:firstLineChars="212"/>
        <w:textAlignment w:val="auto"/>
        <w:rPr>
          <w:rFonts w:hint="default" w:ascii="Times New Roman" w:hAnsi="Times New Roman" w:eastAsia="宋体" w:cs="Times New Roman"/>
          <w:color w:val="auto"/>
          <w:sz w:val="21"/>
          <w:szCs w:val="21"/>
          <w:highlight w:val="none"/>
        </w:rPr>
      </w:pP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质量手册管理方法</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职责</w:t>
      </w:r>
    </w:p>
    <w:p>
      <w:pPr>
        <w:numPr>
          <w:ilvl w:val="2"/>
          <w:numId w:val="2"/>
        </w:numPr>
        <w:bidi w:val="0"/>
        <w:rPr>
          <w:rFonts w:hint="default"/>
          <w:color w:val="auto"/>
          <w:lang w:val="en-US" w:eastAsia="zh-CN"/>
        </w:rPr>
      </w:pPr>
      <w:r>
        <w:rPr>
          <w:rFonts w:hint="default"/>
          <w:color w:val="auto"/>
          <w:lang w:val="en-US" w:eastAsia="zh-CN"/>
        </w:rPr>
        <w:t>质量手册由质量部组织编写、管理者代表审核，总经理批准颁布。</w:t>
      </w:r>
    </w:p>
    <w:p>
      <w:pPr>
        <w:numPr>
          <w:ilvl w:val="2"/>
          <w:numId w:val="2"/>
        </w:numPr>
        <w:bidi w:val="0"/>
        <w:rPr>
          <w:rFonts w:hint="default"/>
          <w:color w:val="auto"/>
          <w:lang w:val="en-US" w:eastAsia="zh-CN"/>
        </w:rPr>
      </w:pPr>
      <w:r>
        <w:rPr>
          <w:rFonts w:hint="default"/>
          <w:color w:val="auto"/>
          <w:lang w:val="en-US" w:eastAsia="zh-CN"/>
        </w:rPr>
        <w:t>质量部负责质量手册发放、回收、销毁、记录、保存的管理。</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360" w:lineRule="auto"/>
        <w:ind w:leftChars="0" w:firstLine="420" w:firstLineChars="200"/>
        <w:textAlignment w:val="auto"/>
        <w:rPr>
          <w:rFonts w:hint="default"/>
          <w:color w:val="auto"/>
          <w:highlight w:val="none"/>
        </w:rPr>
      </w:pPr>
      <w:r>
        <w:rPr>
          <w:rFonts w:hint="default"/>
          <w:color w:val="auto"/>
          <w:highlight w:val="none"/>
        </w:rPr>
        <w:t>质量</w:t>
      </w:r>
      <w:r>
        <w:rPr>
          <w:rFonts w:hint="default"/>
          <w:color w:val="auto"/>
          <w:highlight w:val="none"/>
          <w:lang w:val="en-US" w:eastAsia="zh-CN"/>
        </w:rPr>
        <w:t>手册</w:t>
      </w:r>
      <w:r>
        <w:rPr>
          <w:rFonts w:hint="default"/>
          <w:color w:val="auto"/>
          <w:highlight w:val="none"/>
        </w:rPr>
        <w:t>统一编号、发放、记录，文件正本由质量部于右上角盖“正本”印章后保存，发行副本则于副本文件封面右上角盖“受控”印章。具体依《文件和资料控制程序》执行。</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修订</w:t>
      </w:r>
    </w:p>
    <w:p>
      <w:pPr>
        <w:numPr>
          <w:ilvl w:val="2"/>
          <w:numId w:val="2"/>
        </w:numPr>
        <w:bidi w:val="0"/>
        <w:rPr>
          <w:rFonts w:hint="default"/>
          <w:color w:val="auto"/>
          <w:highlight w:val="none"/>
          <w:lang w:val="en-US" w:eastAsia="zh-CN"/>
        </w:rPr>
      </w:pPr>
      <w:r>
        <w:rPr>
          <w:rFonts w:hint="default"/>
          <w:color w:val="auto"/>
          <w:highlight w:val="none"/>
          <w:lang w:val="en-US" w:eastAsia="zh-CN"/>
        </w:rPr>
        <w:t>质量手册在执行过程中出现下列情况时需进行修订和再版：</w:t>
      </w:r>
    </w:p>
    <w:p>
      <w:pPr>
        <w:numPr>
          <w:ilvl w:val="0"/>
          <w:numId w:val="4"/>
        </w:numPr>
        <w:tabs>
          <w:tab w:val="left" w:pos="640"/>
        </w:tabs>
        <w:bidi w:val="0"/>
        <w:ind w:left="833" w:leftChars="200" w:hanging="413" w:hangingChars="197"/>
        <w:rPr>
          <w:rFonts w:hint="default"/>
          <w:color w:val="auto"/>
          <w:highlight w:val="none"/>
          <w:lang w:val="en-US" w:eastAsia="zh-CN"/>
        </w:rPr>
      </w:pPr>
      <w:r>
        <w:rPr>
          <w:rFonts w:hint="default"/>
          <w:color w:val="auto"/>
          <w:highlight w:val="none"/>
          <w:lang w:val="en-US" w:eastAsia="zh-CN"/>
        </w:rPr>
        <w:t>《医疗器械生产质量管理规范》或《医疗器械生产质量管理规范附录</w:t>
      </w:r>
      <w:r>
        <w:rPr>
          <w:rFonts w:hint="eastAsia"/>
          <w:color w:val="auto"/>
          <w:highlight w:val="none"/>
          <w:lang w:val="en-US" w:eastAsia="zh-CN"/>
        </w:rPr>
        <w:t>体外诊断试剂</w:t>
      </w:r>
      <w:r>
        <w:rPr>
          <w:rFonts w:hint="default"/>
          <w:color w:val="auto"/>
          <w:highlight w:val="none"/>
          <w:lang w:val="en-US" w:eastAsia="zh-CN"/>
        </w:rPr>
        <w:t>》发生修改。</w:t>
      </w:r>
    </w:p>
    <w:p>
      <w:pPr>
        <w:numPr>
          <w:ilvl w:val="0"/>
          <w:numId w:val="4"/>
        </w:numPr>
        <w:tabs>
          <w:tab w:val="left" w:pos="640"/>
        </w:tabs>
        <w:bidi w:val="0"/>
        <w:ind w:left="833" w:leftChars="200" w:hanging="413" w:hangingChars="197"/>
        <w:rPr>
          <w:rFonts w:hint="default"/>
          <w:color w:val="auto"/>
          <w:highlight w:val="none"/>
          <w:lang w:val="en-US" w:eastAsia="zh-CN"/>
        </w:rPr>
      </w:pPr>
      <w:r>
        <w:rPr>
          <w:rFonts w:hint="default"/>
          <w:color w:val="auto"/>
          <w:highlight w:val="none"/>
          <w:lang w:val="en-US" w:eastAsia="zh-CN"/>
        </w:rPr>
        <w:t>本公司组织机构、质量体系结构发生变动。</w:t>
      </w:r>
    </w:p>
    <w:p>
      <w:pPr>
        <w:numPr>
          <w:ilvl w:val="0"/>
          <w:numId w:val="4"/>
        </w:numPr>
        <w:tabs>
          <w:tab w:val="left" w:pos="640"/>
        </w:tabs>
        <w:bidi w:val="0"/>
        <w:ind w:left="833" w:leftChars="200" w:hanging="413" w:hangingChars="197"/>
        <w:rPr>
          <w:rFonts w:hint="default"/>
          <w:color w:val="auto"/>
          <w:highlight w:val="none"/>
          <w:lang w:val="en-US" w:eastAsia="zh-CN"/>
        </w:rPr>
      </w:pPr>
      <w:r>
        <w:rPr>
          <w:rFonts w:hint="default"/>
          <w:color w:val="auto"/>
          <w:highlight w:val="none"/>
          <w:lang w:val="en-US" w:eastAsia="zh-CN"/>
        </w:rPr>
        <w:t>本公司产品结构发生变动。</w:t>
      </w:r>
    </w:p>
    <w:p>
      <w:pPr>
        <w:numPr>
          <w:ilvl w:val="0"/>
          <w:numId w:val="4"/>
        </w:numPr>
        <w:tabs>
          <w:tab w:val="left" w:pos="640"/>
        </w:tabs>
        <w:bidi w:val="0"/>
        <w:ind w:left="833" w:leftChars="200" w:hanging="413" w:hangingChars="197"/>
        <w:rPr>
          <w:rFonts w:hint="default"/>
          <w:color w:val="auto"/>
          <w:highlight w:val="none"/>
          <w:lang w:val="en-US" w:eastAsia="zh-CN"/>
        </w:rPr>
      </w:pPr>
      <w:r>
        <w:rPr>
          <w:rFonts w:hint="default"/>
          <w:color w:val="auto"/>
          <w:highlight w:val="none"/>
          <w:lang w:val="en-US" w:eastAsia="zh-CN"/>
        </w:rPr>
        <w:t>本公司质量管理体系审核及管理评审提出改进要求。</w:t>
      </w:r>
    </w:p>
    <w:p>
      <w:pPr>
        <w:numPr>
          <w:ilvl w:val="0"/>
          <w:numId w:val="4"/>
        </w:numPr>
        <w:tabs>
          <w:tab w:val="left" w:pos="640"/>
        </w:tabs>
        <w:bidi w:val="0"/>
        <w:ind w:left="833" w:leftChars="200" w:hanging="413" w:hangingChars="197"/>
        <w:rPr>
          <w:rFonts w:hint="default"/>
          <w:color w:val="auto"/>
          <w:highlight w:val="none"/>
          <w:lang w:val="en-US" w:eastAsia="zh-CN"/>
        </w:rPr>
      </w:pPr>
      <w:r>
        <w:rPr>
          <w:rFonts w:hint="default"/>
          <w:color w:val="auto"/>
          <w:highlight w:val="none"/>
          <w:lang w:val="en-US" w:eastAsia="zh-CN"/>
        </w:rPr>
        <w:t>本公司质量方针调整。</w:t>
      </w:r>
    </w:p>
    <w:p>
      <w:pPr>
        <w:numPr>
          <w:ilvl w:val="2"/>
          <w:numId w:val="2"/>
        </w:numPr>
        <w:bidi w:val="0"/>
        <w:rPr>
          <w:rFonts w:hint="default"/>
          <w:color w:val="auto"/>
          <w:highlight w:val="none"/>
          <w:lang w:val="en-US" w:eastAsia="zh-CN"/>
        </w:rPr>
      </w:pPr>
      <w:r>
        <w:rPr>
          <w:rFonts w:hint="default"/>
          <w:color w:val="auto"/>
          <w:highlight w:val="none"/>
          <w:lang w:val="en-US" w:eastAsia="zh-CN"/>
        </w:rPr>
        <w:t>质量手册的修订版本号及文件的编号原则，依照《</w:t>
      </w:r>
      <w:r>
        <w:rPr>
          <w:rFonts w:hint="eastAsia"/>
          <w:color w:val="auto"/>
          <w:highlight w:val="none"/>
          <w:lang w:val="en-US" w:eastAsia="zh-CN"/>
        </w:rPr>
        <w:t>文件和资料控制程序</w:t>
      </w:r>
      <w:r>
        <w:rPr>
          <w:rFonts w:hint="default"/>
          <w:color w:val="auto"/>
          <w:highlight w:val="none"/>
          <w:lang w:val="en-US" w:eastAsia="zh-CN"/>
        </w:rPr>
        <w:t>》执行。</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引用文件</w:t>
      </w:r>
    </w:p>
    <w:p>
      <w:pPr>
        <w:numPr>
          <w:ilvl w:val="2"/>
          <w:numId w:val="2"/>
        </w:numPr>
        <w:bidi w:val="0"/>
        <w:rPr>
          <w:rFonts w:hint="default"/>
          <w:color w:val="auto"/>
          <w:highlight w:val="none"/>
          <w:lang w:val="en-US" w:eastAsia="zh-CN"/>
        </w:rPr>
      </w:pPr>
      <w:r>
        <w:rPr>
          <w:rFonts w:hint="default"/>
          <w:color w:val="auto"/>
          <w:highlight w:val="none"/>
          <w:lang w:val="en-US" w:eastAsia="zh-CN"/>
        </w:rPr>
        <w:t>《医疗器械生产质量管理规范》</w:t>
      </w:r>
    </w:p>
    <w:p>
      <w:pPr>
        <w:numPr>
          <w:ilvl w:val="2"/>
          <w:numId w:val="2"/>
        </w:numPr>
        <w:bidi w:val="0"/>
        <w:rPr>
          <w:rFonts w:hint="default"/>
          <w:color w:val="auto"/>
          <w:highlight w:val="none"/>
          <w:lang w:val="en-US" w:eastAsia="zh-CN"/>
        </w:rPr>
      </w:pPr>
      <w:r>
        <w:rPr>
          <w:rFonts w:hint="default"/>
          <w:color w:val="auto"/>
          <w:highlight w:val="none"/>
          <w:lang w:val="en-US" w:eastAsia="zh-CN"/>
        </w:rPr>
        <w:t>《医疗器械生产质量管理规范</w:t>
      </w:r>
      <w:r>
        <w:rPr>
          <w:rFonts w:hint="eastAsia"/>
          <w:color w:val="auto"/>
          <w:highlight w:val="none"/>
          <w:lang w:val="en-US" w:eastAsia="zh-CN"/>
        </w:rPr>
        <w:t>附录体外诊断试剂</w:t>
      </w:r>
      <w:r>
        <w:rPr>
          <w:rFonts w:hint="default"/>
          <w:color w:val="auto"/>
          <w:highlight w:val="none"/>
          <w:lang w:val="en-US" w:eastAsia="zh-CN"/>
        </w:rPr>
        <w:t>》</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质量管理体系</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总要求</w:t>
      </w:r>
    </w:p>
    <w:p>
      <w:pPr>
        <w:numPr>
          <w:ilvl w:val="2"/>
          <w:numId w:val="2"/>
        </w:numPr>
        <w:bidi w:val="0"/>
        <w:rPr>
          <w:rFonts w:hint="default"/>
          <w:color w:val="auto"/>
          <w:highlight w:val="none"/>
          <w:lang w:val="en-US" w:eastAsia="zh-CN"/>
        </w:rPr>
      </w:pPr>
      <w:r>
        <w:rPr>
          <w:rFonts w:hint="default"/>
          <w:color w:val="auto"/>
          <w:highlight w:val="none"/>
          <w:lang w:val="en-US" w:eastAsia="zh-CN"/>
        </w:rPr>
        <w:t>本公司建立与产品实现过程相适应的质量管理体系。</w:t>
      </w:r>
    </w:p>
    <w:p>
      <w:pPr>
        <w:numPr>
          <w:ilvl w:val="2"/>
          <w:numId w:val="2"/>
        </w:numPr>
        <w:bidi w:val="0"/>
        <w:rPr>
          <w:rFonts w:hint="default"/>
          <w:color w:val="auto"/>
          <w:highlight w:val="none"/>
          <w:lang w:val="en-US" w:eastAsia="zh-CN"/>
        </w:rPr>
      </w:pPr>
      <w:r>
        <w:rPr>
          <w:rFonts w:hint="eastAsia"/>
          <w:color w:val="auto"/>
          <w:highlight w:val="none"/>
          <w:lang w:val="en-US" w:eastAsia="zh-CN"/>
        </w:rPr>
        <w:t>质量部</w:t>
      </w:r>
      <w:r>
        <w:rPr>
          <w:rFonts w:hint="default"/>
          <w:color w:val="auto"/>
          <w:highlight w:val="none"/>
          <w:lang w:val="en-US" w:eastAsia="zh-CN"/>
        </w:rPr>
        <w:t>按《医疗器械生产质量管理规范》和《</w:t>
      </w:r>
      <w:r>
        <w:rPr>
          <w:rFonts w:hint="eastAsia"/>
          <w:color w:val="auto"/>
          <w:highlight w:val="none"/>
          <w:lang w:val="en-US" w:eastAsia="zh-CN"/>
        </w:rPr>
        <w:t>医疗器械生产质量管理规范附录体外诊断试剂</w:t>
      </w:r>
      <w:r>
        <w:rPr>
          <w:rFonts w:hint="default"/>
          <w:color w:val="auto"/>
          <w:highlight w:val="none"/>
          <w:lang w:val="en-US" w:eastAsia="zh-CN"/>
        </w:rPr>
        <w:t>》的要求</w:t>
      </w:r>
      <w:r>
        <w:rPr>
          <w:rFonts w:hint="eastAsia"/>
          <w:color w:val="auto"/>
          <w:highlight w:val="none"/>
          <w:lang w:val="en-US" w:eastAsia="zh-CN"/>
        </w:rPr>
        <w:t>，</w:t>
      </w:r>
      <w:r>
        <w:rPr>
          <w:rFonts w:hint="default"/>
          <w:color w:val="auto"/>
          <w:highlight w:val="none"/>
          <w:lang w:val="en-US" w:eastAsia="zh-CN"/>
        </w:rPr>
        <w:t>建立与质量管理体系过程</w:t>
      </w:r>
      <w:r>
        <w:rPr>
          <w:rFonts w:hint="eastAsia"/>
          <w:color w:val="auto"/>
          <w:highlight w:val="none"/>
          <w:lang w:val="en-US" w:eastAsia="zh-CN"/>
        </w:rPr>
        <w:t>及</w:t>
      </w:r>
      <w:r>
        <w:rPr>
          <w:rFonts w:hint="default"/>
          <w:color w:val="auto"/>
          <w:highlight w:val="none"/>
          <w:lang w:val="en-US" w:eastAsia="zh-CN"/>
        </w:rPr>
        <w:t>产品实现过程相适应的质量管理体系文件</w:t>
      </w:r>
      <w:r>
        <w:rPr>
          <w:rFonts w:hint="eastAsia"/>
          <w:color w:val="auto"/>
          <w:highlight w:val="none"/>
          <w:lang w:val="en-US" w:eastAsia="zh-CN"/>
        </w:rPr>
        <w:t>，</w:t>
      </w:r>
      <w:r>
        <w:rPr>
          <w:rFonts w:hint="default"/>
          <w:color w:val="auto"/>
          <w:highlight w:val="none"/>
          <w:lang w:val="en-US" w:eastAsia="zh-CN"/>
        </w:rPr>
        <w:t>并保持有效运行</w:t>
      </w:r>
      <w:r>
        <w:rPr>
          <w:rFonts w:hint="eastAsia"/>
          <w:color w:val="auto"/>
          <w:highlight w:val="none"/>
          <w:lang w:val="en-US" w:eastAsia="zh-CN"/>
        </w:rPr>
        <w:t>。</w:t>
      </w:r>
    </w:p>
    <w:p>
      <w:pPr>
        <w:numPr>
          <w:ilvl w:val="2"/>
          <w:numId w:val="2"/>
        </w:numPr>
        <w:bidi w:val="0"/>
        <w:rPr>
          <w:rFonts w:hint="default"/>
          <w:color w:val="auto"/>
          <w:highlight w:val="none"/>
          <w:lang w:val="en-US" w:eastAsia="zh-CN"/>
        </w:rPr>
      </w:pPr>
      <w:r>
        <w:rPr>
          <w:rFonts w:hint="default"/>
          <w:color w:val="auto"/>
          <w:highlight w:val="none"/>
          <w:lang w:val="en-US" w:eastAsia="zh-CN"/>
        </w:rPr>
        <w:t>对《医疗器械生产质量管理规范》及《</w:t>
      </w:r>
      <w:r>
        <w:rPr>
          <w:rFonts w:hint="eastAsia"/>
          <w:color w:val="auto"/>
          <w:highlight w:val="none"/>
          <w:lang w:val="en-US" w:eastAsia="zh-CN"/>
        </w:rPr>
        <w:t>医疗器械生产质量管理规范附录体外诊断试剂</w:t>
      </w:r>
      <w:r>
        <w:rPr>
          <w:rFonts w:hint="default"/>
          <w:color w:val="auto"/>
          <w:highlight w:val="none"/>
          <w:lang w:val="en-US" w:eastAsia="zh-CN"/>
        </w:rPr>
        <w:t>》</w:t>
      </w:r>
      <w:r>
        <w:rPr>
          <w:rFonts w:hint="eastAsia"/>
          <w:color w:val="auto"/>
          <w:highlight w:val="none"/>
          <w:lang w:val="en-US" w:eastAsia="zh-CN"/>
        </w:rPr>
        <w:t>的</w:t>
      </w:r>
      <w:r>
        <w:rPr>
          <w:rFonts w:hint="default"/>
          <w:color w:val="auto"/>
          <w:highlight w:val="none"/>
          <w:lang w:val="en-US" w:eastAsia="zh-CN"/>
        </w:rPr>
        <w:t>任何删减或不适用</w:t>
      </w:r>
      <w:r>
        <w:rPr>
          <w:rFonts w:hint="eastAsia"/>
          <w:color w:val="auto"/>
          <w:highlight w:val="none"/>
          <w:lang w:val="en-US" w:eastAsia="zh-CN"/>
        </w:rPr>
        <w:t>，均需进行</w:t>
      </w:r>
      <w:r>
        <w:rPr>
          <w:rFonts w:hint="default"/>
          <w:color w:val="auto"/>
          <w:highlight w:val="none"/>
          <w:lang w:val="en-US" w:eastAsia="zh-CN"/>
        </w:rPr>
        <w:t>详细说明，且任何删减或不适用不得影响</w:t>
      </w:r>
      <w:r>
        <w:rPr>
          <w:rFonts w:hint="eastAsia"/>
          <w:color w:val="auto"/>
          <w:highlight w:val="none"/>
          <w:lang w:val="en-US" w:eastAsia="zh-CN"/>
        </w:rPr>
        <w:t>医疗器械</w:t>
      </w:r>
      <w:r>
        <w:rPr>
          <w:rFonts w:hint="default"/>
          <w:color w:val="auto"/>
          <w:highlight w:val="none"/>
          <w:lang w:val="en-US" w:eastAsia="zh-CN"/>
        </w:rPr>
        <w:t>产品的安全、有效。</w:t>
      </w:r>
    </w:p>
    <w:p>
      <w:pPr>
        <w:numPr>
          <w:ilvl w:val="2"/>
          <w:numId w:val="2"/>
        </w:numPr>
        <w:bidi w:val="0"/>
        <w:rPr>
          <w:rFonts w:hint="default"/>
          <w:color w:val="auto"/>
          <w:highlight w:val="none"/>
          <w:lang w:val="en-US" w:eastAsia="zh-CN"/>
        </w:rPr>
      </w:pPr>
      <w:r>
        <w:rPr>
          <w:rFonts w:hint="default"/>
          <w:color w:val="auto"/>
          <w:highlight w:val="none"/>
          <w:lang w:val="en-US" w:eastAsia="zh-CN"/>
        </w:rPr>
        <w:t>管理者代表按照《医疗器械生产质量管理规范》和《</w:t>
      </w:r>
      <w:r>
        <w:rPr>
          <w:rFonts w:hint="eastAsia"/>
          <w:color w:val="auto"/>
          <w:highlight w:val="none"/>
          <w:lang w:val="en-US" w:eastAsia="zh-CN"/>
        </w:rPr>
        <w:t>医疗器械生产质量管理规范附录体外诊断试剂</w:t>
      </w:r>
      <w:r>
        <w:rPr>
          <w:rFonts w:hint="default"/>
          <w:color w:val="auto"/>
          <w:highlight w:val="none"/>
          <w:lang w:val="en-US" w:eastAsia="zh-CN"/>
        </w:rPr>
        <w:t>》的要求，识别质量管理体系所需的相应过程及这些过程的顺序和相互作用。确定为确保这些过程有效运行和控制所需的准则和方法。确保可以获得实施过程所需的资源和信息，同时监控、测量、分析这些过程，并采取必要的措施，以实现对这些过程策划的结果并保持这些过程的有效性。</w:t>
      </w:r>
    </w:p>
    <w:p>
      <w:pPr>
        <w:numPr>
          <w:ilvl w:val="2"/>
          <w:numId w:val="2"/>
        </w:numPr>
        <w:bidi w:val="0"/>
        <w:rPr>
          <w:rFonts w:hint="default"/>
          <w:color w:val="auto"/>
          <w:highlight w:val="none"/>
          <w:lang w:val="en-US" w:eastAsia="zh-CN"/>
        </w:rPr>
      </w:pPr>
      <w:r>
        <w:rPr>
          <w:rFonts w:hint="default"/>
          <w:color w:val="auto"/>
          <w:highlight w:val="none"/>
          <w:lang w:val="en-US" w:eastAsia="zh-CN"/>
        </w:rPr>
        <w:t>公司的质量管体系包括以下过程：</w:t>
      </w:r>
    </w:p>
    <w:p>
      <w:pPr>
        <w:pageBreakBefore w:val="0"/>
        <w:numPr>
          <w:ilvl w:val="0"/>
          <w:numId w:val="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宋体" w:hAnsi="宋体" w:eastAsia="宋体" w:cs="宋体"/>
          <w:color w:val="auto"/>
          <w:kern w:val="0"/>
          <w:sz w:val="22"/>
          <w:szCs w:val="22"/>
          <w:highlight w:val="none"/>
          <w:lang w:val="en-US" w:eastAsia="zh-CN" w:bidi="ar"/>
        </w:rPr>
      </w:pPr>
      <w:r>
        <w:rPr>
          <w:rFonts w:hint="default"/>
          <w:color w:val="auto"/>
          <w:highlight w:val="none"/>
          <w:lang w:val="en-US" w:eastAsia="zh-CN"/>
        </w:rPr>
        <w:t>管</w:t>
      </w:r>
      <w:r>
        <w:rPr>
          <w:rFonts w:hint="default" w:ascii="宋体" w:hAnsi="宋体" w:eastAsia="宋体" w:cs="宋体"/>
          <w:color w:val="auto"/>
          <w:kern w:val="0"/>
          <w:sz w:val="22"/>
          <w:szCs w:val="22"/>
          <w:highlight w:val="none"/>
          <w:lang w:val="en-US" w:eastAsia="zh-CN" w:bidi="ar"/>
        </w:rPr>
        <w:t>理职责：制定质量方针，质量目标</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任命管理者代表</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质量管理体系策划</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文件控制</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记录控制</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职责和权限</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建立和实施内部沟通体制</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 xml:space="preserve">管理评审等。 </w:t>
      </w:r>
    </w:p>
    <w:p>
      <w:pPr>
        <w:pageBreakBefore w:val="0"/>
        <w:numPr>
          <w:ilvl w:val="0"/>
          <w:numId w:val="5"/>
        </w:numPr>
        <w:tabs>
          <w:tab w:val="left" w:pos="1060"/>
        </w:tabs>
        <w:kinsoku/>
        <w:wordWrap/>
        <w:overflowPunct/>
        <w:topLinePunct w:val="0"/>
        <w:bidi w:val="0"/>
        <w:spacing w:line="360" w:lineRule="auto"/>
        <w:ind w:left="1078" w:leftChars="304" w:right="105" w:rightChars="50" w:hanging="440" w:hangingChars="200"/>
        <w:jc w:val="left"/>
        <w:textAlignment w:val="auto"/>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资源管理：确定</w:t>
      </w:r>
      <w:r>
        <w:rPr>
          <w:rFonts w:hint="eastAsia" w:ascii="宋体" w:hAnsi="宋体" w:eastAsia="宋体" w:cs="宋体"/>
          <w:color w:val="auto"/>
          <w:kern w:val="0"/>
          <w:sz w:val="22"/>
          <w:szCs w:val="22"/>
          <w:highlight w:val="none"/>
          <w:lang w:val="en-US" w:eastAsia="zh-CN" w:bidi="ar"/>
        </w:rPr>
        <w:t>并</w:t>
      </w:r>
      <w:r>
        <w:rPr>
          <w:rFonts w:hint="default" w:ascii="宋体" w:hAnsi="宋体" w:eastAsia="宋体" w:cs="宋体"/>
          <w:color w:val="auto"/>
          <w:kern w:val="0"/>
          <w:sz w:val="22"/>
          <w:szCs w:val="22"/>
          <w:highlight w:val="none"/>
          <w:lang w:val="en-US" w:eastAsia="zh-CN" w:bidi="ar"/>
        </w:rPr>
        <w:t>提供所需资源（包括人力资源、基础设施、工作环境）</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对资源进行管理（包括</w:t>
      </w:r>
      <w:r>
        <w:rPr>
          <w:rFonts w:hint="eastAsia" w:ascii="宋体" w:hAnsi="宋体" w:eastAsia="宋体" w:cs="宋体"/>
          <w:color w:val="auto"/>
          <w:kern w:val="0"/>
          <w:sz w:val="22"/>
          <w:szCs w:val="22"/>
          <w:highlight w:val="none"/>
          <w:lang w:val="en-US" w:eastAsia="zh-CN" w:bidi="ar"/>
        </w:rPr>
        <w:t>人员</w:t>
      </w:r>
      <w:r>
        <w:rPr>
          <w:rFonts w:hint="default" w:ascii="宋体" w:hAnsi="宋体" w:eastAsia="宋体" w:cs="宋体"/>
          <w:color w:val="auto"/>
          <w:kern w:val="0"/>
          <w:sz w:val="22"/>
          <w:szCs w:val="22"/>
          <w:highlight w:val="none"/>
          <w:lang w:val="en-US" w:eastAsia="zh-CN" w:bidi="ar"/>
        </w:rPr>
        <w:t>能力要求的识别</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培训效果的评价</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基础设施</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工作环境的管理</w:t>
      </w:r>
      <w:r>
        <w:rPr>
          <w:rFonts w:hint="eastAsia" w:ascii="宋体" w:hAnsi="宋体" w:eastAsia="宋体" w:cs="宋体"/>
          <w:color w:val="auto"/>
          <w:kern w:val="0"/>
          <w:sz w:val="22"/>
          <w:szCs w:val="22"/>
          <w:highlight w:val="none"/>
          <w:lang w:val="en-US" w:eastAsia="zh-CN" w:bidi="ar"/>
        </w:rPr>
        <w:t>等</w:t>
      </w:r>
      <w:r>
        <w:rPr>
          <w:rFonts w:hint="default" w:ascii="宋体" w:hAnsi="宋体" w:eastAsia="宋体" w:cs="宋体"/>
          <w:color w:val="auto"/>
          <w:kern w:val="0"/>
          <w:sz w:val="22"/>
          <w:szCs w:val="22"/>
          <w:highlight w:val="none"/>
          <w:lang w:val="en-US" w:eastAsia="zh-CN" w:bidi="ar"/>
        </w:rPr>
        <w:t>），详见第6章“资源管理”。</w:t>
      </w:r>
    </w:p>
    <w:p>
      <w:pPr>
        <w:pageBreakBefore w:val="0"/>
        <w:numPr>
          <w:ilvl w:val="0"/>
          <w:numId w:val="5"/>
        </w:numPr>
        <w:tabs>
          <w:tab w:val="left" w:pos="1060"/>
        </w:tabs>
        <w:kinsoku/>
        <w:wordWrap/>
        <w:overflowPunct/>
        <w:topLinePunct w:val="0"/>
        <w:bidi w:val="0"/>
        <w:spacing w:line="360" w:lineRule="auto"/>
        <w:ind w:left="1078" w:leftChars="304" w:right="105" w:rightChars="50" w:hanging="440" w:hangingChars="200"/>
        <w:jc w:val="left"/>
        <w:textAlignment w:val="auto"/>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val="en-US" w:eastAsia="zh-CN" w:bidi="ar"/>
        </w:rPr>
        <w:t>产品实现：产品实现的策划</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与产品要求有关的确定、评审</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与顾客沟通</w:t>
      </w:r>
      <w:r>
        <w:rPr>
          <w:rFonts w:hint="eastAsia" w:ascii="宋体" w:hAnsi="宋体" w:eastAsia="宋体" w:cs="宋体"/>
          <w:color w:val="auto"/>
          <w:kern w:val="0"/>
          <w:sz w:val="22"/>
          <w:szCs w:val="22"/>
          <w:highlight w:val="none"/>
          <w:lang w:val="en-US" w:eastAsia="zh-CN" w:bidi="ar"/>
        </w:rPr>
        <w:t>；</w:t>
      </w:r>
      <w:r>
        <w:rPr>
          <w:rFonts w:hint="default" w:ascii="宋体" w:hAnsi="宋体" w:eastAsia="宋体" w:cs="宋体"/>
          <w:color w:val="auto"/>
          <w:kern w:val="0"/>
          <w:sz w:val="22"/>
          <w:szCs w:val="22"/>
          <w:highlight w:val="none"/>
          <w:lang w:val="en-US" w:eastAsia="zh-CN" w:bidi="ar"/>
        </w:rPr>
        <w:t>产品的设计开发</w:t>
      </w:r>
      <w:r>
        <w:rPr>
          <w:rFonts w:hint="eastAsia" w:ascii="宋体" w:hAnsi="宋体" w:eastAsia="宋体" w:cs="宋体"/>
          <w:color w:val="auto"/>
          <w:kern w:val="0"/>
          <w:sz w:val="22"/>
          <w:szCs w:val="22"/>
          <w:highlight w:val="none"/>
          <w:lang w:val="en-US" w:eastAsia="zh-CN" w:bidi="ar"/>
        </w:rPr>
        <w:t>、产品生产；采购及供应商管理；</w:t>
      </w:r>
      <w:r>
        <w:rPr>
          <w:rFonts w:hint="default" w:ascii="宋体" w:hAnsi="宋体" w:eastAsia="宋体" w:cs="宋体"/>
          <w:color w:val="auto"/>
          <w:kern w:val="0"/>
          <w:sz w:val="22"/>
          <w:szCs w:val="22"/>
          <w:highlight w:val="none"/>
          <w:lang w:val="en-US" w:eastAsia="zh-CN" w:bidi="ar"/>
        </w:rPr>
        <w:t>监视、测量装置的控制</w:t>
      </w:r>
      <w:r>
        <w:rPr>
          <w:rFonts w:hint="eastAsia" w:ascii="宋体" w:hAnsi="宋体" w:eastAsia="宋体" w:cs="宋体"/>
          <w:color w:val="auto"/>
          <w:kern w:val="0"/>
          <w:sz w:val="22"/>
          <w:szCs w:val="22"/>
          <w:highlight w:val="none"/>
          <w:lang w:val="en-US" w:eastAsia="zh-CN" w:bidi="ar"/>
        </w:rPr>
        <w:t>等</w:t>
      </w:r>
      <w:r>
        <w:rPr>
          <w:rFonts w:hint="default" w:ascii="宋体" w:hAnsi="宋体" w:eastAsia="宋体" w:cs="宋体"/>
          <w:color w:val="auto"/>
          <w:kern w:val="0"/>
          <w:sz w:val="22"/>
          <w:szCs w:val="22"/>
          <w:highlight w:val="none"/>
          <w:lang w:val="en-US" w:eastAsia="zh-CN" w:bidi="ar"/>
        </w:rPr>
        <w:t>，详见第7章“产品实现”。</w:t>
      </w:r>
    </w:p>
    <w:p>
      <w:pPr>
        <w:pageBreakBefore w:val="0"/>
        <w:numPr>
          <w:ilvl w:val="0"/>
          <w:numId w:val="5"/>
        </w:numPr>
        <w:tabs>
          <w:tab w:val="left" w:pos="1060"/>
        </w:tabs>
        <w:kinsoku/>
        <w:wordWrap/>
        <w:overflowPunct/>
        <w:topLinePunct w:val="0"/>
        <w:bidi w:val="0"/>
        <w:spacing w:line="360" w:lineRule="auto"/>
        <w:ind w:left="1078" w:leftChars="304" w:right="105" w:rightChars="50" w:hanging="440" w:hangingChars="200"/>
        <w:jc w:val="left"/>
        <w:textAlignment w:val="auto"/>
        <w:rPr>
          <w:rFonts w:hint="default"/>
          <w:color w:val="auto"/>
          <w:highlight w:val="none"/>
          <w:lang w:val="en-US" w:eastAsia="zh-CN"/>
        </w:rPr>
      </w:pPr>
      <w:r>
        <w:rPr>
          <w:rFonts w:hint="default" w:ascii="宋体" w:hAnsi="宋体" w:eastAsia="宋体" w:cs="宋体"/>
          <w:color w:val="auto"/>
          <w:kern w:val="0"/>
          <w:sz w:val="22"/>
          <w:szCs w:val="22"/>
          <w:highlight w:val="none"/>
          <w:lang w:val="en-US" w:eastAsia="zh-CN" w:bidi="ar"/>
        </w:rPr>
        <w:t>测量、</w:t>
      </w:r>
      <w:r>
        <w:rPr>
          <w:rFonts w:hint="default"/>
          <w:color w:val="auto"/>
          <w:highlight w:val="none"/>
          <w:lang w:val="en-US" w:eastAsia="zh-CN"/>
        </w:rPr>
        <w:t>分析和改进：顾客反馈信息</w:t>
      </w:r>
      <w:r>
        <w:rPr>
          <w:rFonts w:hint="eastAsia"/>
          <w:color w:val="auto"/>
          <w:highlight w:val="none"/>
          <w:lang w:val="en-US" w:eastAsia="zh-CN"/>
        </w:rPr>
        <w:t>管理；</w:t>
      </w:r>
      <w:r>
        <w:rPr>
          <w:rFonts w:hint="default"/>
          <w:color w:val="auto"/>
          <w:highlight w:val="none"/>
          <w:lang w:val="en-US" w:eastAsia="zh-CN"/>
        </w:rPr>
        <w:t>内部质量审核</w:t>
      </w:r>
      <w:r>
        <w:rPr>
          <w:rFonts w:hint="eastAsia"/>
          <w:color w:val="auto"/>
          <w:highlight w:val="none"/>
          <w:lang w:val="en-US" w:eastAsia="zh-CN"/>
        </w:rPr>
        <w:t>；</w:t>
      </w:r>
      <w:r>
        <w:rPr>
          <w:rFonts w:hint="default"/>
          <w:color w:val="auto"/>
          <w:highlight w:val="none"/>
          <w:lang w:val="en-US" w:eastAsia="zh-CN"/>
        </w:rPr>
        <w:t>产品的监视、测量</w:t>
      </w:r>
      <w:r>
        <w:rPr>
          <w:rFonts w:hint="eastAsia"/>
          <w:color w:val="auto"/>
          <w:highlight w:val="none"/>
          <w:lang w:val="en-US" w:eastAsia="zh-CN"/>
        </w:rPr>
        <w:t>；</w:t>
      </w:r>
      <w:r>
        <w:rPr>
          <w:rFonts w:hint="default"/>
          <w:color w:val="auto"/>
          <w:highlight w:val="none"/>
          <w:lang w:val="en-US" w:eastAsia="zh-CN"/>
        </w:rPr>
        <w:t>不合格品</w:t>
      </w:r>
      <w:r>
        <w:rPr>
          <w:rFonts w:hint="eastAsia"/>
          <w:color w:val="auto"/>
          <w:highlight w:val="none"/>
          <w:lang w:val="en-US" w:eastAsia="zh-CN"/>
        </w:rPr>
        <w:t>控制；</w:t>
      </w:r>
      <w:r>
        <w:rPr>
          <w:rFonts w:hint="default"/>
          <w:color w:val="auto"/>
          <w:highlight w:val="none"/>
          <w:lang w:val="en-US" w:eastAsia="zh-CN"/>
        </w:rPr>
        <w:t>数据分析</w:t>
      </w:r>
      <w:r>
        <w:rPr>
          <w:rFonts w:hint="eastAsia"/>
          <w:color w:val="auto"/>
          <w:highlight w:val="none"/>
          <w:lang w:val="en-US" w:eastAsia="zh-CN"/>
        </w:rPr>
        <w:t>；</w:t>
      </w:r>
      <w:r>
        <w:rPr>
          <w:rFonts w:hint="default"/>
          <w:color w:val="auto"/>
          <w:highlight w:val="none"/>
          <w:lang w:val="en-US" w:eastAsia="zh-CN"/>
        </w:rPr>
        <w:t>改进过程等</w:t>
      </w:r>
      <w:r>
        <w:rPr>
          <w:rFonts w:hint="eastAsia"/>
          <w:color w:val="auto"/>
          <w:highlight w:val="none"/>
          <w:lang w:val="en-US" w:eastAsia="zh-CN"/>
        </w:rPr>
        <w:t>。</w:t>
      </w:r>
      <w:r>
        <w:rPr>
          <w:rFonts w:hint="default"/>
          <w:color w:val="auto"/>
          <w:highlight w:val="none"/>
          <w:lang w:val="en-US" w:eastAsia="zh-CN"/>
        </w:rPr>
        <w:t>详见第8章“测量、分析和改进”。</w:t>
      </w:r>
    </w:p>
    <w:p>
      <w:pPr>
        <w:numPr>
          <w:ilvl w:val="2"/>
          <w:numId w:val="2"/>
        </w:numPr>
        <w:bidi w:val="0"/>
        <w:rPr>
          <w:rFonts w:hint="default"/>
          <w:color w:val="auto"/>
          <w:highlight w:val="none"/>
          <w:lang w:val="en-US" w:eastAsia="zh-CN"/>
        </w:rPr>
      </w:pPr>
      <w:r>
        <w:rPr>
          <w:rFonts w:hint="eastAsia"/>
          <w:color w:val="auto"/>
          <w:highlight w:val="none"/>
          <w:lang w:val="en-US" w:eastAsia="zh-CN"/>
        </w:rPr>
        <w:t>针</w:t>
      </w:r>
      <w:r>
        <w:rPr>
          <w:rFonts w:hint="default"/>
          <w:color w:val="auto"/>
          <w:highlight w:val="none"/>
          <w:lang w:val="en-US" w:eastAsia="zh-CN"/>
        </w:rPr>
        <w:t>对各质量管理体系过程，</w:t>
      </w:r>
      <w:r>
        <w:rPr>
          <w:rFonts w:hint="eastAsia"/>
          <w:color w:val="auto"/>
          <w:highlight w:val="none"/>
          <w:lang w:val="en-US" w:eastAsia="zh-CN"/>
        </w:rPr>
        <w:t>公司</w:t>
      </w:r>
      <w:r>
        <w:rPr>
          <w:rFonts w:hint="default"/>
          <w:color w:val="auto"/>
          <w:highlight w:val="none"/>
          <w:lang w:val="en-US" w:eastAsia="zh-CN"/>
        </w:rPr>
        <w:t xml:space="preserve">应： </w:t>
      </w:r>
    </w:p>
    <w:p>
      <w:pPr>
        <w:pageBreakBefore w:val="0"/>
        <w:numPr>
          <w:ilvl w:val="0"/>
          <w:numId w:val="6"/>
        </w:numPr>
        <w:tabs>
          <w:tab w:val="left" w:pos="1060"/>
        </w:tabs>
        <w:kinsoku/>
        <w:wordWrap/>
        <w:overflowPunct/>
        <w:topLinePunct w:val="0"/>
        <w:bidi w:val="0"/>
        <w:spacing w:line="360" w:lineRule="auto"/>
        <w:ind w:left="1078" w:leftChars="304" w:right="105" w:rightChars="50" w:hanging="44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kern w:val="0"/>
          <w:sz w:val="22"/>
          <w:szCs w:val="22"/>
          <w:highlight w:val="none"/>
          <w:lang w:val="en-US" w:eastAsia="zh-CN" w:bidi="ar"/>
        </w:rPr>
        <w:t>确定为</w:t>
      </w:r>
      <w:r>
        <w:rPr>
          <w:rFonts w:hint="eastAsia" w:ascii="Times New Roman" w:hAnsi="Times New Roman" w:eastAsia="宋体" w:cs="Times New Roman"/>
          <w:color w:val="auto"/>
          <w:sz w:val="21"/>
          <w:szCs w:val="21"/>
          <w:highlight w:val="none"/>
          <w:lang w:val="en-US" w:eastAsia="zh-CN"/>
        </w:rPr>
        <w:t xml:space="preserve">保证这些过程的有效运行和控制所需的准则和方法； </w:t>
      </w:r>
    </w:p>
    <w:p>
      <w:pPr>
        <w:pageBreakBefore w:val="0"/>
        <w:numPr>
          <w:ilvl w:val="0"/>
          <w:numId w:val="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确保可以获得必要的资源和信息，以支持这些过程的运作和监视； </w:t>
      </w:r>
    </w:p>
    <w:p>
      <w:pPr>
        <w:pageBreakBefore w:val="0"/>
        <w:numPr>
          <w:ilvl w:val="0"/>
          <w:numId w:val="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实施必要的措施，以实现对这些过程策划的结果并保持这些过程的有效性； </w:t>
      </w:r>
    </w:p>
    <w:p>
      <w:pPr>
        <w:pageBreakBefore w:val="0"/>
        <w:numPr>
          <w:ilvl w:val="0"/>
          <w:numId w:val="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监视、测量(适用时)和分析这些过程； </w:t>
      </w:r>
    </w:p>
    <w:p>
      <w:pPr>
        <w:pageBreakBefore w:val="0"/>
        <w:numPr>
          <w:ilvl w:val="0"/>
          <w:numId w:val="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宋体" w:hAnsi="宋体" w:eastAsia="宋体" w:cs="宋体"/>
          <w:color w:val="auto"/>
          <w:kern w:val="0"/>
          <w:sz w:val="22"/>
          <w:szCs w:val="22"/>
          <w:highlight w:val="none"/>
          <w:lang w:val="en-US" w:eastAsia="zh-CN" w:bidi="ar"/>
        </w:rPr>
      </w:pPr>
      <w:r>
        <w:rPr>
          <w:rFonts w:hint="eastAsia" w:ascii="Times New Roman" w:hAnsi="Times New Roman" w:eastAsia="宋体" w:cs="Times New Roman"/>
          <w:color w:val="auto"/>
          <w:sz w:val="21"/>
          <w:szCs w:val="21"/>
          <w:highlight w:val="none"/>
          <w:lang w:val="en-US" w:eastAsia="zh-CN"/>
        </w:rPr>
        <w:t>建立并保持为证</w:t>
      </w:r>
      <w:r>
        <w:rPr>
          <w:rFonts w:hint="eastAsia" w:ascii="宋体" w:hAnsi="宋体" w:eastAsia="宋体" w:cs="宋体"/>
          <w:color w:val="auto"/>
          <w:kern w:val="0"/>
          <w:sz w:val="22"/>
          <w:szCs w:val="22"/>
          <w:highlight w:val="none"/>
          <w:lang w:val="en-US" w:eastAsia="zh-CN" w:bidi="ar"/>
        </w:rPr>
        <w:t>实符合适用的法规要求的记录</w:t>
      </w:r>
      <w:r>
        <w:rPr>
          <w:rFonts w:hint="eastAsia" w:ascii="宋体" w:hAnsi="宋体" w:cs="宋体"/>
          <w:color w:val="auto"/>
          <w:kern w:val="0"/>
          <w:sz w:val="22"/>
          <w:szCs w:val="22"/>
          <w:highlight w:val="none"/>
          <w:lang w:val="en-US" w:eastAsia="zh-CN" w:bidi="ar"/>
        </w:rPr>
        <w:t>。</w:t>
      </w:r>
    </w:p>
    <w:p>
      <w:pPr>
        <w:numPr>
          <w:ilvl w:val="2"/>
          <w:numId w:val="2"/>
        </w:numPr>
        <w:bidi w:val="0"/>
        <w:rPr>
          <w:rFonts w:hint="default"/>
          <w:color w:val="auto"/>
          <w:highlight w:val="none"/>
          <w:lang w:val="en-US" w:eastAsia="zh-CN"/>
        </w:rPr>
      </w:pPr>
      <w:r>
        <w:rPr>
          <w:rFonts w:hint="eastAsia"/>
          <w:color w:val="auto"/>
          <w:highlight w:val="none"/>
          <w:lang w:val="en-US" w:eastAsia="zh-CN"/>
        </w:rPr>
        <w:t xml:space="preserve">质量部按适用的法规要求管理质量管理体系过程。当这些过程发生变更时，应: </w:t>
      </w:r>
    </w:p>
    <w:p>
      <w:pPr>
        <w:pageBreakBefore w:val="0"/>
        <w:numPr>
          <w:ilvl w:val="0"/>
          <w:numId w:val="7"/>
        </w:numPr>
        <w:tabs>
          <w:tab w:val="left" w:pos="1060"/>
        </w:tabs>
        <w:kinsoku/>
        <w:wordWrap/>
        <w:overflowPunct/>
        <w:topLinePunct w:val="0"/>
        <w:bidi w:val="0"/>
        <w:spacing w:line="360" w:lineRule="auto"/>
        <w:ind w:left="1078" w:leftChars="304" w:right="105" w:rightChars="50" w:hanging="44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kern w:val="0"/>
          <w:sz w:val="22"/>
          <w:szCs w:val="22"/>
          <w:highlight w:val="none"/>
          <w:lang w:val="en-US" w:eastAsia="zh-CN" w:bidi="ar"/>
        </w:rPr>
        <w:t>评价它们</w:t>
      </w:r>
      <w:r>
        <w:rPr>
          <w:rFonts w:hint="eastAsia" w:ascii="Times New Roman" w:hAnsi="Times New Roman" w:eastAsia="宋体" w:cs="Times New Roman"/>
          <w:color w:val="auto"/>
          <w:sz w:val="21"/>
          <w:szCs w:val="21"/>
          <w:highlight w:val="none"/>
          <w:lang w:val="en-US" w:eastAsia="zh-CN"/>
        </w:rPr>
        <w:t xml:space="preserve">对质量管理体系的影响; </w:t>
      </w:r>
    </w:p>
    <w:p>
      <w:pPr>
        <w:pageBreakBefore w:val="0"/>
        <w:numPr>
          <w:ilvl w:val="0"/>
          <w:numId w:val="7"/>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评价它们对依照本质量管理体系所生产的医疗器械的影响;</w:t>
      </w:r>
    </w:p>
    <w:p>
      <w:pPr>
        <w:pageBreakBefore w:val="0"/>
        <w:numPr>
          <w:ilvl w:val="0"/>
          <w:numId w:val="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依据适用的法</w:t>
      </w:r>
      <w:r>
        <w:rPr>
          <w:rFonts w:hint="eastAsia" w:ascii="宋体" w:hAnsi="宋体" w:eastAsia="宋体" w:cs="宋体"/>
          <w:color w:val="auto"/>
          <w:kern w:val="0"/>
          <w:sz w:val="22"/>
          <w:szCs w:val="22"/>
          <w:highlight w:val="none"/>
          <w:lang w:val="en-US" w:eastAsia="zh-CN" w:bidi="ar"/>
        </w:rPr>
        <w:t>规要求得到控制。</w:t>
      </w:r>
    </w:p>
    <w:p>
      <w:pPr>
        <w:numPr>
          <w:ilvl w:val="2"/>
          <w:numId w:val="2"/>
        </w:numPr>
        <w:bidi w:val="0"/>
        <w:rPr>
          <w:rFonts w:hint="default"/>
          <w:color w:val="auto"/>
          <w:highlight w:val="none"/>
          <w:lang w:val="en-US" w:eastAsia="zh-CN"/>
        </w:rPr>
      </w:pPr>
      <w:r>
        <w:rPr>
          <w:rFonts w:hint="default"/>
          <w:color w:val="auto"/>
          <w:highlight w:val="none"/>
          <w:lang w:val="en-US" w:eastAsia="zh-CN"/>
        </w:rPr>
        <w:t>当</w:t>
      </w:r>
      <w:r>
        <w:rPr>
          <w:rFonts w:hint="eastAsia"/>
          <w:color w:val="auto"/>
          <w:highlight w:val="none"/>
          <w:lang w:val="en-US" w:eastAsia="zh-CN"/>
        </w:rPr>
        <w:t>公司</w:t>
      </w:r>
      <w:r>
        <w:rPr>
          <w:rFonts w:hint="default"/>
          <w:color w:val="auto"/>
          <w:highlight w:val="none"/>
          <w:lang w:val="en-US" w:eastAsia="zh-CN"/>
        </w:rPr>
        <w:t>选择将任何影响产品符合要求的过程外包时，</w:t>
      </w:r>
      <w:r>
        <w:rPr>
          <w:rFonts w:hint="eastAsia"/>
          <w:color w:val="auto"/>
          <w:highlight w:val="none"/>
          <w:lang w:val="en-US" w:eastAsia="zh-CN"/>
        </w:rPr>
        <w:t>质量部</w:t>
      </w:r>
      <w:r>
        <w:rPr>
          <w:rFonts w:hint="default"/>
          <w:color w:val="auto"/>
          <w:highlight w:val="none"/>
          <w:lang w:val="en-US" w:eastAsia="zh-CN"/>
        </w:rPr>
        <w:t>应监视和确保对这些过程的控制。</w:t>
      </w:r>
      <w:r>
        <w:rPr>
          <w:rFonts w:hint="eastAsia"/>
          <w:color w:val="auto"/>
          <w:highlight w:val="none"/>
          <w:lang w:val="en-US" w:eastAsia="zh-CN"/>
        </w:rPr>
        <w:t>公司</w:t>
      </w:r>
      <w:r>
        <w:rPr>
          <w:rFonts w:hint="default"/>
          <w:color w:val="auto"/>
          <w:highlight w:val="none"/>
          <w:lang w:val="en-US" w:eastAsia="zh-CN"/>
        </w:rPr>
        <w:t>对</w:t>
      </w:r>
      <w:r>
        <w:rPr>
          <w:rFonts w:hint="eastAsia"/>
          <w:color w:val="auto"/>
          <w:highlight w:val="none"/>
          <w:lang w:val="en-US" w:eastAsia="zh-CN"/>
        </w:rPr>
        <w:t>符合相关标准</w:t>
      </w:r>
      <w:r>
        <w:rPr>
          <w:rFonts w:hint="default"/>
          <w:color w:val="auto"/>
          <w:highlight w:val="none"/>
          <w:lang w:val="en-US" w:eastAsia="zh-CN"/>
        </w:rPr>
        <w:t>、客户要求及外包过程所适用的法规要求负责。采用的控制应与所涉及的风险和外部方满足7.4规定要求的能力相一致。控制应包含书面的质量协议。</w:t>
      </w:r>
    </w:p>
    <w:p>
      <w:pPr>
        <w:keepNext w:val="0"/>
        <w:keepLines w:val="0"/>
        <w:pageBreakBefore w:val="0"/>
        <w:widowControl w:val="0"/>
        <w:numPr>
          <w:ilvl w:val="2"/>
          <w:numId w:val="2"/>
        </w:numPr>
        <w:tabs>
          <w:tab w:val="left" w:pos="155"/>
        </w:tabs>
        <w:kinsoku/>
        <w:wordWrap/>
        <w:overflowPunct/>
        <w:topLinePunct w:val="0"/>
        <w:autoSpaceDE/>
        <w:autoSpaceDN/>
        <w:bidi w:val="0"/>
        <w:adjustRightInd/>
        <w:snapToGrid/>
        <w:textAlignment w:val="auto"/>
        <w:rPr>
          <w:rFonts w:hint="default"/>
          <w:color w:val="auto"/>
          <w:highlight w:val="none"/>
          <w:lang w:val="en-US" w:eastAsia="zh-CN"/>
        </w:rPr>
      </w:pPr>
      <w:r>
        <w:rPr>
          <w:rFonts w:hint="default"/>
          <w:color w:val="auto"/>
          <w:highlight w:val="none"/>
          <w:lang w:val="en-US" w:eastAsia="zh-CN"/>
        </w:rPr>
        <w:t>针对影响产品符合要求的外包过程，公司采购部应对其实施控制。</w:t>
      </w:r>
      <w:r>
        <w:rPr>
          <w:rFonts w:hint="eastAsia"/>
          <w:color w:val="auto"/>
          <w:highlight w:val="none"/>
          <w:lang w:val="en-US" w:eastAsia="zh-CN"/>
        </w:rPr>
        <w:t>本公司的外包过程有</w:t>
      </w:r>
      <w:r>
        <w:rPr>
          <w:rFonts w:hint="eastAsia"/>
          <w:i/>
          <w:iCs/>
          <w:color w:val="auto"/>
          <w:highlight w:val="none"/>
          <w:lang w:val="en-US" w:eastAsia="zh-CN"/>
        </w:rPr>
        <w:t>{外包过程，例如贴片}【如没有外包过程，则此处可调整为“本公司无外包过程”】</w:t>
      </w:r>
      <w:r>
        <w:rPr>
          <w:rFonts w:hint="eastAsia"/>
          <w:color w:val="auto"/>
          <w:highlight w:val="none"/>
          <w:lang w:val="en-US" w:eastAsia="zh-CN"/>
        </w:rPr>
        <w:t>。研发部和质量部应制定技术规范和验收标准，采购部按照《采购控制程序》的要求对供方进行控制。</w:t>
      </w:r>
    </w:p>
    <w:p>
      <w:pPr>
        <w:keepNext w:val="0"/>
        <w:keepLines w:val="0"/>
        <w:pageBreakBefore w:val="0"/>
        <w:widowControl w:val="0"/>
        <w:numPr>
          <w:ilvl w:val="2"/>
          <w:numId w:val="2"/>
        </w:numPr>
        <w:tabs>
          <w:tab w:val="left" w:pos="155"/>
        </w:tabs>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 xml:space="preserve">在初次使用计算机软件管理质量管理体系前，质量部应组织对软件进行确认，适当时，在这类软件的变更后或应用时进行确认。软件确认和再确认有关的特定方法和活动应与软件应用相关的风险相一致。 对此类计算机软件确认的文档由质量部归档保存. </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文件要求</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总则</w:t>
      </w:r>
    </w:p>
    <w:p>
      <w:pPr>
        <w:bidi w:val="0"/>
        <w:rPr>
          <w:rFonts w:hint="default"/>
          <w:color w:val="auto"/>
          <w:highlight w:val="none"/>
        </w:rPr>
      </w:pPr>
      <w:r>
        <w:rPr>
          <w:rFonts w:hint="eastAsia"/>
          <w:color w:val="auto"/>
          <w:highlight w:val="none"/>
          <w:lang w:val="en-US" w:eastAsia="zh-CN"/>
        </w:rPr>
        <w:t>管理者代表组织各部门</w:t>
      </w:r>
      <w:r>
        <w:rPr>
          <w:rFonts w:hint="eastAsia"/>
          <w:color w:val="auto"/>
          <w:highlight w:val="none"/>
        </w:rPr>
        <w:t>建立健全</w:t>
      </w:r>
      <w:r>
        <w:rPr>
          <w:rFonts w:hint="eastAsia"/>
          <w:color w:val="auto"/>
          <w:highlight w:val="none"/>
          <w:lang w:eastAsia="zh-CN"/>
        </w:rPr>
        <w:t>的</w:t>
      </w:r>
      <w:r>
        <w:rPr>
          <w:rFonts w:hint="eastAsia"/>
          <w:color w:val="auto"/>
          <w:highlight w:val="none"/>
        </w:rPr>
        <w:t>质量管理体系文件，</w:t>
      </w:r>
      <w:r>
        <w:rPr>
          <w:rFonts w:hint="default"/>
          <w:color w:val="auto"/>
          <w:highlight w:val="none"/>
        </w:rPr>
        <w:t>包括质量方针和质量目标、质量手册、程序文件、技术文件和记录，法规要求的其他文件。</w:t>
      </w:r>
    </w:p>
    <w:p>
      <w:pPr>
        <w:bidi w:val="0"/>
        <w:rPr>
          <w:rFonts w:hint="default"/>
          <w:color w:val="auto"/>
          <w:highlight w:val="none"/>
        </w:rPr>
      </w:pPr>
      <w:r>
        <w:rPr>
          <w:rFonts w:hint="default"/>
          <w:color w:val="auto"/>
          <w:highlight w:val="none"/>
        </w:rPr>
        <w:t>本公司的质量管理体系文件结构分为四级，包括：</w:t>
      </w:r>
    </w:p>
    <w:p>
      <w:pPr>
        <w:numPr>
          <w:ilvl w:val="0"/>
          <w:numId w:val="8"/>
        </w:numPr>
        <w:tabs>
          <w:tab w:val="left" w:pos="840"/>
        </w:tabs>
        <w:bidi w:val="0"/>
        <w:ind w:left="840" w:leftChars="0" w:hanging="420" w:firstLineChars="0"/>
        <w:rPr>
          <w:rFonts w:hint="default" w:ascii="Times New Roman" w:hAnsi="Times New Roman" w:eastAsia="宋体" w:cs="Times New Roman"/>
          <w:color w:val="auto"/>
          <w:kern w:val="2"/>
          <w:szCs w:val="21"/>
          <w:highlight w:val="none"/>
        </w:rPr>
      </w:pPr>
      <w:r>
        <w:rPr>
          <w:rFonts w:hint="default"/>
          <w:color w:val="auto"/>
          <w:highlight w:val="none"/>
        </w:rPr>
        <w:t>第一层次文件：质量手册</w:t>
      </w:r>
      <w:r>
        <w:rPr>
          <w:rFonts w:hint="eastAsia"/>
          <w:color w:val="auto"/>
          <w:highlight w:val="none"/>
          <w:lang w:eastAsia="zh-CN"/>
        </w:rPr>
        <w:t>：</w:t>
      </w:r>
    </w:p>
    <w:p>
      <w:pPr>
        <w:numPr>
          <w:ilvl w:val="0"/>
          <w:numId w:val="8"/>
        </w:numPr>
        <w:tabs>
          <w:tab w:val="left" w:pos="840"/>
        </w:tabs>
        <w:bidi w:val="0"/>
        <w:ind w:left="840" w:leftChars="0" w:hanging="420" w:firstLineChars="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第二</w:t>
      </w:r>
      <w:r>
        <w:rPr>
          <w:rFonts w:hint="default"/>
          <w:color w:val="auto"/>
          <w:highlight w:val="none"/>
        </w:rPr>
        <w:t>层次</w:t>
      </w:r>
      <w:r>
        <w:rPr>
          <w:rFonts w:hint="default" w:ascii="Times New Roman" w:hAnsi="Times New Roman" w:eastAsia="宋体" w:cs="Times New Roman"/>
          <w:color w:val="auto"/>
          <w:kern w:val="2"/>
          <w:sz w:val="21"/>
          <w:szCs w:val="21"/>
          <w:highlight w:val="none"/>
        </w:rPr>
        <w:t>文件：程序文件（根据产品</w:t>
      </w:r>
      <w:r>
        <w:rPr>
          <w:rFonts w:hint="eastAsia" w:ascii="Calibri" w:hAnsi="Calibri" w:eastAsia="仿宋_GB2312"/>
          <w:color w:val="auto"/>
          <w:kern w:val="0"/>
          <w:sz w:val="21"/>
          <w:szCs w:val="21"/>
          <w:highlight w:val="none"/>
        </w:rPr>
        <w:t>生产</w:t>
      </w:r>
      <w:r>
        <w:rPr>
          <w:rFonts w:hint="default" w:ascii="Times New Roman" w:hAnsi="Times New Roman" w:eastAsia="宋体" w:cs="Times New Roman"/>
          <w:color w:val="auto"/>
          <w:kern w:val="2"/>
          <w:sz w:val="21"/>
          <w:szCs w:val="21"/>
          <w:highlight w:val="none"/>
        </w:rPr>
        <w:t>和质量管理过程中</w:t>
      </w:r>
      <w:r>
        <w:rPr>
          <w:rFonts w:hint="eastAsia" w:ascii="Calibri" w:hAnsi="Calibri" w:eastAsia="仿宋_GB2312"/>
          <w:color w:val="auto"/>
          <w:kern w:val="0"/>
          <w:sz w:val="21"/>
          <w:szCs w:val="21"/>
          <w:highlight w:val="none"/>
        </w:rPr>
        <w:t>需要</w:t>
      </w:r>
      <w:r>
        <w:rPr>
          <w:rFonts w:hint="default" w:ascii="Times New Roman" w:hAnsi="Times New Roman" w:eastAsia="宋体" w:cs="Times New Roman"/>
          <w:color w:val="auto"/>
          <w:kern w:val="2"/>
          <w:sz w:val="21"/>
          <w:szCs w:val="21"/>
          <w:highlight w:val="none"/>
        </w:rPr>
        <w:t>建立的各种工作程序而制定，包含相关法规所规定的各项程序文件）。</w:t>
      </w:r>
    </w:p>
    <w:p>
      <w:pPr>
        <w:numPr>
          <w:ilvl w:val="0"/>
          <w:numId w:val="8"/>
        </w:numPr>
        <w:tabs>
          <w:tab w:val="left" w:pos="840"/>
        </w:tabs>
        <w:bidi w:val="0"/>
        <w:ind w:left="840" w:leftChars="0" w:hanging="420" w:firstLineChars="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第三层次文件：包括：管理规范，技术文件（</w:t>
      </w:r>
      <w:r>
        <w:rPr>
          <w:rFonts w:hint="eastAsia" w:hAnsi="宋体" w:eastAsia="宋体" w:cs="Courier New"/>
          <w:color w:val="auto"/>
          <w:sz w:val="21"/>
          <w:szCs w:val="21"/>
          <w:highlight w:val="none"/>
        </w:rPr>
        <w:t>每一类型或型号的医疗器械</w:t>
      </w:r>
      <w:r>
        <w:rPr>
          <w:rFonts w:hint="eastAsia" w:hAnsi="宋体" w:eastAsia="宋体" w:cs="Courier New"/>
          <w:color w:val="auto"/>
          <w:sz w:val="21"/>
          <w:szCs w:val="21"/>
          <w:highlight w:val="none"/>
          <w:lang w:eastAsia="zh-CN"/>
        </w:rPr>
        <w:t>产品</w:t>
      </w:r>
      <w:r>
        <w:rPr>
          <w:rFonts w:hint="eastAsia" w:hAnsi="宋体" w:eastAsia="宋体" w:cs="Courier New"/>
          <w:color w:val="auto"/>
          <w:sz w:val="21"/>
          <w:szCs w:val="21"/>
          <w:highlight w:val="none"/>
        </w:rPr>
        <w:t>建立和保持一套</w:t>
      </w:r>
      <w:r>
        <w:rPr>
          <w:rFonts w:hint="eastAsia" w:hAnsi="宋体" w:eastAsia="宋体" w:cs="Courier New"/>
          <w:color w:val="auto"/>
          <w:sz w:val="21"/>
          <w:szCs w:val="21"/>
          <w:highlight w:val="none"/>
          <w:lang w:eastAsia="zh-CN"/>
        </w:rPr>
        <w:t>技术文档</w:t>
      </w:r>
      <w:r>
        <w:rPr>
          <w:rFonts w:hint="eastAsia" w:hAnsi="宋体" w:eastAsia="宋体" w:cs="Courier New"/>
          <w:color w:val="auto"/>
          <w:sz w:val="21"/>
          <w:szCs w:val="21"/>
          <w:highlight w:val="none"/>
        </w:rPr>
        <w:t>，</w:t>
      </w:r>
      <w:r>
        <w:rPr>
          <w:rFonts w:hint="eastAsia" w:hAnsi="宋体" w:eastAsia="宋体" w:cs="Courier New"/>
          <w:color w:val="auto"/>
          <w:sz w:val="21"/>
          <w:szCs w:val="21"/>
          <w:highlight w:val="none"/>
          <w:lang w:eastAsia="zh-CN"/>
        </w:rPr>
        <w:t>包括产品技术要求及产品规范</w:t>
      </w:r>
      <w:r>
        <w:rPr>
          <w:rFonts w:hint="eastAsia" w:hAnsi="宋体" w:eastAsia="宋体" w:cs="Courier New"/>
          <w:color w:val="auto"/>
          <w:sz w:val="21"/>
          <w:szCs w:val="21"/>
          <w:highlight w:val="none"/>
          <w:lang w:val="en-US" w:eastAsia="zh-CN"/>
        </w:rPr>
        <w:t>/标准、</w:t>
      </w:r>
      <w:r>
        <w:rPr>
          <w:rFonts w:hint="eastAsia" w:hAnsi="宋体" w:eastAsia="宋体" w:cs="Courier New"/>
          <w:color w:val="auto"/>
          <w:sz w:val="21"/>
          <w:szCs w:val="21"/>
          <w:highlight w:val="none"/>
          <w:lang w:eastAsia="zh-CN"/>
        </w:rPr>
        <w:t>生产工艺</w:t>
      </w:r>
      <w:r>
        <w:rPr>
          <w:rFonts w:hint="eastAsia" w:ascii="宋体" w:hAnsi="宋体" w:eastAsia="宋体" w:cs="Courier New"/>
          <w:color w:val="auto"/>
          <w:kern w:val="2"/>
          <w:sz w:val="21"/>
          <w:szCs w:val="21"/>
          <w:highlight w:val="none"/>
        </w:rPr>
        <w:t>规程</w:t>
      </w:r>
      <w:r>
        <w:rPr>
          <w:rFonts w:hint="eastAsia" w:hAnsi="宋体" w:eastAsia="宋体" w:cs="Courier New"/>
          <w:color w:val="auto"/>
          <w:sz w:val="21"/>
          <w:szCs w:val="21"/>
          <w:highlight w:val="none"/>
          <w:lang w:eastAsia="zh-CN"/>
        </w:rPr>
        <w:t>、作业指导书、</w:t>
      </w:r>
      <w:r>
        <w:rPr>
          <w:rFonts w:hint="eastAsia" w:ascii="宋体" w:hAnsi="宋体" w:eastAsia="宋体" w:cs="Courier New"/>
          <w:color w:val="auto"/>
          <w:kern w:val="2"/>
          <w:sz w:val="21"/>
          <w:szCs w:val="21"/>
          <w:highlight w:val="none"/>
        </w:rPr>
        <w:t>检验和试验操作规程</w:t>
      </w:r>
      <w:r>
        <w:rPr>
          <w:rFonts w:hint="eastAsia" w:hAnsi="宋体" w:eastAsia="宋体" w:cs="Courier New"/>
          <w:color w:val="auto"/>
          <w:sz w:val="21"/>
          <w:szCs w:val="21"/>
          <w:highlight w:val="none"/>
          <w:lang w:eastAsia="zh-CN"/>
        </w:rPr>
        <w:t>，安装和服务操作规程等相关文件</w:t>
      </w:r>
      <w:r>
        <w:rPr>
          <w:rFonts w:hint="eastAsia"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规定完整的生产过程，适用时还包括安装和服务过程。</w:t>
      </w:r>
    </w:p>
    <w:p>
      <w:pPr>
        <w:numPr>
          <w:ilvl w:val="0"/>
          <w:numId w:val="8"/>
        </w:numPr>
        <w:tabs>
          <w:tab w:val="left" w:pos="840"/>
        </w:tabs>
        <w:bidi w:val="0"/>
        <w:ind w:left="840" w:leftChars="0" w:hanging="420" w:firstLineChars="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第四层次文件</w:t>
      </w:r>
      <w:r>
        <w:rPr>
          <w:rFonts w:hint="eastAsia"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主要是指质量管理体系所要求的记录表单。</w:t>
      </w:r>
    </w:p>
    <w:p>
      <w:pPr>
        <w:numPr>
          <w:ilvl w:val="0"/>
          <w:numId w:val="8"/>
        </w:numPr>
        <w:tabs>
          <w:tab w:val="left" w:pos="840"/>
        </w:tabs>
        <w:bidi w:val="0"/>
        <w:ind w:left="840" w:leftChars="0" w:hanging="42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rPr>
        <w:t>法律法规、国家标准、行业标准，外来文件及国家或地区法规规定的其他文件等。</w:t>
      </w:r>
    </w:p>
    <w:p>
      <w:pPr>
        <w:pStyle w:val="3"/>
        <w:numPr>
          <w:ilvl w:val="2"/>
          <w:numId w:val="2"/>
        </w:numPr>
        <w:bidi w:val="0"/>
        <w:ind w:left="0" w:leftChars="0" w:firstLine="0" w:firstLineChars="0"/>
        <w:rPr>
          <w:rFonts w:hint="eastAsia"/>
          <w:color w:val="auto"/>
          <w:highlight w:val="none"/>
          <w:lang w:val="en-US" w:eastAsia="zh-CN"/>
        </w:rPr>
      </w:pPr>
      <w:r>
        <w:rPr>
          <w:rFonts w:hint="default"/>
          <w:color w:val="auto"/>
          <w:highlight w:val="none"/>
          <w:lang w:val="en-US" w:eastAsia="zh-CN"/>
        </w:rPr>
        <w:t>质量手册</w:t>
      </w:r>
    </w:p>
    <w:p>
      <w:pPr>
        <w:numPr>
          <w:ilvl w:val="3"/>
          <w:numId w:val="2"/>
        </w:numPr>
        <w:bidi w:val="0"/>
        <w:rPr>
          <w:rFonts w:hint="eastAsia"/>
          <w:color w:val="auto"/>
          <w:lang w:val="en-US" w:eastAsia="zh-CN"/>
        </w:rPr>
      </w:pPr>
      <w:r>
        <w:rPr>
          <w:rFonts w:hint="eastAsia"/>
          <w:color w:val="auto"/>
          <w:lang w:val="en-US" w:eastAsia="zh-CN"/>
        </w:rPr>
        <w:t>质量手册由质量部组织编制，管理者代表审核，总经理批准。</w:t>
      </w:r>
    </w:p>
    <w:p>
      <w:pPr>
        <w:numPr>
          <w:ilvl w:val="3"/>
          <w:numId w:val="2"/>
        </w:numPr>
        <w:bidi w:val="0"/>
        <w:rPr>
          <w:rFonts w:hint="eastAsia"/>
          <w:color w:val="auto"/>
          <w:lang w:val="en-US" w:eastAsia="zh-CN"/>
        </w:rPr>
      </w:pPr>
      <w:r>
        <w:rPr>
          <w:rFonts w:hint="eastAsia"/>
          <w:color w:val="auto"/>
          <w:lang w:val="en-US" w:eastAsia="zh-CN"/>
        </w:rPr>
        <w:t>质量手册应当对质量管理体系作出规定。</w:t>
      </w:r>
    </w:p>
    <w:p>
      <w:pPr>
        <w:numPr>
          <w:ilvl w:val="3"/>
          <w:numId w:val="2"/>
        </w:numPr>
        <w:bidi w:val="0"/>
        <w:rPr>
          <w:rFonts w:hint="eastAsia"/>
          <w:color w:val="auto"/>
          <w:highlight w:val="none"/>
          <w:lang w:val="en-US" w:eastAsia="zh-CN"/>
        </w:rPr>
      </w:pPr>
      <w:r>
        <w:rPr>
          <w:rFonts w:hint="eastAsia"/>
          <w:color w:val="auto"/>
          <w:lang w:val="en-US" w:eastAsia="zh-CN"/>
        </w:rPr>
        <w:t>质量手册包括以下内容</w:t>
      </w:r>
      <w:r>
        <w:rPr>
          <w:rFonts w:hint="eastAsia"/>
          <w:color w:val="auto"/>
          <w:highlight w:val="none"/>
          <w:lang w:val="en-US" w:eastAsia="zh-CN"/>
        </w:rPr>
        <w:t>：</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包括</w:t>
      </w:r>
      <w:r>
        <w:rPr>
          <w:rFonts w:hint="eastAsia" w:ascii="Times New Roman" w:hAnsi="Times New Roman" w:eastAsia="宋体" w:cs="Times New Roman"/>
          <w:color w:val="auto"/>
          <w:sz w:val="21"/>
          <w:szCs w:val="21"/>
          <w:highlight w:val="none"/>
          <w:lang w:val="en-US" w:eastAsia="zh-CN"/>
        </w:rPr>
        <w:t>公司</w:t>
      </w:r>
      <w:r>
        <w:rPr>
          <w:rFonts w:hint="eastAsia" w:ascii="Times New Roman" w:hAnsi="Times New Roman" w:eastAsia="宋体" w:cs="Times New Roman"/>
          <w:color w:val="auto"/>
          <w:sz w:val="21"/>
          <w:szCs w:val="21"/>
          <w:highlight w:val="none"/>
        </w:rPr>
        <w:t>质量目标</w:t>
      </w:r>
      <w:r>
        <w:rPr>
          <w:rFonts w:hint="default" w:ascii="Times New Roman" w:hAnsi="Times New Roman" w:eastAsia="宋体" w:cs="Times New Roman"/>
          <w:color w:val="auto"/>
          <w:sz w:val="21"/>
          <w:szCs w:val="21"/>
          <w:highlight w:val="none"/>
        </w:rPr>
        <w:t>。</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组织机构及职责</w:t>
      </w:r>
      <w:r>
        <w:rPr>
          <w:rFonts w:hint="eastAsia" w:ascii="Times New Roman" w:hAnsi="Times New Roman" w:eastAsia="宋体" w:cs="Times New Roman"/>
          <w:color w:val="auto"/>
          <w:sz w:val="21"/>
          <w:szCs w:val="21"/>
          <w:highlight w:val="none"/>
          <w:lang w:eastAsia="zh-CN"/>
        </w:rPr>
        <w:t>。</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质量管理体系的</w:t>
      </w:r>
      <w:r>
        <w:rPr>
          <w:rFonts w:hint="eastAsia" w:cs="Times New Roman"/>
          <w:color w:val="auto"/>
          <w:sz w:val="21"/>
          <w:szCs w:val="21"/>
          <w:highlight w:val="none"/>
          <w:lang w:val="en-US" w:eastAsia="zh-CN"/>
        </w:rPr>
        <w:t>适用</w:t>
      </w:r>
      <w:r>
        <w:rPr>
          <w:rFonts w:hint="default" w:ascii="Times New Roman" w:hAnsi="Times New Roman" w:eastAsia="宋体" w:cs="Times New Roman"/>
          <w:color w:val="auto"/>
          <w:sz w:val="21"/>
          <w:szCs w:val="21"/>
          <w:highlight w:val="none"/>
        </w:rPr>
        <w:t>范围和要求，应包含质量管理体系架构图中所有部门及所有产品，覆盖</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》和《</w:t>
      </w:r>
      <w:r>
        <w:rPr>
          <w:rFonts w:hint="eastAsia" w:cs="Times New Roman"/>
          <w:color w:val="auto"/>
          <w:kern w:val="0"/>
          <w:sz w:val="21"/>
          <w:szCs w:val="21"/>
          <w:highlight w:val="none"/>
          <w:lang w:eastAsia="zh-CN"/>
        </w:rPr>
        <w:t>医疗器械生产质量管理规范附录体外诊断试剂</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rPr>
        <w:t>的要求。</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质量管理体系所需过程之间相互作用的描述。</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包括为质量管理体系编制的形成文件的程序或对其引用。</w:t>
      </w:r>
    </w:p>
    <w:p>
      <w:pPr>
        <w:pageBreakBefore w:val="0"/>
        <w:numPr>
          <w:ilvl w:val="0"/>
          <w:numId w:val="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质量方针和质量目标</w:t>
      </w:r>
      <w:r>
        <w:rPr>
          <w:rFonts w:hint="eastAsia" w:ascii="Times New Roman" w:hAnsi="Times New Roman" w:eastAsia="宋体" w:cs="Times New Roman"/>
          <w:color w:val="auto"/>
          <w:sz w:val="21"/>
          <w:szCs w:val="21"/>
          <w:highlight w:val="none"/>
          <w:lang w:eastAsia="zh-CN"/>
        </w:rPr>
        <w:t>：质量方针为质量目标提供依据，质量目标与质量方针保持一致，</w:t>
      </w:r>
      <w:r>
        <w:rPr>
          <w:rFonts w:hint="eastAsia" w:ascii="Times New Roman" w:hAnsi="Times New Roman" w:eastAsia="宋体" w:cs="Times New Roman"/>
          <w:color w:val="auto"/>
          <w:sz w:val="21"/>
          <w:szCs w:val="21"/>
          <w:highlight w:val="none"/>
          <w:lang w:val="en-US" w:eastAsia="zh-CN"/>
        </w:rPr>
        <w:t>应当</w:t>
      </w:r>
      <w:r>
        <w:rPr>
          <w:rFonts w:hint="eastAsia" w:ascii="Times New Roman" w:hAnsi="Times New Roman" w:eastAsia="宋体" w:cs="Times New Roman"/>
          <w:color w:val="auto"/>
          <w:sz w:val="21"/>
          <w:szCs w:val="21"/>
          <w:highlight w:val="none"/>
          <w:lang w:eastAsia="zh-CN"/>
        </w:rPr>
        <w:t>在企业内部得到沟通和理解，在持续适宜性方面得到评审。各部门根据总的质量目标，在相关职能和层次上进行分解，建立各职能和层次的质量目标，包括满足产品要求所需的内容。质量目标应当可测量、可评估，有具体的方法和程序来保障。</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 xml:space="preserve">医疗器械文件 </w:t>
      </w:r>
    </w:p>
    <w:p>
      <w:pPr>
        <w:bidi w:val="0"/>
        <w:rPr>
          <w:rFonts w:hint="default"/>
          <w:color w:val="auto"/>
          <w:highlight w:val="none"/>
          <w:lang w:val="en-US" w:eastAsia="zh-CN"/>
        </w:rPr>
      </w:pPr>
      <w:r>
        <w:rPr>
          <w:rFonts w:hint="default"/>
          <w:color w:val="auto"/>
          <w:highlight w:val="none"/>
          <w:lang w:val="en-US" w:eastAsia="zh-CN"/>
        </w:rPr>
        <w:t>对于各类型医疗器械或医疗器械族，</w:t>
      </w:r>
      <w:r>
        <w:rPr>
          <w:rFonts w:hint="eastAsia"/>
          <w:color w:val="auto"/>
          <w:highlight w:val="none"/>
          <w:lang w:val="en-US" w:eastAsia="zh-CN"/>
        </w:rPr>
        <w:t>公司</w:t>
      </w:r>
      <w:r>
        <w:rPr>
          <w:rFonts w:hint="default"/>
          <w:color w:val="auto"/>
          <w:highlight w:val="none"/>
          <w:lang w:val="en-US" w:eastAsia="zh-CN"/>
        </w:rPr>
        <w:t>应建立和保持一个或多个包含或引用用于证明符合适用法规</w:t>
      </w:r>
      <w:r>
        <w:rPr>
          <w:rFonts w:hint="eastAsia"/>
          <w:color w:val="auto"/>
          <w:highlight w:val="none"/>
          <w:lang w:val="en-US" w:eastAsia="zh-CN"/>
        </w:rPr>
        <w:t>和标准</w:t>
      </w:r>
      <w:r>
        <w:rPr>
          <w:rFonts w:hint="default"/>
          <w:color w:val="auto"/>
          <w:highlight w:val="none"/>
          <w:lang w:val="en-US" w:eastAsia="zh-CN"/>
        </w:rPr>
        <w:t>要求的文件。</w:t>
      </w:r>
    </w:p>
    <w:p>
      <w:pPr>
        <w:bidi w:val="0"/>
        <w:rPr>
          <w:color w:val="auto"/>
          <w:highlight w:val="none"/>
        </w:rPr>
      </w:pPr>
      <w:r>
        <w:rPr>
          <w:rFonts w:hint="eastAsia"/>
          <w:color w:val="auto"/>
          <w:highlight w:val="none"/>
          <w:lang w:val="en-US" w:eastAsia="zh-CN"/>
        </w:rPr>
        <w:t>研发部编制《医疗器械生产技术文件管理规范》，规定文件的类别、内容等要求，包括</w:t>
      </w:r>
      <w:r>
        <w:rPr>
          <w:rFonts w:hint="default"/>
          <w:color w:val="auto"/>
          <w:highlight w:val="none"/>
          <w:lang w:val="en-US" w:eastAsia="zh-CN"/>
        </w:rPr>
        <w:t xml:space="preserve">但不限于： </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医疗器械的总体描述、预期用途/目的和标签，包括任何使用说明;</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产品规范; </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生产、包装、贮存、处理和销售的规范或程序; </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测量和监视的程序; </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适当时，安装要求; </w:t>
      </w:r>
    </w:p>
    <w:p>
      <w:pPr>
        <w:pageBreakBefore w:val="0"/>
        <w:numPr>
          <w:ilvl w:val="0"/>
          <w:numId w:val="1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适当时，服务程序。</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文件控制</w:t>
      </w:r>
    </w:p>
    <w:p>
      <w:pPr>
        <w:bidi w:val="0"/>
        <w:rPr>
          <w:rFonts w:hint="default"/>
          <w:color w:val="auto"/>
          <w:highlight w:val="none"/>
        </w:rPr>
      </w:pPr>
      <w:r>
        <w:rPr>
          <w:rFonts w:hint="eastAsia"/>
          <w:color w:val="auto"/>
          <w:highlight w:val="none"/>
          <w:lang w:val="en-US" w:eastAsia="zh-CN"/>
        </w:rPr>
        <w:t>质量部</w:t>
      </w:r>
      <w:r>
        <w:rPr>
          <w:rFonts w:hint="default"/>
          <w:color w:val="auto"/>
          <w:highlight w:val="none"/>
        </w:rPr>
        <w:t>编制《文件和资料控制程序》，系统地设计、制定、审核、批准和发放质量管理体系文件</w:t>
      </w:r>
      <w:r>
        <w:rPr>
          <w:rFonts w:hint="default"/>
          <w:color w:val="auto"/>
          <w:highlight w:val="none"/>
          <w:lang w:eastAsia="zh-CN"/>
        </w:rPr>
        <w:t>，</w:t>
      </w:r>
      <w:r>
        <w:rPr>
          <w:rFonts w:hint="default"/>
          <w:color w:val="auto"/>
          <w:highlight w:val="none"/>
          <w:lang w:val="en-US" w:eastAsia="zh-CN"/>
        </w:rPr>
        <w:t>规定</w:t>
      </w:r>
      <w:r>
        <w:rPr>
          <w:rFonts w:hint="default"/>
          <w:color w:val="auto"/>
          <w:highlight w:val="none"/>
        </w:rPr>
        <w:t>文件的起草、修订、审核、批准、替换或撤销、复制、保管和销毁等的管理，并记录相应的文件分发、撤销、复制和销毁。</w:t>
      </w:r>
    </w:p>
    <w:p>
      <w:pPr>
        <w:keepNext w:val="0"/>
        <w:keepLines w:val="0"/>
        <w:pageBreakBefore w:val="0"/>
        <w:widowControl w:val="0"/>
        <w:numPr>
          <w:ilvl w:val="3"/>
          <w:numId w:val="2"/>
        </w:numPr>
        <w:kinsoku/>
        <w:wordWrap/>
        <w:overflowPunct/>
        <w:topLinePunct w:val="0"/>
        <w:autoSpaceDE/>
        <w:autoSpaceDN/>
        <w:bidi w:val="0"/>
        <w:adjustRightInd/>
        <w:snapToGrid/>
        <w:textAlignment w:val="auto"/>
        <w:rPr>
          <w:rFonts w:hint="eastAsia"/>
          <w:color w:val="auto"/>
          <w:lang w:val="en-US" w:eastAsia="zh-CN"/>
        </w:rPr>
      </w:pPr>
      <w:r>
        <w:rPr>
          <w:rFonts w:hint="eastAsia"/>
          <w:color w:val="auto"/>
          <w:highlight w:val="none"/>
          <w:lang w:val="en-US" w:eastAsia="zh-CN"/>
        </w:rPr>
        <w:t>文</w:t>
      </w:r>
      <w:r>
        <w:rPr>
          <w:rFonts w:hint="eastAsia"/>
          <w:color w:val="auto"/>
          <w:lang w:val="en-US" w:eastAsia="zh-CN"/>
        </w:rPr>
        <w:t>件发布前得到评审和批准，以确保文件是充分与适宜的。</w:t>
      </w:r>
    </w:p>
    <w:p>
      <w:pPr>
        <w:numPr>
          <w:ilvl w:val="3"/>
          <w:numId w:val="2"/>
        </w:numPr>
        <w:bidi w:val="0"/>
        <w:rPr>
          <w:rFonts w:hint="eastAsia"/>
          <w:color w:val="auto"/>
          <w:lang w:val="en-US" w:eastAsia="zh-CN"/>
        </w:rPr>
      </w:pPr>
      <w:r>
        <w:rPr>
          <w:rFonts w:hint="eastAsia"/>
          <w:color w:val="auto"/>
          <w:lang w:val="en-US" w:eastAsia="zh-CN"/>
        </w:rPr>
        <w:t>文件需要更新或修订时，应当按规定评审和批准，能够识别文件的更改和修订状态。</w:t>
      </w:r>
    </w:p>
    <w:p>
      <w:pPr>
        <w:numPr>
          <w:ilvl w:val="3"/>
          <w:numId w:val="2"/>
        </w:numPr>
        <w:bidi w:val="0"/>
        <w:rPr>
          <w:rFonts w:hint="eastAsia"/>
          <w:color w:val="auto"/>
          <w:lang w:val="en-US" w:eastAsia="zh-CN"/>
        </w:rPr>
      </w:pPr>
      <w:r>
        <w:rPr>
          <w:rFonts w:hint="eastAsia"/>
          <w:color w:val="auto"/>
          <w:lang w:val="en-US" w:eastAsia="zh-CN"/>
        </w:rPr>
        <w:t>分发和使用的文件应当为适宜的文本，确保文件使用地点和场合可获取得文件的有效版本。</w:t>
      </w:r>
    </w:p>
    <w:p>
      <w:pPr>
        <w:numPr>
          <w:ilvl w:val="3"/>
          <w:numId w:val="2"/>
        </w:numPr>
        <w:bidi w:val="0"/>
        <w:rPr>
          <w:rFonts w:hint="eastAsia"/>
          <w:color w:val="auto"/>
          <w:lang w:val="en-US" w:eastAsia="zh-CN"/>
        </w:rPr>
      </w:pPr>
      <w:r>
        <w:rPr>
          <w:rFonts w:hint="eastAsia"/>
          <w:color w:val="auto"/>
          <w:lang w:val="en-US" w:eastAsia="zh-CN"/>
        </w:rPr>
        <w:t>已撤销或作废的文件应当进行标识，防止误用，并应至少保存一份作废的受控文件。</w:t>
      </w:r>
    </w:p>
    <w:p>
      <w:pPr>
        <w:numPr>
          <w:ilvl w:val="3"/>
          <w:numId w:val="2"/>
        </w:numPr>
        <w:bidi w:val="0"/>
        <w:rPr>
          <w:rFonts w:hint="eastAsia"/>
          <w:color w:val="auto"/>
          <w:lang w:val="en-US" w:eastAsia="zh-CN"/>
        </w:rPr>
      </w:pPr>
      <w:r>
        <w:rPr>
          <w:rFonts w:hint="default"/>
          <w:color w:val="auto"/>
          <w:lang w:val="en-US" w:eastAsia="zh-CN"/>
        </w:rPr>
        <w:t>质量体系文件的保存期限为修改更新。</w:t>
      </w:r>
      <w:r>
        <w:rPr>
          <w:rFonts w:hint="eastAsia"/>
          <w:color w:val="auto"/>
          <w:lang w:val="en-US" w:eastAsia="zh-CN"/>
        </w:rPr>
        <w:t>作废的技术文件、注册文件的保存期限为该产品的最后一件产品的寿命期再加2年，但至少保存5年，法规有特殊要求时需要满足法规要求，以确保满足产品维修和产品质量责任追溯等需要。</w:t>
      </w:r>
    </w:p>
    <w:p>
      <w:pPr>
        <w:numPr>
          <w:ilvl w:val="3"/>
          <w:numId w:val="2"/>
        </w:numPr>
        <w:bidi w:val="0"/>
        <w:rPr>
          <w:rFonts w:hint="eastAsia"/>
          <w:color w:val="auto"/>
          <w:highlight w:val="none"/>
          <w:lang w:val="en-US" w:eastAsia="zh-CN"/>
        </w:rPr>
      </w:pPr>
      <w:r>
        <w:rPr>
          <w:rFonts w:hint="eastAsia"/>
          <w:color w:val="auto"/>
          <w:szCs w:val="21"/>
          <w:highlight w:val="none"/>
          <w:lang w:eastAsia="zh-CN"/>
        </w:rPr>
        <w:t>所</w:t>
      </w:r>
      <w:r>
        <w:rPr>
          <w:rFonts w:hint="eastAsia" w:ascii="Times New Roman" w:hAnsi="Times New Roman" w:eastAsia="宋体" w:cs="Times New Roman"/>
          <w:color w:val="auto"/>
          <w:szCs w:val="21"/>
          <w:highlight w:val="none"/>
          <w:lang w:eastAsia="zh-CN"/>
        </w:rPr>
        <w:t>有</w:t>
      </w:r>
      <w:r>
        <w:rPr>
          <w:rFonts w:hint="eastAsia" w:ascii="Times New Roman" w:hAnsi="Times New Roman" w:eastAsia="宋体" w:cs="Times New Roman"/>
          <w:color w:val="auto"/>
          <w:szCs w:val="21"/>
          <w:highlight w:val="none"/>
          <w:lang w:val="en-US" w:eastAsia="zh-CN"/>
        </w:rPr>
        <w:t>已撤销</w:t>
      </w:r>
      <w:r>
        <w:rPr>
          <w:rFonts w:hint="eastAsia" w:ascii="Times New Roman" w:hAnsi="Times New Roman" w:eastAsia="宋体" w:cs="Times New Roman"/>
          <w:color w:val="auto"/>
          <w:szCs w:val="21"/>
          <w:highlight w:val="none"/>
          <w:lang w:eastAsia="zh-CN"/>
        </w:rPr>
        <w:t>或作废的文件</w:t>
      </w:r>
      <w:r>
        <w:rPr>
          <w:rFonts w:hint="eastAsia"/>
          <w:color w:val="auto"/>
          <w:highlight w:val="none"/>
          <w:lang w:val="en-US" w:eastAsia="zh-CN"/>
        </w:rPr>
        <w:t>由质量部统一保存，超过保存期限时，应由质量部提出销毁申请，经经管理者代表批准后销毁。</w:t>
      </w:r>
    </w:p>
    <w:p>
      <w:pPr>
        <w:numPr>
          <w:ilvl w:val="3"/>
          <w:numId w:val="2"/>
        </w:numPr>
        <w:bidi w:val="0"/>
        <w:rPr>
          <w:rFonts w:hint="eastAsia"/>
          <w:color w:val="auto"/>
          <w:highlight w:val="none"/>
          <w:lang w:val="en-US" w:eastAsia="zh-CN"/>
        </w:rPr>
      </w:pPr>
      <w:r>
        <w:rPr>
          <w:rFonts w:hint="eastAsia"/>
          <w:color w:val="auto"/>
          <w:highlight w:val="none"/>
          <w:lang w:val="en-US" w:eastAsia="zh-CN"/>
        </w:rPr>
        <w:t>已获证医疗器械的全部研发资料和技术文档由质量部进行存档管理。包括清单编制、保存、归档、检索、查阅、变更、移交、使用权限，并保留相关记录。</w:t>
      </w:r>
    </w:p>
    <w:p>
      <w:pPr>
        <w:numPr>
          <w:ilvl w:val="3"/>
          <w:numId w:val="2"/>
        </w:numPr>
        <w:bidi w:val="0"/>
        <w:rPr>
          <w:rFonts w:hint="eastAsia"/>
          <w:color w:val="auto"/>
          <w:highlight w:val="none"/>
          <w:lang w:val="en-US" w:eastAsia="zh-CN"/>
        </w:rPr>
      </w:pPr>
      <w:r>
        <w:rPr>
          <w:rFonts w:hint="eastAsia"/>
          <w:color w:val="auto"/>
          <w:highlight w:val="none"/>
          <w:lang w:val="en-US" w:eastAsia="zh-CN"/>
        </w:rPr>
        <w:t>医疗器械相关法律法规、技术标准、指南性文件、质量公告等外来文件由质量部进行管理，包括收集、更新、检索、汇总、分析，并保留相关记录。</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记录控制</w:t>
      </w:r>
    </w:p>
    <w:p>
      <w:pPr>
        <w:numPr>
          <w:ilvl w:val="3"/>
          <w:numId w:val="2"/>
        </w:numPr>
        <w:bidi w:val="0"/>
        <w:rPr>
          <w:rFonts w:hint="eastAsia"/>
          <w:color w:val="auto"/>
          <w:lang w:val="en-US" w:eastAsia="zh-CN"/>
        </w:rPr>
      </w:pPr>
      <w:r>
        <w:rPr>
          <w:rFonts w:hint="eastAsia"/>
          <w:color w:val="auto"/>
          <w:highlight w:val="none"/>
          <w:lang w:val="en-US" w:eastAsia="zh-CN"/>
        </w:rPr>
        <w:t>质量</w:t>
      </w:r>
      <w:r>
        <w:rPr>
          <w:rFonts w:hint="eastAsia"/>
          <w:color w:val="auto"/>
          <w:lang w:val="en-US" w:eastAsia="zh-CN"/>
        </w:rPr>
        <w:t>部编制《记录控制程序》，对质量管理体系所要求的记录加以控制，包括质量记录的标识、保管、检索、防护、保存期限和处置要求等。</w:t>
      </w:r>
    </w:p>
    <w:p>
      <w:pPr>
        <w:numPr>
          <w:ilvl w:val="3"/>
          <w:numId w:val="2"/>
        </w:numPr>
        <w:bidi w:val="0"/>
        <w:rPr>
          <w:rFonts w:hint="eastAsia"/>
          <w:color w:val="auto"/>
          <w:lang w:val="en-US" w:eastAsia="zh-CN"/>
        </w:rPr>
      </w:pPr>
      <w:r>
        <w:rPr>
          <w:rFonts w:hint="eastAsia"/>
          <w:color w:val="auto"/>
          <w:lang w:val="en-US" w:eastAsia="zh-CN"/>
        </w:rPr>
        <w:t>公司应保持对每批产品的生产记录，保证产品生产、质量控制等活动可追溯性。</w:t>
      </w:r>
    </w:p>
    <w:p>
      <w:pPr>
        <w:numPr>
          <w:ilvl w:val="3"/>
          <w:numId w:val="2"/>
        </w:numPr>
        <w:bidi w:val="0"/>
        <w:rPr>
          <w:rFonts w:hint="eastAsia"/>
          <w:color w:val="auto"/>
          <w:lang w:val="en-US" w:eastAsia="zh-CN"/>
        </w:rPr>
      </w:pPr>
      <w:r>
        <w:rPr>
          <w:rFonts w:hint="eastAsia"/>
          <w:color w:val="auto"/>
          <w:lang w:val="en-US" w:eastAsia="zh-CN"/>
        </w:rPr>
        <w:t>记录应当清晰、完整，易于识别和检索，防止破损和丢失。记录不得随意涂改或销毁，更改记录应当签注姓名和日期，并使原有信息仍清晰可辨，必要时，应当说明更改的理由。</w:t>
      </w:r>
    </w:p>
    <w:p>
      <w:pPr>
        <w:numPr>
          <w:ilvl w:val="3"/>
          <w:numId w:val="2"/>
        </w:numPr>
        <w:bidi w:val="0"/>
        <w:rPr>
          <w:rFonts w:hint="default"/>
          <w:color w:val="auto"/>
          <w:lang w:val="en-US" w:eastAsia="zh-CN"/>
        </w:rPr>
      </w:pPr>
      <w:r>
        <w:rPr>
          <w:rFonts w:hint="eastAsia"/>
          <w:color w:val="auto"/>
          <w:lang w:val="en-US" w:eastAsia="zh-CN"/>
        </w:rPr>
        <w:t>与健康保密信息有关的记录，归档责任部门应在记录上加盖“保密”章并进行封存，如需要解封或者向其他部门或人员提供，应由需求部门填写保密信息查看申请，经总经理批准后，由归档责任部门复印后提供给申请人。申请人查看后，交由归档责任部门销毁处理。</w:t>
      </w:r>
    </w:p>
    <w:p>
      <w:pPr>
        <w:numPr>
          <w:ilvl w:val="3"/>
          <w:numId w:val="2"/>
        </w:numPr>
        <w:bidi w:val="0"/>
        <w:rPr>
          <w:rFonts w:hint="default"/>
          <w:color w:val="auto"/>
          <w:highlight w:val="none"/>
          <w:lang w:val="en-US" w:eastAsia="zh-CN"/>
        </w:rPr>
      </w:pPr>
      <w:r>
        <w:rPr>
          <w:rFonts w:hint="eastAsia"/>
          <w:color w:val="auto"/>
          <w:lang w:val="en-US" w:eastAsia="zh-CN"/>
        </w:rPr>
        <w:t>与产品相关的记录（含供方的记录）的保存期限为产品寿命期再追加2年，或符合相关法规要求，并能够进行追溯。</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支持性文件</w:t>
      </w:r>
    </w:p>
    <w:p>
      <w:pPr>
        <w:numPr>
          <w:ilvl w:val="3"/>
          <w:numId w:val="2"/>
        </w:numPr>
        <w:bidi w:val="0"/>
        <w:rPr>
          <w:rFonts w:hint="default"/>
          <w:color w:val="auto"/>
          <w:lang w:val="en-US" w:eastAsia="zh-CN"/>
        </w:rPr>
      </w:pPr>
      <w:r>
        <w:rPr>
          <w:rFonts w:hint="default"/>
          <w:color w:val="auto"/>
          <w:highlight w:val="none"/>
          <w:lang w:val="en-US" w:eastAsia="zh-CN"/>
        </w:rPr>
        <w:t>《文件和</w:t>
      </w:r>
      <w:r>
        <w:rPr>
          <w:rFonts w:hint="default"/>
          <w:color w:val="auto"/>
          <w:lang w:val="en-US" w:eastAsia="zh-CN"/>
        </w:rPr>
        <w:t>资料控制程序》                 （XX-QP-001）</w:t>
      </w:r>
    </w:p>
    <w:p>
      <w:pPr>
        <w:numPr>
          <w:ilvl w:val="3"/>
          <w:numId w:val="2"/>
        </w:numPr>
        <w:bidi w:val="0"/>
        <w:rPr>
          <w:rFonts w:hint="default"/>
          <w:color w:val="auto"/>
          <w:highlight w:val="none"/>
          <w:lang w:val="en-US" w:eastAsia="zh-CN"/>
        </w:rPr>
      </w:pPr>
      <w:r>
        <w:rPr>
          <w:rFonts w:hint="default"/>
          <w:color w:val="auto"/>
          <w:lang w:val="en-US" w:eastAsia="zh-CN"/>
        </w:rPr>
        <w:t>《记录控制</w:t>
      </w:r>
      <w:r>
        <w:rPr>
          <w:rFonts w:hint="default"/>
          <w:color w:val="auto"/>
          <w:highlight w:val="none"/>
          <w:lang w:val="en-US" w:eastAsia="zh-CN"/>
        </w:rPr>
        <w:t>程序》                       （XX-QP-002）</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lang w:val="en-US" w:eastAsia="zh-CN"/>
        </w:rPr>
      </w:pPr>
      <w:r>
        <w:rPr>
          <w:rFonts w:hint="default"/>
          <w:color w:val="auto"/>
          <w:highlight w:val="none"/>
        </w:rPr>
        <w:t>管理职责</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管理承诺</w:t>
      </w:r>
    </w:p>
    <w:p>
      <w:pPr>
        <w:numPr>
          <w:ilvl w:val="2"/>
          <w:numId w:val="2"/>
        </w:numPr>
        <w:bidi w:val="0"/>
        <w:rPr>
          <w:rFonts w:hint="default"/>
          <w:color w:val="auto"/>
          <w:lang w:val="en-US" w:eastAsia="zh-CN"/>
        </w:rPr>
      </w:pPr>
      <w:r>
        <w:rPr>
          <w:rFonts w:hint="default"/>
          <w:color w:val="auto"/>
          <w:lang w:val="en-US" w:eastAsia="zh-CN"/>
        </w:rPr>
        <w:t>总经理对企业的产品质量和质量管理体系承担领导责任。</w:t>
      </w:r>
    </w:p>
    <w:p>
      <w:pPr>
        <w:numPr>
          <w:ilvl w:val="2"/>
          <w:numId w:val="2"/>
        </w:numPr>
        <w:bidi w:val="0"/>
        <w:rPr>
          <w:rFonts w:hint="default"/>
          <w:color w:val="auto"/>
          <w:lang w:val="en-US" w:eastAsia="zh-CN"/>
        </w:rPr>
      </w:pPr>
      <w:r>
        <w:rPr>
          <w:rFonts w:hint="default"/>
          <w:color w:val="auto"/>
          <w:lang w:val="en-US" w:eastAsia="zh-CN"/>
        </w:rPr>
        <w:t>总经理通过以下活动，对建立、实施、保持质量管理体系的有效性做出承诺并提供客观证据。</w:t>
      </w:r>
    </w:p>
    <w:p>
      <w:pPr>
        <w:pageBreakBefore w:val="0"/>
        <w:numPr>
          <w:ilvl w:val="0"/>
          <w:numId w:val="1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通过学习、培训、会议、宣传等方式使全体员工树立满足顾客要求和有关法律法规和其它相关要求的重要性。</w:t>
      </w:r>
    </w:p>
    <w:p>
      <w:pPr>
        <w:pageBreakBefore w:val="0"/>
        <w:numPr>
          <w:ilvl w:val="0"/>
          <w:numId w:val="1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总经理</w:t>
      </w:r>
      <w:r>
        <w:rPr>
          <w:rFonts w:hint="eastAsia" w:ascii="Times New Roman" w:hAnsi="Times New Roman" w:eastAsia="宋体" w:cs="Times New Roman"/>
          <w:color w:val="auto"/>
          <w:sz w:val="21"/>
          <w:szCs w:val="21"/>
          <w:highlight w:val="none"/>
          <w:lang w:val="en-US" w:eastAsia="zh-CN"/>
        </w:rPr>
        <w:t>组织</w:t>
      </w:r>
      <w:r>
        <w:rPr>
          <w:rFonts w:hint="default" w:ascii="Times New Roman" w:hAnsi="Times New Roman" w:eastAsia="宋体" w:cs="Times New Roman"/>
          <w:color w:val="auto"/>
          <w:sz w:val="21"/>
          <w:szCs w:val="21"/>
          <w:highlight w:val="none"/>
          <w:lang w:val="en-US" w:eastAsia="zh-CN"/>
        </w:rPr>
        <w:t>制定与本公司的经营宗旨相适应</w:t>
      </w:r>
      <w:r>
        <w:rPr>
          <w:rFonts w:hint="eastAsia"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质量方针和</w:t>
      </w:r>
      <w:r>
        <w:rPr>
          <w:rFonts w:hint="eastAsia" w:ascii="Times New Roman" w:hAnsi="Times New Roman" w:eastAsia="宋体" w:cs="Times New Roman"/>
          <w:color w:val="auto"/>
          <w:sz w:val="21"/>
          <w:szCs w:val="21"/>
          <w:highlight w:val="none"/>
          <w:lang w:val="en-US" w:eastAsia="zh-CN"/>
        </w:rPr>
        <w:t>质量</w:t>
      </w:r>
      <w:r>
        <w:rPr>
          <w:rFonts w:hint="default" w:ascii="Times New Roman" w:hAnsi="Times New Roman" w:eastAsia="宋体" w:cs="Times New Roman"/>
          <w:color w:val="auto"/>
          <w:sz w:val="21"/>
          <w:szCs w:val="21"/>
          <w:highlight w:val="none"/>
          <w:lang w:val="en-US" w:eastAsia="zh-CN"/>
        </w:rPr>
        <w:t>目标，并使员工充分理解，为实现方针和目标而努力。</w:t>
      </w:r>
    </w:p>
    <w:p>
      <w:pPr>
        <w:pageBreakBefore w:val="0"/>
        <w:numPr>
          <w:ilvl w:val="0"/>
          <w:numId w:val="1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按计划进行管理评审，以评价质量管理体系的适宜性、充分性和有效性，提出持续改进的方案。</w:t>
      </w:r>
    </w:p>
    <w:p>
      <w:pPr>
        <w:pageBreakBefore w:val="0"/>
        <w:numPr>
          <w:ilvl w:val="0"/>
          <w:numId w:val="1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确保质量管理体系建立和运行所需的各种资源的获得与合理分配，包括人力资源、基础设施和工作环境资源等。</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以顾客为关注焦点</w:t>
      </w:r>
    </w:p>
    <w:p>
      <w:pPr>
        <w:numPr>
          <w:ilvl w:val="2"/>
          <w:numId w:val="2"/>
        </w:numPr>
        <w:bidi w:val="0"/>
        <w:rPr>
          <w:rFonts w:hint="default"/>
          <w:color w:val="auto"/>
          <w:lang w:val="en-US" w:eastAsia="zh-CN"/>
        </w:rPr>
      </w:pPr>
      <w:r>
        <w:rPr>
          <w:rFonts w:hint="default"/>
          <w:color w:val="auto"/>
          <w:lang w:val="en-US" w:eastAsia="zh-CN"/>
        </w:rPr>
        <w:t>公司应确保顾客的要求得到确定并予以满足，质量方针和质量目标体现出满足顾客要求及法律法规要求的承诺。</w:t>
      </w:r>
    </w:p>
    <w:p>
      <w:pPr>
        <w:numPr>
          <w:ilvl w:val="2"/>
          <w:numId w:val="2"/>
        </w:numPr>
        <w:bidi w:val="0"/>
        <w:rPr>
          <w:rFonts w:hint="default"/>
          <w:color w:val="auto"/>
          <w:lang w:val="en-US" w:eastAsia="zh-CN"/>
        </w:rPr>
      </w:pPr>
      <w:r>
        <w:rPr>
          <w:rFonts w:hint="default"/>
          <w:color w:val="auto"/>
          <w:lang w:val="en-US" w:eastAsia="zh-CN"/>
        </w:rPr>
        <w:t>销售部通过《与顾客有关过程控制程序》确定并满足客户明确要求和潜在需求和期望。</w:t>
      </w:r>
    </w:p>
    <w:p>
      <w:pPr>
        <w:numPr>
          <w:ilvl w:val="2"/>
          <w:numId w:val="2"/>
        </w:numPr>
        <w:bidi w:val="0"/>
        <w:rPr>
          <w:rFonts w:hint="default"/>
          <w:color w:val="auto"/>
          <w:lang w:val="en-US" w:eastAsia="zh-CN"/>
        </w:rPr>
      </w:pPr>
      <w:r>
        <w:rPr>
          <w:rFonts w:hint="default"/>
          <w:color w:val="auto"/>
          <w:lang w:val="en-US" w:eastAsia="zh-CN"/>
        </w:rPr>
        <w:t>研发部按《设计开发控制程序》要求，及时确定并满足顾客要求和法律、法规的要求。</w:t>
      </w:r>
    </w:p>
    <w:p>
      <w:pPr>
        <w:numPr>
          <w:ilvl w:val="2"/>
          <w:numId w:val="2"/>
        </w:numPr>
        <w:bidi w:val="0"/>
        <w:rPr>
          <w:rFonts w:hint="default"/>
          <w:color w:val="auto"/>
          <w:lang w:val="en-US" w:eastAsia="zh-CN"/>
        </w:rPr>
      </w:pPr>
      <w:r>
        <w:rPr>
          <w:rFonts w:hint="default"/>
          <w:color w:val="auto"/>
          <w:lang w:val="en-US" w:eastAsia="zh-CN"/>
        </w:rPr>
        <w:t>销售部、质量部通过《数据分析控制程序》要求，进行顾客满意度调查，并通过《纠正及预防措施控制程序》改善顾客满意度。</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质量方针</w:t>
      </w:r>
    </w:p>
    <w:p>
      <w:pPr>
        <w:bidi w:val="0"/>
        <w:rPr>
          <w:rFonts w:hint="default"/>
          <w:color w:val="auto"/>
        </w:rPr>
      </w:pPr>
      <w:r>
        <w:rPr>
          <w:rFonts w:hint="default"/>
          <w:color w:val="auto"/>
        </w:rPr>
        <w:t>质量方针是公司实施质量管理活动的宗旨和方向，通过具体的质量目标和实施质量管理体系加以贯彻，质量方针见0.4章。</w:t>
      </w:r>
    </w:p>
    <w:p>
      <w:pPr>
        <w:bidi w:val="0"/>
        <w:rPr>
          <w:rFonts w:hint="default"/>
          <w:color w:val="auto"/>
        </w:rPr>
      </w:pPr>
      <w:r>
        <w:rPr>
          <w:rFonts w:hint="default"/>
          <w:color w:val="auto"/>
        </w:rPr>
        <w:t>公司总经理根据管理承诺，由管理者代表组织有关部门拟定质量方针草案，由总经理主持评审、筛选，形成文件予以批准颁布，质量方针应：</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与公司的经营宗旨相适应。</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包括对满足要求和保持质量管理体系有效性的承诺。</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在企业内部得到沟通和理解。</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为制定和评审质量目标提供框架，按照公司质量方针制定相应的质量目标，并予以逐层分解落实。</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在公司内广泛宣传质量方针，在公司内得到沟通和理解，使质量方针真正贯彻落实到质量管理活动之中。</w:t>
      </w:r>
    </w:p>
    <w:p>
      <w:pPr>
        <w:pageBreakBefore w:val="0"/>
        <w:numPr>
          <w:ilvl w:val="0"/>
          <w:numId w:val="1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公司应对质量方针的持续适宜性进行评审，修改时执行《文件和资料控制程序》。</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策划</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质量目标</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总经理依据管理承诺及质量方针，确定公司质量总目标，并将质量管理目标分解到各个职能部门。</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质量目标应当与质量方针保持一致。</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各部门结合本部门职责，对公司</w:t>
      </w:r>
      <w:r>
        <w:rPr>
          <w:rFonts w:hint="default" w:ascii="Times New Roman" w:hAnsi="Times New Roman" w:eastAsia="宋体" w:cs="Times New Roman"/>
          <w:color w:val="auto"/>
          <w:sz w:val="21"/>
          <w:szCs w:val="21"/>
          <w:highlight w:val="none"/>
          <w:lang w:val="en-US" w:eastAsia="zh-CN"/>
        </w:rPr>
        <w:t>总质量目标行分解，建立各</w:t>
      </w:r>
      <w:r>
        <w:rPr>
          <w:rFonts w:hint="eastAsia" w:ascii="Times New Roman" w:hAnsi="Times New Roman" w:eastAsia="宋体" w:cs="Times New Roman"/>
          <w:color w:val="auto"/>
          <w:sz w:val="21"/>
          <w:szCs w:val="21"/>
          <w:highlight w:val="none"/>
          <w:lang w:val="en-US" w:eastAsia="zh-CN"/>
        </w:rPr>
        <w:t>部门</w:t>
      </w:r>
      <w:r>
        <w:rPr>
          <w:rFonts w:hint="default" w:ascii="Times New Roman" w:hAnsi="Times New Roman" w:eastAsia="宋体" w:cs="Times New Roman"/>
          <w:color w:val="auto"/>
          <w:sz w:val="21"/>
          <w:szCs w:val="21"/>
          <w:highlight w:val="none"/>
          <w:lang w:val="en-US" w:eastAsia="zh-CN"/>
        </w:rPr>
        <w:t>质量目标并有具体的方法和程序保障。</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质量目标应包括满足产品要求所需的内容。</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质量目标应是可测量、可评估的，并作为测量、分析和改进的主要依据之一，也作为每个过程实施目标的依据。</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各部门通过《数据分析控制程序》，分析质量目标的完成情况及发展趋势。</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质量部对质量目标的实施情况进行管理和监督，对质量目标的实现情况进行考核，定期整理和分析，作为输入的一部分，提交管理评审。</w:t>
      </w:r>
    </w:p>
    <w:p>
      <w:pPr>
        <w:pageBreakBefore w:val="0"/>
        <w:numPr>
          <w:ilvl w:val="0"/>
          <w:numId w:val="1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本公司质量目标和各层次及职能质量目标见本质量手册附录E。</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质量管理体系策划</w:t>
      </w:r>
    </w:p>
    <w:p>
      <w:pPr>
        <w:bidi w:val="0"/>
        <w:rPr>
          <w:rFonts w:hint="default"/>
          <w:color w:val="auto"/>
        </w:rPr>
      </w:pPr>
      <w:r>
        <w:rPr>
          <w:rFonts w:hint="eastAsia"/>
          <w:color w:val="auto"/>
          <w:lang w:val="en-US" w:eastAsia="zh-CN"/>
        </w:rPr>
        <w:t>管理者代表</w:t>
      </w:r>
      <w:r>
        <w:rPr>
          <w:rFonts w:hint="default"/>
          <w:color w:val="auto"/>
        </w:rPr>
        <w:t>对质量管理体系加以策划，以确保满足质量目标和本质量手册4.1章之要求。</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职责、权限和沟通</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职责和权限</w:t>
      </w:r>
    </w:p>
    <w:p>
      <w:pPr>
        <w:numPr>
          <w:ilvl w:val="3"/>
          <w:numId w:val="2"/>
        </w:numPr>
        <w:bidi w:val="0"/>
        <w:rPr>
          <w:rFonts w:hint="default"/>
          <w:color w:val="auto"/>
          <w:highlight w:val="none"/>
          <w:lang w:val="en-US" w:eastAsia="zh-CN"/>
        </w:rPr>
      </w:pPr>
      <w:r>
        <w:rPr>
          <w:rFonts w:hint="default"/>
          <w:color w:val="auto"/>
          <w:highlight w:val="none"/>
          <w:lang w:val="en-US" w:eastAsia="zh-CN"/>
        </w:rPr>
        <w:t>总经理应确保组织内的职责、权限得到规定、形成文件和沟通。</w:t>
      </w:r>
    </w:p>
    <w:p>
      <w:pPr>
        <w:numPr>
          <w:ilvl w:val="3"/>
          <w:numId w:val="2"/>
        </w:numPr>
        <w:bidi w:val="0"/>
        <w:rPr>
          <w:rFonts w:hint="default"/>
          <w:color w:val="auto"/>
          <w:highlight w:val="none"/>
          <w:lang w:val="en-US" w:eastAsia="zh-CN"/>
        </w:rPr>
      </w:pPr>
      <w:r>
        <w:rPr>
          <w:rFonts w:hint="default"/>
          <w:color w:val="auto"/>
          <w:highlight w:val="none"/>
          <w:lang w:val="en-US" w:eastAsia="zh-CN"/>
        </w:rPr>
        <w:t>本手册0.5的组织机构图，表示本公司内部各职能部门之间的关系。</w:t>
      </w:r>
    </w:p>
    <w:p>
      <w:pPr>
        <w:numPr>
          <w:ilvl w:val="3"/>
          <w:numId w:val="2"/>
        </w:numPr>
        <w:bidi w:val="0"/>
        <w:rPr>
          <w:rFonts w:hint="default"/>
          <w:color w:val="auto"/>
          <w:highlight w:val="none"/>
          <w:lang w:val="en-US" w:eastAsia="zh-CN"/>
        </w:rPr>
      </w:pPr>
      <w:r>
        <w:rPr>
          <w:rFonts w:hint="default"/>
          <w:color w:val="auto"/>
          <w:highlight w:val="none"/>
          <w:lang w:val="en-US" w:eastAsia="zh-CN"/>
        </w:rPr>
        <w:t>质量管理体系各要素在各部门的分布，见附录B。</w:t>
      </w:r>
    </w:p>
    <w:p>
      <w:pPr>
        <w:numPr>
          <w:ilvl w:val="3"/>
          <w:numId w:val="2"/>
        </w:numPr>
        <w:bidi w:val="0"/>
        <w:rPr>
          <w:rFonts w:hint="default"/>
          <w:color w:val="auto"/>
          <w:highlight w:val="none"/>
          <w:lang w:val="en-US" w:eastAsia="zh-CN"/>
        </w:rPr>
      </w:pPr>
      <w:r>
        <w:rPr>
          <w:rFonts w:hint="default"/>
          <w:color w:val="auto"/>
          <w:highlight w:val="none"/>
          <w:lang w:val="en-US" w:eastAsia="zh-CN"/>
        </w:rPr>
        <w:t>人事部组织各部门编制《岗位职责和任职资格管理规范》，规定各岗位的职责和权限。</w:t>
      </w:r>
    </w:p>
    <w:p>
      <w:pPr>
        <w:numPr>
          <w:ilvl w:val="3"/>
          <w:numId w:val="2"/>
        </w:numPr>
        <w:bidi w:val="0"/>
        <w:rPr>
          <w:rFonts w:hint="default"/>
          <w:color w:val="auto"/>
          <w:highlight w:val="none"/>
          <w:lang w:val="en-US" w:eastAsia="zh-CN"/>
        </w:rPr>
      </w:pPr>
      <w:r>
        <w:rPr>
          <w:rFonts w:hint="default"/>
          <w:color w:val="auto"/>
          <w:highlight w:val="none"/>
          <w:lang w:val="en-US" w:eastAsia="zh-CN"/>
        </w:rPr>
        <w:t>各部门职责</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总经理</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w:t>
      </w:r>
      <w:r>
        <w:rPr>
          <w:rFonts w:hint="default" w:ascii="Times New Roman" w:hAnsi="Times New Roman" w:eastAsia="宋体" w:cs="Times New Roman"/>
          <w:color w:val="auto"/>
          <w:sz w:val="21"/>
          <w:szCs w:val="21"/>
          <w:highlight w:val="none"/>
          <w:lang w:val="en-US" w:eastAsia="zh-CN"/>
        </w:rPr>
        <w:t>公司</w:t>
      </w:r>
      <w:r>
        <w:rPr>
          <w:rFonts w:hint="default" w:ascii="Times New Roman" w:hAnsi="Times New Roman" w:eastAsia="宋体" w:cs="Times New Roman"/>
          <w:color w:val="auto"/>
          <w:sz w:val="21"/>
          <w:szCs w:val="21"/>
          <w:highlight w:val="none"/>
        </w:rPr>
        <w:t>按照法律、法规和规章的要求组织生产。</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组织制定并批准质量方针和质量目标。</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val="en-US" w:eastAsia="zh-CN"/>
        </w:rPr>
        <w:t>确保</w:t>
      </w:r>
      <w:r>
        <w:rPr>
          <w:rFonts w:hint="default" w:ascii="Times New Roman" w:hAnsi="Times New Roman" w:eastAsia="宋体" w:cs="Times New Roman"/>
          <w:color w:val="auto"/>
          <w:sz w:val="21"/>
          <w:szCs w:val="21"/>
          <w:highlight w:val="none"/>
        </w:rPr>
        <w:t>质量管理体系有效运行所需的人力资源、基础设施和工作环境。</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b w:val="0"/>
          <w:bCs/>
          <w:color w:val="auto"/>
          <w:szCs w:val="21"/>
          <w:highlight w:val="none"/>
          <w:lang w:eastAsia="zh-CN"/>
        </w:rPr>
        <w:t>体外诊断试剂</w:t>
      </w:r>
      <w:r>
        <w:rPr>
          <w:rFonts w:hint="eastAsia" w:ascii="Times New Roman" w:hAnsi="Times New Roman" w:eastAsia="宋体" w:cs="Times New Roman"/>
          <w:color w:val="auto"/>
          <w:sz w:val="21"/>
          <w:szCs w:val="21"/>
          <w:highlight w:val="none"/>
        </w:rPr>
        <w:t>产品</w:t>
      </w:r>
      <w:r>
        <w:rPr>
          <w:rFonts w:hint="default" w:ascii="Times New Roman" w:hAnsi="Times New Roman" w:eastAsia="宋体" w:cs="Times New Roman"/>
          <w:color w:val="auto"/>
          <w:sz w:val="21"/>
          <w:szCs w:val="21"/>
          <w:highlight w:val="none"/>
        </w:rPr>
        <w:t>质量的主要责任人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负责</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全链条和全生命周期管理，对所生产的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质量负责，对</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设计开发、临床评价、生产制造、销售配送、售后服务、产品召回、不良事件报告等承担全部法律责任</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确保提交的研究资料和临床数据真实、完整、可追溯</w:t>
      </w:r>
      <w:r>
        <w:rPr>
          <w:rFonts w:hint="default" w:ascii="Times New Roman" w:hAnsi="Times New Roman" w:eastAsia="宋体" w:cs="Times New Roman"/>
          <w:color w:val="auto"/>
          <w:sz w:val="21"/>
          <w:szCs w:val="21"/>
          <w:highlight w:val="none"/>
          <w:lang w:eastAsia="zh-CN"/>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w:t>
      </w:r>
      <w:r>
        <w:rPr>
          <w:rFonts w:hint="eastAsia" w:cs="Times New Roman"/>
          <w:color w:val="auto"/>
          <w:sz w:val="21"/>
          <w:szCs w:val="21"/>
          <w:highlight w:val="none"/>
          <w:lang w:val="en-US" w:eastAsia="zh-CN"/>
        </w:rPr>
        <w:t>采购部或质量部负责人为</w:t>
      </w:r>
      <w:r>
        <w:rPr>
          <w:rFonts w:hint="default" w:ascii="Times New Roman" w:hAnsi="Times New Roman" w:eastAsia="宋体" w:cs="Times New Roman"/>
          <w:color w:val="auto"/>
          <w:sz w:val="21"/>
          <w:szCs w:val="21"/>
          <w:highlight w:val="none"/>
        </w:rPr>
        <w:t>授权代表，与</w:t>
      </w:r>
      <w:r>
        <w:rPr>
          <w:rFonts w:hint="eastAsia"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签订</w:t>
      </w:r>
      <w:r>
        <w:rPr>
          <w:rFonts w:hint="default" w:ascii="Times New Roman" w:hAnsi="Times New Roman" w:eastAsia="宋体" w:cs="Times New Roman"/>
          <w:color w:val="auto"/>
          <w:sz w:val="21"/>
          <w:szCs w:val="21"/>
          <w:highlight w:val="none"/>
          <w:lang w:val="en-US" w:eastAsia="zh-CN"/>
        </w:rPr>
        <w:t>质量协议等</w:t>
      </w:r>
      <w:r>
        <w:rPr>
          <w:rFonts w:hint="default" w:ascii="Times New Roman" w:hAnsi="Times New Roman" w:eastAsia="宋体" w:cs="Times New Roman"/>
          <w:color w:val="auto"/>
          <w:sz w:val="21"/>
          <w:szCs w:val="21"/>
          <w:highlight w:val="none"/>
        </w:rPr>
        <w:t>协议，明确双方权利、义务和责任。</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组织实施管理评审，定期对质量管理体系运行情况进行评估，并持续改进。</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确定一名管理者代表。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w:t>
      </w:r>
      <w:r>
        <w:rPr>
          <w:rFonts w:hint="eastAsia" w:ascii="宋体" w:hAnsi="宋体" w:eastAsia="宋体" w:cs="宋体"/>
          <w:b w:val="0"/>
          <w:bCs/>
          <w:color w:val="auto"/>
          <w:szCs w:val="21"/>
          <w:lang w:eastAsia="zh-CN"/>
        </w:rPr>
        <w:t>体外诊断试剂</w:t>
      </w:r>
      <w:r>
        <w:rPr>
          <w:rFonts w:hint="default" w:ascii="Times New Roman" w:hAnsi="Times New Roman" w:eastAsia="宋体" w:cs="Times New Roman"/>
          <w:color w:val="auto"/>
          <w:sz w:val="21"/>
          <w:szCs w:val="21"/>
          <w:highlight w:val="none"/>
        </w:rPr>
        <w:t>质量安全责任承诺书。</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批准上市的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因产品存在缺陷造成损害的，按照《中华人民共和国侵权责任法》等法律规定执行。</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b w:val="0"/>
          <w:bCs w:val="0"/>
          <w:color w:val="auto"/>
          <w:kern w:val="2"/>
          <w:sz w:val="21"/>
          <w:szCs w:val="21"/>
          <w:highlight w:val="none"/>
          <w:lang w:eastAsia="zh-CN"/>
        </w:rPr>
        <w:t>不良事件监测及与政府机构的沟通</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委托销售</w:t>
      </w:r>
      <w:r>
        <w:rPr>
          <w:rFonts w:hint="eastAsia" w:ascii="宋体" w:hAnsi="宋体" w:eastAsia="宋体" w:cs="宋体"/>
          <w:b w:val="0"/>
          <w:bCs/>
          <w:color w:val="auto"/>
          <w:szCs w:val="21"/>
          <w:lang w:eastAsia="zh-CN"/>
        </w:rPr>
        <w:t>体外诊断试剂</w:t>
      </w:r>
      <w:r>
        <w:rPr>
          <w:rFonts w:hint="default" w:ascii="Times New Roman" w:hAnsi="Times New Roman" w:eastAsia="宋体" w:cs="Times New Roman"/>
          <w:color w:val="auto"/>
          <w:sz w:val="21"/>
          <w:szCs w:val="21"/>
          <w:highlight w:val="none"/>
          <w:lang w:val="en-US" w:eastAsia="zh-CN"/>
        </w:rPr>
        <w:t>时</w:t>
      </w:r>
      <w:r>
        <w:rPr>
          <w:rFonts w:hint="default" w:ascii="Times New Roman" w:hAnsi="Times New Roman" w:eastAsia="宋体" w:cs="Times New Roman"/>
          <w:color w:val="auto"/>
          <w:sz w:val="21"/>
          <w:szCs w:val="21"/>
          <w:highlight w:val="none"/>
        </w:rPr>
        <w:t>，对所委托销售的</w:t>
      </w:r>
      <w:r>
        <w:rPr>
          <w:rFonts w:hint="eastAsia" w:ascii="宋体" w:hAnsi="宋体" w:eastAsia="宋体" w:cs="宋体"/>
          <w:b w:val="0"/>
          <w:bCs/>
          <w:color w:val="auto"/>
          <w:szCs w:val="21"/>
          <w:lang w:eastAsia="zh-CN"/>
        </w:rPr>
        <w:t>体外诊断试剂</w:t>
      </w:r>
      <w:r>
        <w:rPr>
          <w:rFonts w:hint="default" w:ascii="Times New Roman" w:hAnsi="Times New Roman" w:eastAsia="宋体" w:cs="Times New Roman"/>
          <w:color w:val="auto"/>
          <w:sz w:val="21"/>
          <w:szCs w:val="21"/>
          <w:highlight w:val="none"/>
        </w:rPr>
        <w:t>质量负责，并加强对受托经营行为的管理，保证其按照法定要求进行销售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与受托经营企业签订委托协议，明确双方权利、义务和责任。</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确保对上市</w:t>
      </w:r>
      <w:r>
        <w:rPr>
          <w:rFonts w:hint="eastAsia" w:ascii="宋体" w:hAnsi="宋体" w:eastAsia="宋体" w:cs="宋体"/>
          <w:b w:val="0"/>
          <w:bCs/>
          <w:color w:val="auto"/>
          <w:szCs w:val="21"/>
          <w:lang w:eastAsia="zh-CN"/>
        </w:rPr>
        <w:t>体外诊断试剂</w:t>
      </w:r>
      <w:r>
        <w:rPr>
          <w:rFonts w:hint="default" w:ascii="Times New Roman" w:hAnsi="Times New Roman" w:eastAsia="宋体" w:cs="Times New Roman"/>
          <w:color w:val="auto"/>
          <w:sz w:val="21"/>
          <w:szCs w:val="21"/>
          <w:highlight w:val="none"/>
        </w:rPr>
        <w:t>进行持续研究，及时报告不良事件及其风险评估情况，提出并落实处置措施。</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销售部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依照客户订单进行合同评审。</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收集、反馈客户对产品的要求，协调处理与客户在产品交货、质量、服务上的反馈。</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负责本公司销售、售后服务及技术支持服务。</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负责本公司新技术、新产品的推广销售工作。</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收集和反馈顾客对新技术、新产品的要求，在技术上协调处理与顾客有关事宜。</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收集顾客对新技术、新产品的反馈要求，提供给产品开发部进行新技术和新产品的开发。</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研发</w:t>
      </w:r>
      <w:r>
        <w:rPr>
          <w:rFonts w:hint="eastAsia" w:ascii="Times New Roman" w:hAnsi="Times New Roman" w:eastAsia="宋体" w:cs="Times New Roman"/>
          <w:color w:val="auto"/>
          <w:sz w:val="21"/>
          <w:szCs w:val="21"/>
          <w:highlight w:val="none"/>
        </w:rPr>
        <w:t>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统筹安排新产品的设计开发和研制、旧产品的改型和改良，确保在法律法规的前提下满足客户要求及市场的需要。</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验证产品安全风险分析及制定有关工艺安全性措施、规划，不断完善产品工艺、优化产品性能、提高本公司技术能力。</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制造检定规程草案、使用说明书编制，为品质、生产等部门提供检验指导性资料、生产指导性资料、测试方法等。</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技术文件的编制。</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跟进、反馈和解决实际生产中、销售中的技术问题。</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color w:val="auto"/>
          <w:sz w:val="21"/>
          <w:szCs w:val="21"/>
          <w:highlight w:val="none"/>
          <w:lang w:val="en-US" w:eastAsia="zh-CN"/>
        </w:rPr>
        <w:t>质量</w:t>
      </w:r>
      <w:r>
        <w:rPr>
          <w:rFonts w:hint="eastAsia" w:ascii="Times New Roman" w:hAnsi="Times New Roman" w:eastAsia="宋体" w:cs="Times New Roman"/>
          <w:b w:val="0"/>
          <w:bCs w:val="0"/>
          <w:color w:val="auto"/>
          <w:sz w:val="21"/>
          <w:szCs w:val="21"/>
          <w:highlight w:val="none"/>
        </w:rPr>
        <w:t>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参考相关产品质量标准，制定质量检验标准和抽样规范。</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制造过程</w:t>
      </w:r>
      <w:r>
        <w:rPr>
          <w:rFonts w:hint="default" w:ascii="Times New Roman" w:hAnsi="Times New Roman" w:eastAsia="宋体" w:cs="Times New Roman"/>
          <w:color w:val="auto"/>
          <w:sz w:val="21"/>
          <w:szCs w:val="21"/>
          <w:highlight w:val="none"/>
          <w:lang w:val="en-US" w:eastAsia="zh-CN"/>
        </w:rPr>
        <w:t>巡检</w:t>
      </w:r>
      <w:r>
        <w:rPr>
          <w:rFonts w:hint="default" w:ascii="Times New Roman" w:hAnsi="Times New Roman" w:eastAsia="宋体" w:cs="Times New Roman"/>
          <w:color w:val="auto"/>
          <w:sz w:val="21"/>
          <w:szCs w:val="21"/>
          <w:highlight w:val="none"/>
        </w:rPr>
        <w:t>、成品及出厂检验工作。</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参与</w:t>
      </w:r>
      <w:r>
        <w:rPr>
          <w:rFonts w:hint="default" w:ascii="Times New Roman" w:hAnsi="Times New Roman" w:eastAsia="宋体" w:cs="Times New Roman"/>
          <w:color w:val="auto"/>
          <w:sz w:val="21"/>
          <w:szCs w:val="21"/>
          <w:highlight w:val="none"/>
          <w:lang w:val="en-US" w:eastAsia="zh-CN"/>
        </w:rPr>
        <w:t>对</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及对</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供应商的评审及管理</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客户质量投诉的处理与跟进。</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b w:val="0"/>
          <w:bCs/>
          <w:color w:val="auto"/>
          <w:szCs w:val="21"/>
          <w:lang w:val="en-US" w:eastAsia="zh-CN"/>
        </w:rPr>
        <w:t>监视</w:t>
      </w:r>
      <w:r>
        <w:rPr>
          <w:rFonts w:hint="eastAsia" w:ascii="宋体" w:hAnsi="宋体" w:eastAsia="宋体" w:cs="宋体"/>
          <w:b w:val="0"/>
          <w:bCs/>
          <w:color w:val="auto"/>
          <w:szCs w:val="21"/>
        </w:rPr>
        <w:t>测量仪器的</w:t>
      </w:r>
      <w:r>
        <w:rPr>
          <w:rFonts w:hint="eastAsia" w:ascii="宋体" w:hAnsi="宋体" w:eastAsia="宋体" w:cs="宋体"/>
          <w:b w:val="0"/>
          <w:bCs/>
          <w:color w:val="auto"/>
          <w:szCs w:val="21"/>
          <w:lang w:val="en-US" w:eastAsia="zh-CN"/>
        </w:rPr>
        <w:t>校准、</w:t>
      </w:r>
      <w:r>
        <w:rPr>
          <w:rFonts w:hint="eastAsia" w:ascii="宋体" w:hAnsi="宋体" w:eastAsia="宋体" w:cs="宋体"/>
          <w:b w:val="0"/>
          <w:bCs/>
          <w:color w:val="auto"/>
          <w:szCs w:val="21"/>
        </w:rPr>
        <w:t>计量工作。</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协助各部门组织数据分析及改进措施的实施与结果确认。</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独立对产品质量的相关事宜</w:t>
      </w:r>
      <w:r>
        <w:rPr>
          <w:rFonts w:hint="eastAsia" w:cs="Times New Roman"/>
          <w:color w:val="auto"/>
          <w:sz w:val="21"/>
          <w:szCs w:val="21"/>
          <w:highlight w:val="none"/>
          <w:lang w:val="en-US" w:eastAsia="zh-CN"/>
        </w:rPr>
        <w:t>进行</w:t>
      </w:r>
      <w:r>
        <w:rPr>
          <w:rFonts w:hint="default" w:ascii="Times New Roman" w:hAnsi="Times New Roman" w:eastAsia="宋体" w:cs="Times New Roman"/>
          <w:color w:val="auto"/>
          <w:sz w:val="21"/>
          <w:szCs w:val="21"/>
          <w:highlight w:val="none"/>
        </w:rPr>
        <w:t>决策</w:t>
      </w:r>
      <w:r>
        <w:rPr>
          <w:rFonts w:hint="eastAsia" w:ascii="Times New Roman" w:hAnsi="Times New Roman" w:eastAsia="宋体" w:cs="Times New Roman"/>
          <w:color w:val="auto"/>
          <w:sz w:val="21"/>
          <w:szCs w:val="21"/>
          <w:highlight w:val="none"/>
          <w:lang w:eastAsia="zh-CN"/>
        </w:rPr>
        <w:t>。</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生产部：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对产品实现进行策划</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依生产计划组织人力、物力按生产进度进行生产</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对生产过程进行控制，对产品进行标识、包装、防护和交付</w:t>
      </w:r>
      <w:r>
        <w:rPr>
          <w:rFonts w:hint="eastAsia" w:ascii="Times New Roman" w:hAnsi="Times New Roman" w:eastAsia="宋体" w:cs="Times New Roman"/>
          <w:color w:val="auto"/>
          <w:sz w:val="21"/>
          <w:szCs w:val="21"/>
          <w:highlight w:val="none"/>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汇总生产数据，分析并提出改善，与工艺操作指导分析</w:t>
      </w:r>
      <w:r>
        <w:rPr>
          <w:rFonts w:hint="eastAsia" w:ascii="Times New Roman" w:hAnsi="Times New Roman" w:eastAsia="宋体" w:cs="Times New Roman"/>
          <w:color w:val="auto"/>
          <w:sz w:val="21"/>
          <w:szCs w:val="21"/>
          <w:highlight w:val="none"/>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w:t>
      </w:r>
      <w:r>
        <w:rPr>
          <w:rFonts w:hint="eastAsia" w:ascii="Times New Roman" w:hAnsi="Times New Roman" w:eastAsia="宋体" w:cs="Times New Roman"/>
          <w:color w:val="auto"/>
          <w:sz w:val="21"/>
          <w:szCs w:val="21"/>
          <w:highlight w:val="none"/>
        </w:rPr>
        <w:t>生产</w:t>
      </w:r>
      <w:r>
        <w:rPr>
          <w:rFonts w:hint="default" w:ascii="Times New Roman" w:hAnsi="Times New Roman" w:eastAsia="宋体" w:cs="Times New Roman"/>
          <w:color w:val="auto"/>
          <w:sz w:val="21"/>
          <w:szCs w:val="21"/>
          <w:highlight w:val="none"/>
        </w:rPr>
        <w:t>设施设备进行维护、保养等具体操作管理工作，负责生产</w:t>
      </w:r>
      <w:r>
        <w:rPr>
          <w:rFonts w:hint="eastAsia" w:ascii="Times New Roman" w:hAnsi="Times New Roman" w:eastAsia="宋体" w:cs="Times New Roman"/>
          <w:color w:val="auto"/>
          <w:sz w:val="21"/>
          <w:szCs w:val="21"/>
          <w:highlight w:val="none"/>
        </w:rPr>
        <w:t>区</w:t>
      </w:r>
      <w:r>
        <w:rPr>
          <w:rFonts w:hint="default" w:ascii="Times New Roman" w:hAnsi="Times New Roman" w:eastAsia="宋体" w:cs="Times New Roman"/>
          <w:color w:val="auto"/>
          <w:sz w:val="21"/>
          <w:szCs w:val="21"/>
          <w:highlight w:val="none"/>
        </w:rPr>
        <w:t>安全工作</w:t>
      </w:r>
      <w:r>
        <w:rPr>
          <w:rFonts w:hint="eastAsia" w:ascii="Times New Roman" w:hAnsi="Times New Roman" w:eastAsia="宋体" w:cs="Times New Roman"/>
          <w:color w:val="auto"/>
          <w:sz w:val="21"/>
          <w:szCs w:val="21"/>
          <w:highlight w:val="none"/>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制定生产工艺文件，作业指导书等控制文件。</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采购部：</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按程序的要求进行采购和</w:t>
      </w:r>
      <w:r>
        <w:rPr>
          <w:rFonts w:hint="default" w:ascii="Times New Roman" w:hAnsi="Times New Roman" w:eastAsia="宋体" w:cs="Times New Roman"/>
          <w:color w:val="auto"/>
          <w:sz w:val="21"/>
          <w:szCs w:val="21"/>
          <w:highlight w:val="none"/>
          <w:lang w:val="en-US" w:eastAsia="zh-CN"/>
        </w:rPr>
        <w:t>对</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进行</w:t>
      </w:r>
      <w:r>
        <w:rPr>
          <w:rFonts w:hint="default" w:ascii="Times New Roman" w:hAnsi="Times New Roman" w:eastAsia="宋体" w:cs="Times New Roman"/>
          <w:color w:val="auto"/>
          <w:sz w:val="21"/>
          <w:szCs w:val="21"/>
          <w:highlight w:val="none"/>
        </w:rPr>
        <w:t>管理工作，完成相关记录。</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做好采购文件及资料的管理，确保采购资料的有效性。    </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根据生产计划进行策划和控制，确保生产计划完成。    </w:t>
      </w:r>
    </w:p>
    <w:p>
      <w:pPr>
        <w:pageBreakBefore w:val="0"/>
        <w:numPr>
          <w:ilvl w:val="0"/>
          <w:numId w:val="1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人事部</w:t>
      </w:r>
      <w:r>
        <w:rPr>
          <w:rFonts w:hint="eastAsia" w:ascii="Times New Roman" w:hAnsi="Times New Roman" w:eastAsia="宋体" w:cs="Times New Roman"/>
          <w:color w:val="auto"/>
          <w:sz w:val="21"/>
          <w:szCs w:val="21"/>
          <w:highlight w:val="none"/>
        </w:rPr>
        <w:t>：</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建立与</w:t>
      </w:r>
      <w:r>
        <w:rPr>
          <w:rFonts w:hint="eastAsia" w:ascii="Times New Roman" w:hAnsi="Times New Roman" w:eastAsia="宋体" w:cs="Times New Roman"/>
          <w:color w:val="auto"/>
          <w:sz w:val="21"/>
          <w:szCs w:val="21"/>
          <w:highlight w:val="none"/>
        </w:rPr>
        <w:t>医疗器械生产相适应</w:t>
      </w:r>
      <w:r>
        <w:rPr>
          <w:rFonts w:hint="default" w:ascii="Times New Roman" w:hAnsi="Times New Roman" w:eastAsia="宋体" w:cs="Times New Roman"/>
          <w:color w:val="auto"/>
          <w:sz w:val="21"/>
          <w:szCs w:val="21"/>
          <w:highlight w:val="none"/>
        </w:rPr>
        <w:t>的管理机构，并有组织机构图，明确各部门的</w:t>
      </w:r>
      <w:r>
        <w:rPr>
          <w:rFonts w:hint="eastAsia" w:ascii="Times New Roman" w:hAnsi="Times New Roman" w:eastAsia="宋体" w:cs="Times New Roman"/>
          <w:color w:val="auto"/>
          <w:sz w:val="21"/>
          <w:szCs w:val="21"/>
          <w:highlight w:val="none"/>
          <w:lang w:val="en-US" w:eastAsia="zh-CN"/>
        </w:rPr>
        <w:t>相互关系、</w:t>
      </w:r>
      <w:r>
        <w:rPr>
          <w:rFonts w:hint="default" w:ascii="Times New Roman" w:hAnsi="Times New Roman" w:eastAsia="宋体" w:cs="Times New Roman"/>
          <w:color w:val="auto"/>
          <w:sz w:val="21"/>
          <w:szCs w:val="21"/>
          <w:highlight w:val="none"/>
        </w:rPr>
        <w:t>职责和权限，明确质量管理职能</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策划人力资源开发，评定各员工的能力和潜力。</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分析本公司培训需求，制定年度培训计划，组织安排培训。</w:t>
      </w:r>
    </w:p>
    <w:p>
      <w:pPr>
        <w:pageBreakBefore w:val="0"/>
        <w:numPr>
          <w:ilvl w:val="0"/>
          <w:numId w:val="15"/>
        </w:numPr>
        <w:tabs>
          <w:tab w:val="left" w:pos="1060"/>
        </w:tabs>
        <w:kinsoku/>
        <w:wordWrap/>
        <w:overflowPunct/>
        <w:topLinePunct w:val="0"/>
        <w:bidi w:val="0"/>
        <w:spacing w:line="360" w:lineRule="auto"/>
        <w:ind w:left="10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负责行政文件发布，固定资产管理工作。</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0" w:beforeLines="0" w:line="360" w:lineRule="auto"/>
        <w:ind w:leftChars="0" w:firstLine="420" w:firstLineChars="200"/>
        <w:textAlignment w:val="auto"/>
        <w:rPr>
          <w:rFonts w:hint="default"/>
          <w:color w:val="auto"/>
          <w:highlight w:val="none"/>
          <w:lang w:val="en-US" w:eastAsia="zh-CN"/>
        </w:rPr>
      </w:pPr>
      <w:r>
        <w:rPr>
          <w:rFonts w:hint="eastAsia"/>
          <w:color w:val="auto"/>
          <w:highlight w:val="none"/>
          <w:lang w:val="en-US" w:eastAsia="zh-CN"/>
        </w:rPr>
        <w:t>人事部</w:t>
      </w:r>
      <w:r>
        <w:rPr>
          <w:rFonts w:hint="default"/>
          <w:color w:val="auto"/>
          <w:highlight w:val="none"/>
          <w:lang w:val="en-US" w:eastAsia="zh-CN"/>
        </w:rPr>
        <w:t>应确定所有从事对质量有影响的管理、执行和验证工作的人员的相互关系，并确保其独立性并赋予其相应的权限以保证其完成对应的工作任务。</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0" w:beforeLines="0" w:line="360" w:lineRule="auto"/>
        <w:ind w:leftChars="0" w:firstLine="420" w:firstLineChars="200"/>
        <w:textAlignment w:val="auto"/>
        <w:rPr>
          <w:rFonts w:hint="default"/>
          <w:color w:val="auto"/>
          <w:highlight w:val="none"/>
          <w:lang w:val="en-US" w:eastAsia="zh-CN"/>
        </w:rPr>
      </w:pPr>
      <w:r>
        <w:rPr>
          <w:rFonts w:hint="default"/>
          <w:color w:val="auto"/>
          <w:highlight w:val="none"/>
          <w:lang w:val="en-US" w:eastAsia="zh-CN"/>
        </w:rPr>
        <w:t>总经理任命各部门负责人及国家和地方法规有要求需公司任命的特殊人员。</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管理者代表</w:t>
      </w:r>
    </w:p>
    <w:p>
      <w:pPr>
        <w:bidi w:val="0"/>
        <w:rPr>
          <w:rFonts w:hint="default"/>
          <w:color w:val="auto"/>
        </w:rPr>
      </w:pPr>
      <w:r>
        <w:rPr>
          <w:rFonts w:hint="default"/>
          <w:color w:val="auto"/>
        </w:rPr>
        <w:t>管理者代表由总经理授权任命，任命书见附录B，</w:t>
      </w:r>
      <w:r>
        <w:rPr>
          <w:rFonts w:hint="eastAsia"/>
          <w:color w:val="auto"/>
          <w:lang w:val="en-US" w:eastAsia="zh-CN"/>
        </w:rPr>
        <w:t>包括但不限于</w:t>
      </w:r>
      <w:r>
        <w:rPr>
          <w:rFonts w:hint="default"/>
          <w:color w:val="auto"/>
        </w:rPr>
        <w:t>以下职责：</w:t>
      </w:r>
    </w:p>
    <w:p>
      <w:pPr>
        <w:pageBreakBefore w:val="0"/>
        <w:numPr>
          <w:ilvl w:val="0"/>
          <w:numId w:val="1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组织建立、实施与产品实现过程相适应的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覆盖</w:t>
      </w:r>
      <w:r>
        <w:rPr>
          <w:rFonts w:hint="eastAsia" w:ascii="Times New Roman" w:hAnsi="Times New Roman" w:eastAsia="宋体"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全生命周期的质量管理体系并保持</w:t>
      </w:r>
      <w:r>
        <w:rPr>
          <w:rFonts w:hint="eastAsia" w:ascii="Times New Roman" w:hAnsi="Times New Roman" w:eastAsia="宋体" w:cs="Times New Roman"/>
          <w:color w:val="auto"/>
          <w:sz w:val="21"/>
          <w:szCs w:val="21"/>
          <w:highlight w:val="none"/>
          <w:lang w:val="en-US" w:eastAsia="zh-CN"/>
        </w:rPr>
        <w:t>其</w:t>
      </w:r>
      <w:r>
        <w:rPr>
          <w:rFonts w:hint="default" w:ascii="Times New Roman" w:hAnsi="Times New Roman" w:eastAsia="宋体" w:cs="Times New Roman"/>
          <w:color w:val="auto"/>
          <w:sz w:val="21"/>
          <w:szCs w:val="21"/>
          <w:highlight w:val="none"/>
        </w:rPr>
        <w:t>有效运行。</w:t>
      </w:r>
    </w:p>
    <w:p>
      <w:pPr>
        <w:pageBreakBefore w:val="0"/>
        <w:numPr>
          <w:ilvl w:val="0"/>
          <w:numId w:val="1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向总经理报告质量管理体系的运行情况和改进需求。</w:t>
      </w:r>
    </w:p>
    <w:p>
      <w:pPr>
        <w:pageBreakBefore w:val="0"/>
        <w:numPr>
          <w:ilvl w:val="0"/>
          <w:numId w:val="1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确保在整个公司内提高员工满足法规、规章和顾客要求的意识。</w:t>
      </w:r>
    </w:p>
    <w:p>
      <w:pPr>
        <w:pageBreakBefore w:val="0"/>
        <w:numPr>
          <w:ilvl w:val="0"/>
          <w:numId w:val="1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在成品放行前应确保产品符合相关要求。</w:t>
      </w:r>
    </w:p>
    <w:p>
      <w:pPr>
        <w:pageBreakBefore w:val="0"/>
        <w:numPr>
          <w:ilvl w:val="0"/>
          <w:numId w:val="1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主动与所在地市食品药品监督管理局进行沟通和协调。</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内部沟通</w:t>
      </w:r>
    </w:p>
    <w:p>
      <w:pPr>
        <w:bidi w:val="0"/>
        <w:rPr>
          <w:rFonts w:hint="default"/>
          <w:color w:val="auto"/>
        </w:rPr>
      </w:pPr>
      <w:r>
        <w:rPr>
          <w:rFonts w:hint="default"/>
          <w:color w:val="auto"/>
        </w:rPr>
        <w:t>通过质量例会、会议、谈话及办公网络等方式在本公司内部不同层次沟通质量管理体系运行有效性、过程有效性和效率、产品符合性及满足法律法规要求的重要性方面的信息。</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管理评审</w:t>
      </w:r>
    </w:p>
    <w:p>
      <w:pPr>
        <w:pStyle w:val="3"/>
        <w:numPr>
          <w:ilvl w:val="2"/>
          <w:numId w:val="2"/>
        </w:numPr>
        <w:bidi w:val="0"/>
        <w:ind w:left="0" w:leftChars="0" w:firstLine="0" w:firstLineChars="0"/>
        <w:rPr>
          <w:rFonts w:hint="default"/>
          <w:color w:val="auto"/>
          <w:highlight w:val="none"/>
          <w:lang w:val="en-US" w:eastAsia="zh-CN"/>
        </w:rPr>
      </w:pPr>
      <w:r>
        <w:rPr>
          <w:rFonts w:hint="eastAsia"/>
          <w:color w:val="auto"/>
          <w:highlight w:val="none"/>
          <w:lang w:val="en-US" w:eastAsia="zh-CN"/>
        </w:rPr>
        <w:t>总则</w:t>
      </w:r>
    </w:p>
    <w:p>
      <w:pPr>
        <w:numPr>
          <w:ilvl w:val="3"/>
          <w:numId w:val="2"/>
        </w:numPr>
        <w:bidi w:val="0"/>
        <w:rPr>
          <w:rFonts w:hint="eastAsia"/>
          <w:color w:val="auto"/>
          <w:lang w:val="en-US" w:eastAsia="zh-CN"/>
        </w:rPr>
      </w:pPr>
      <w:r>
        <w:rPr>
          <w:rFonts w:hint="eastAsia"/>
          <w:color w:val="auto"/>
          <w:lang w:val="en-US" w:eastAsia="zh-CN"/>
        </w:rPr>
        <w:t>质量部组织编制《管理评审控制程序》，对评审的频率、准备、输入、评审的过程与评审的输出做出规定。管理评审间隔期不超过12个月。</w:t>
      </w:r>
    </w:p>
    <w:p>
      <w:pPr>
        <w:numPr>
          <w:ilvl w:val="3"/>
          <w:numId w:val="2"/>
        </w:numPr>
        <w:bidi w:val="0"/>
        <w:rPr>
          <w:rFonts w:hint="eastAsia"/>
          <w:color w:val="auto"/>
          <w:lang w:val="en-US" w:eastAsia="zh-CN"/>
        </w:rPr>
      </w:pPr>
      <w:r>
        <w:rPr>
          <w:rFonts w:hint="eastAsia"/>
          <w:color w:val="auto"/>
          <w:lang w:val="en-US" w:eastAsia="zh-CN"/>
        </w:rPr>
        <w:t>每年1月末由总经理主持召开管理评审，对上一年度质量管理体系的运行情况和改进需求进行总结，并对质量管理体系进行评价和审核，以确保其持续的适宜性、充分性和有效性。</w:t>
      </w:r>
    </w:p>
    <w:p>
      <w:pPr>
        <w:pStyle w:val="3"/>
        <w:numPr>
          <w:ilvl w:val="2"/>
          <w:numId w:val="2"/>
        </w:numPr>
        <w:bidi w:val="0"/>
        <w:ind w:left="0" w:leftChars="0" w:firstLine="0" w:firstLineChars="0"/>
        <w:rPr>
          <w:rFonts w:hint="eastAsia"/>
          <w:color w:val="auto"/>
          <w:highlight w:val="none"/>
          <w:lang w:val="en-US" w:eastAsia="zh-CN"/>
        </w:rPr>
      </w:pPr>
      <w:r>
        <w:rPr>
          <w:rFonts w:hint="default"/>
          <w:color w:val="auto"/>
          <w:highlight w:val="none"/>
          <w:lang w:val="en-US" w:eastAsia="zh-CN"/>
        </w:rPr>
        <w:t>管理</w:t>
      </w:r>
      <w:r>
        <w:rPr>
          <w:rFonts w:hint="eastAsia"/>
          <w:color w:val="auto"/>
          <w:highlight w:val="none"/>
          <w:lang w:val="en-US" w:eastAsia="zh-CN"/>
        </w:rPr>
        <w:t>评审输入</w:t>
      </w:r>
    </w:p>
    <w:p>
      <w:pPr>
        <w:bidi w:val="0"/>
        <w:rPr>
          <w:rFonts w:hint="eastAsia"/>
          <w:color w:val="auto"/>
          <w:lang w:val="en-US" w:eastAsia="zh-CN"/>
        </w:rPr>
      </w:pPr>
      <w:r>
        <w:rPr>
          <w:rFonts w:hint="eastAsia"/>
          <w:color w:val="auto"/>
          <w:lang w:val="en-US" w:eastAsia="zh-CN"/>
        </w:rPr>
        <w:t xml:space="preserve">管理评审输入应包括，但不限于以下来源的信息：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反馈;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抱怨处理;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向监管机构的报告;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审核;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过程的监视和测量;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产品的监视和测量;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纠正措施;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预防措施;</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以往管理评审的跟踪措施;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影响质量管理体系的变更;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改进的建议; </w:t>
      </w:r>
    </w:p>
    <w:p>
      <w:pPr>
        <w:pageBreakBefore w:val="0"/>
        <w:numPr>
          <w:ilvl w:val="0"/>
          <w:numId w:val="1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适用的新的或修订的法规要求。</w:t>
      </w:r>
    </w:p>
    <w:p>
      <w:pPr>
        <w:pStyle w:val="3"/>
        <w:numPr>
          <w:ilvl w:val="2"/>
          <w:numId w:val="2"/>
        </w:numPr>
        <w:bidi w:val="0"/>
        <w:ind w:left="0" w:leftChars="0" w:firstLine="0" w:firstLineChars="0"/>
        <w:rPr>
          <w:rFonts w:hint="eastAsia"/>
          <w:color w:val="auto"/>
          <w:highlight w:val="none"/>
          <w:lang w:val="en-US" w:eastAsia="zh-CN"/>
        </w:rPr>
      </w:pPr>
      <w:r>
        <w:rPr>
          <w:rFonts w:hint="eastAsia"/>
          <w:color w:val="auto"/>
          <w:highlight w:val="none"/>
          <w:lang w:val="en-US" w:eastAsia="zh-CN"/>
        </w:rPr>
        <w:t>管理评审输出</w:t>
      </w:r>
    </w:p>
    <w:p>
      <w:pPr>
        <w:bidi w:val="0"/>
        <w:rPr>
          <w:rFonts w:hint="eastAsia"/>
          <w:color w:val="auto"/>
          <w:lang w:val="en-US" w:eastAsia="zh-CN"/>
        </w:rPr>
      </w:pPr>
      <w:r>
        <w:rPr>
          <w:rFonts w:hint="eastAsia"/>
          <w:color w:val="auto"/>
          <w:lang w:val="en-US" w:eastAsia="zh-CN"/>
        </w:rPr>
        <w:t>管理评审输出应</w:t>
      </w:r>
      <w:r>
        <w:rPr>
          <w:rFonts w:hint="default"/>
          <w:color w:val="auto"/>
          <w:lang w:val="en-US" w:eastAsia="zh-CN"/>
        </w:rPr>
        <w:t>形成</w:t>
      </w:r>
      <w:r>
        <w:rPr>
          <w:rFonts w:hint="eastAsia"/>
          <w:color w:val="auto"/>
          <w:lang w:val="en-US" w:eastAsia="zh-CN"/>
        </w:rPr>
        <w:t xml:space="preserve">记录，包括以下方面有关的输入评审和任何的决定和措施： </w:t>
      </w:r>
    </w:p>
    <w:p>
      <w:pPr>
        <w:pageBreakBefore w:val="0"/>
        <w:numPr>
          <w:ilvl w:val="0"/>
          <w:numId w:val="1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保持质量管理体系及其过程适宜性、充分性和有效性所需的改进; </w:t>
      </w:r>
    </w:p>
    <w:p>
      <w:pPr>
        <w:pageBreakBefore w:val="0"/>
        <w:numPr>
          <w:ilvl w:val="0"/>
          <w:numId w:val="1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与顾客要求有关的产品的改进; </w:t>
      </w:r>
    </w:p>
    <w:p>
      <w:pPr>
        <w:pageBreakBefore w:val="0"/>
        <w:numPr>
          <w:ilvl w:val="0"/>
          <w:numId w:val="1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为响应适用的新的或修订的法规要求所需的变更； </w:t>
      </w:r>
    </w:p>
    <w:p>
      <w:pPr>
        <w:pageBreakBefore w:val="0"/>
        <w:numPr>
          <w:ilvl w:val="0"/>
          <w:numId w:val="1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资源需求。 </w:t>
      </w:r>
    </w:p>
    <w:p>
      <w:pPr>
        <w:numPr>
          <w:ilvl w:val="2"/>
          <w:numId w:val="2"/>
        </w:numPr>
        <w:bidi w:val="0"/>
        <w:rPr>
          <w:rFonts w:hint="default"/>
          <w:color w:val="auto"/>
          <w:lang w:val="en-US" w:eastAsia="zh-CN"/>
        </w:rPr>
      </w:pPr>
      <w:r>
        <w:rPr>
          <w:rFonts w:hint="default"/>
          <w:color w:val="auto"/>
          <w:lang w:val="en-US" w:eastAsia="zh-CN"/>
        </w:rPr>
        <w:t>管理</w:t>
      </w:r>
      <w:r>
        <w:rPr>
          <w:rFonts w:hint="eastAsia"/>
          <w:color w:val="auto"/>
          <w:lang w:val="en-US" w:eastAsia="zh-CN"/>
        </w:rPr>
        <w:t>评审文件和</w:t>
      </w:r>
      <w:r>
        <w:rPr>
          <w:rFonts w:hint="default"/>
          <w:color w:val="auto"/>
          <w:lang w:val="en-US" w:eastAsia="zh-CN"/>
        </w:rPr>
        <w:t>记录应该包括管理评审计划、管理评审报告以及相关改进措施。</w:t>
      </w:r>
    </w:p>
    <w:p>
      <w:pPr>
        <w:numPr>
          <w:ilvl w:val="2"/>
          <w:numId w:val="2"/>
        </w:numPr>
        <w:bidi w:val="0"/>
        <w:rPr>
          <w:rFonts w:hint="default"/>
          <w:color w:val="auto"/>
          <w:lang w:val="en-US" w:eastAsia="zh-CN"/>
        </w:rPr>
      </w:pPr>
      <w:r>
        <w:rPr>
          <w:rFonts w:hint="default"/>
          <w:color w:val="auto"/>
          <w:lang w:val="en-US" w:eastAsia="zh-CN"/>
        </w:rPr>
        <w:t>管理评审报告中应包括对法规符合性的评价</w:t>
      </w:r>
      <w:r>
        <w:rPr>
          <w:rFonts w:hint="eastAsia"/>
          <w:color w:val="auto"/>
          <w:lang w:val="en-US" w:eastAsia="zh-CN"/>
        </w:rPr>
        <w:t>、实施</w:t>
      </w:r>
      <w:r>
        <w:rPr>
          <w:rFonts w:hint="default"/>
          <w:color w:val="auto"/>
          <w:lang w:val="en-US" w:eastAsia="zh-CN"/>
        </w:rPr>
        <w:t>管理评审的时间，提出的改进措施及具体职责和要求，管理评审计划</w:t>
      </w:r>
      <w:r>
        <w:rPr>
          <w:rFonts w:hint="eastAsia"/>
          <w:color w:val="auto"/>
          <w:lang w:val="en-US" w:eastAsia="zh-CN"/>
        </w:rPr>
        <w:t>的</w:t>
      </w:r>
      <w:r>
        <w:rPr>
          <w:rFonts w:hint="default"/>
          <w:color w:val="auto"/>
          <w:lang w:val="en-US" w:eastAsia="zh-CN"/>
        </w:rPr>
        <w:t>实施</w:t>
      </w:r>
      <w:r>
        <w:rPr>
          <w:rFonts w:hint="eastAsia"/>
          <w:color w:val="auto"/>
          <w:lang w:val="en-US" w:eastAsia="zh-CN"/>
        </w:rPr>
        <w:t>情况</w:t>
      </w:r>
      <w:r>
        <w:rPr>
          <w:rFonts w:hint="default"/>
          <w:color w:val="auto"/>
          <w:lang w:val="en-US" w:eastAsia="zh-CN"/>
        </w:rPr>
        <w:t>等内容。</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支持性文件</w:t>
      </w:r>
    </w:p>
    <w:p>
      <w:pPr>
        <w:numPr>
          <w:ilvl w:val="2"/>
          <w:numId w:val="2"/>
        </w:numPr>
        <w:bidi w:val="0"/>
        <w:rPr>
          <w:rFonts w:hint="default"/>
          <w:color w:val="auto"/>
          <w:lang w:val="en-US" w:eastAsia="zh-CN"/>
        </w:rPr>
      </w:pPr>
      <w:r>
        <w:rPr>
          <w:rFonts w:hint="default"/>
          <w:color w:val="auto"/>
          <w:lang w:val="en-US" w:eastAsia="zh-CN"/>
        </w:rPr>
        <w:t>《文件和资料控制程序》                    (XX-QP-001)</w:t>
      </w:r>
    </w:p>
    <w:p>
      <w:pPr>
        <w:numPr>
          <w:ilvl w:val="2"/>
          <w:numId w:val="2"/>
        </w:numPr>
        <w:bidi w:val="0"/>
        <w:rPr>
          <w:rFonts w:hint="default"/>
          <w:color w:val="auto"/>
          <w:lang w:val="en-US" w:eastAsia="zh-CN"/>
        </w:rPr>
      </w:pPr>
      <w:r>
        <w:rPr>
          <w:rFonts w:hint="default"/>
          <w:color w:val="auto"/>
          <w:lang w:val="en-US" w:eastAsia="zh-CN"/>
        </w:rPr>
        <w:t>《管理评审控制程序》                      (XX-QP-003)</w:t>
      </w:r>
    </w:p>
    <w:p>
      <w:pPr>
        <w:numPr>
          <w:ilvl w:val="2"/>
          <w:numId w:val="2"/>
        </w:numPr>
        <w:bidi w:val="0"/>
        <w:rPr>
          <w:rFonts w:hint="default"/>
          <w:color w:val="auto"/>
          <w:lang w:val="en-US" w:eastAsia="zh-CN"/>
        </w:rPr>
      </w:pPr>
      <w:r>
        <w:rPr>
          <w:rFonts w:hint="default"/>
          <w:color w:val="auto"/>
          <w:lang w:val="en-US" w:eastAsia="zh-CN"/>
        </w:rPr>
        <w:t>《人力资源控制程序》                      (XX-QP-004)</w:t>
      </w:r>
    </w:p>
    <w:p>
      <w:pPr>
        <w:numPr>
          <w:ilvl w:val="2"/>
          <w:numId w:val="2"/>
        </w:numPr>
        <w:bidi w:val="0"/>
        <w:rPr>
          <w:rFonts w:hint="default"/>
          <w:color w:val="auto"/>
          <w:lang w:val="en-US" w:eastAsia="zh-CN"/>
        </w:rPr>
      </w:pPr>
      <w:r>
        <w:rPr>
          <w:rFonts w:hint="default"/>
          <w:color w:val="auto"/>
          <w:lang w:val="en-US" w:eastAsia="zh-CN"/>
        </w:rPr>
        <w:t>《与顾客有关的过程控制程序》              (XX-QP-008)</w:t>
      </w:r>
    </w:p>
    <w:p>
      <w:pPr>
        <w:numPr>
          <w:ilvl w:val="2"/>
          <w:numId w:val="2"/>
        </w:numPr>
        <w:bidi w:val="0"/>
        <w:rPr>
          <w:rFonts w:hint="default"/>
          <w:color w:val="auto"/>
          <w:lang w:val="en-US" w:eastAsia="zh-CN"/>
        </w:rPr>
      </w:pPr>
      <w:r>
        <w:rPr>
          <w:rFonts w:hint="default"/>
          <w:color w:val="auto"/>
          <w:lang w:val="en-US" w:eastAsia="zh-CN"/>
        </w:rPr>
        <w:t>《设计开发控制程序》                      (XX-QP-009)</w:t>
      </w:r>
    </w:p>
    <w:p>
      <w:pPr>
        <w:numPr>
          <w:ilvl w:val="2"/>
          <w:numId w:val="2"/>
        </w:numPr>
        <w:bidi w:val="0"/>
        <w:rPr>
          <w:rFonts w:hint="default"/>
          <w:color w:val="auto"/>
          <w:lang w:val="en-US" w:eastAsia="zh-CN"/>
        </w:rPr>
      </w:pPr>
      <w:r>
        <w:rPr>
          <w:rFonts w:hint="default"/>
          <w:color w:val="auto"/>
          <w:lang w:val="en-US" w:eastAsia="zh-CN"/>
        </w:rPr>
        <w:t>《纠正及预防措施控制程序》                (XX-QP-019)</w:t>
      </w:r>
    </w:p>
    <w:p>
      <w:pPr>
        <w:numPr>
          <w:ilvl w:val="2"/>
          <w:numId w:val="2"/>
        </w:numPr>
        <w:bidi w:val="0"/>
        <w:rPr>
          <w:rFonts w:hint="default"/>
          <w:color w:val="auto"/>
          <w:lang w:val="en-US" w:eastAsia="zh-CN"/>
        </w:rPr>
      </w:pPr>
      <w:r>
        <w:rPr>
          <w:rFonts w:hint="default"/>
          <w:color w:val="auto"/>
          <w:lang w:val="en-US" w:eastAsia="zh-CN"/>
        </w:rPr>
        <w:t>《数据分析控制程序》                      (XX-QP-020)</w:t>
      </w:r>
    </w:p>
    <w:p>
      <w:pPr>
        <w:numPr>
          <w:ilvl w:val="2"/>
          <w:numId w:val="2"/>
        </w:numPr>
        <w:bidi w:val="0"/>
        <w:rPr>
          <w:rFonts w:hint="default"/>
          <w:color w:val="auto"/>
          <w:lang w:val="en-US" w:eastAsia="zh-CN"/>
        </w:rPr>
      </w:pPr>
      <w:r>
        <w:rPr>
          <w:rFonts w:hint="default"/>
          <w:color w:val="auto"/>
          <w:lang w:val="en-US" w:eastAsia="zh-CN"/>
        </w:rPr>
        <w:t>《岗位职责和任职资格管理规范》           （QS-QS-006）</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资源管理</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资源提供</w:t>
      </w:r>
    </w:p>
    <w:p>
      <w:pPr>
        <w:bidi w:val="0"/>
        <w:rPr>
          <w:rFonts w:hint="default"/>
          <w:color w:val="auto"/>
        </w:rPr>
      </w:pPr>
      <w:r>
        <w:rPr>
          <w:rFonts w:hint="default"/>
          <w:color w:val="auto"/>
        </w:rPr>
        <w:t>总经理应根据公司的经营方针、产品特点和生产规模确定所需要提供的资源要求，包括人员、基础设施、工作环境等，以确保质量管理体系的实施并保持其有效运行，满足法规和顾客要求。</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人力资源</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总则</w:t>
      </w:r>
    </w:p>
    <w:p>
      <w:pPr>
        <w:numPr>
          <w:ilvl w:val="3"/>
          <w:numId w:val="2"/>
        </w:numPr>
        <w:bidi w:val="0"/>
        <w:rPr>
          <w:rFonts w:hint="eastAsia"/>
          <w:color w:val="auto"/>
          <w:lang w:val="en-US" w:eastAsia="zh-CN"/>
        </w:rPr>
      </w:pPr>
      <w:r>
        <w:rPr>
          <w:rFonts w:hint="eastAsia"/>
          <w:color w:val="auto"/>
          <w:lang w:val="en-US" w:eastAsia="zh-CN"/>
        </w:rPr>
        <w:t>人事部建立《人力资源控制程序》，对人力资源进行控制和管理，确保从事各岗位的任职人员能够胜任本职工作。</w:t>
      </w:r>
    </w:p>
    <w:p>
      <w:pPr>
        <w:numPr>
          <w:ilvl w:val="3"/>
          <w:numId w:val="2"/>
        </w:numPr>
        <w:bidi w:val="0"/>
        <w:rPr>
          <w:rFonts w:hint="default"/>
          <w:color w:val="auto"/>
          <w:lang w:val="en-US" w:eastAsia="zh-CN"/>
        </w:rPr>
      </w:pPr>
      <w:r>
        <w:rPr>
          <w:rFonts w:hint="default"/>
          <w:color w:val="auto"/>
          <w:lang w:val="en-US" w:eastAsia="zh-CN"/>
        </w:rPr>
        <w:t>公司应配备与注册</w:t>
      </w:r>
      <w:r>
        <w:rPr>
          <w:rFonts w:hint="eastAsia"/>
          <w:color w:val="auto"/>
          <w:lang w:val="en-US" w:eastAsia="zh-CN"/>
        </w:rPr>
        <w:t>或生产</w:t>
      </w:r>
      <w:r>
        <w:rPr>
          <w:rFonts w:hint="default"/>
          <w:color w:val="auto"/>
          <w:lang w:val="en-US" w:eastAsia="zh-CN"/>
        </w:rPr>
        <w:t>产品相适应的专业技术人员、管理人员和操作人员，</w:t>
      </w:r>
      <w:r>
        <w:rPr>
          <w:rFonts w:hint="eastAsia"/>
          <w:color w:val="auto"/>
          <w:lang w:val="en-US" w:eastAsia="zh-CN"/>
        </w:rPr>
        <w:t>配备相应的质量检验机构或专职检验人员。</w:t>
      </w:r>
      <w:r>
        <w:rPr>
          <w:rFonts w:hint="default"/>
          <w:color w:val="auto"/>
          <w:lang w:val="en-US" w:eastAsia="zh-CN"/>
        </w:rPr>
        <w:t>专职的质量管理人员，应具有工作经验，熟悉所注册</w:t>
      </w:r>
      <w:r>
        <w:rPr>
          <w:rFonts w:hint="eastAsia"/>
          <w:color w:val="auto"/>
          <w:lang w:val="en-US" w:eastAsia="zh-CN"/>
        </w:rPr>
        <w:t>医疗器械</w:t>
      </w:r>
      <w:r>
        <w:rPr>
          <w:rFonts w:hint="default"/>
          <w:color w:val="auto"/>
          <w:lang w:val="en-US" w:eastAsia="zh-CN"/>
        </w:rPr>
        <w:t>产品的生产质量管理要求，能够对质量管理体系进行评估、审核和监督。专职检验员应当具有专业知识背景或相关业从业经验，符合所从事的岗位要求。</w:t>
      </w:r>
    </w:p>
    <w:p>
      <w:pPr>
        <w:numPr>
          <w:ilvl w:val="3"/>
          <w:numId w:val="2"/>
        </w:numPr>
        <w:bidi w:val="0"/>
        <w:rPr>
          <w:rFonts w:hint="default"/>
          <w:color w:val="auto"/>
          <w:lang w:val="en-US" w:eastAsia="zh-CN"/>
        </w:rPr>
      </w:pPr>
      <w:r>
        <w:rPr>
          <w:rFonts w:hint="default"/>
          <w:color w:val="auto"/>
          <w:lang w:val="en-US" w:eastAsia="zh-CN"/>
        </w:rPr>
        <w:t>各部门确定影响</w:t>
      </w:r>
      <w:r>
        <w:rPr>
          <w:rFonts w:hint="eastAsia"/>
          <w:color w:val="auto"/>
          <w:lang w:val="en-US" w:eastAsia="zh-CN"/>
        </w:rPr>
        <w:t>医疗器械</w:t>
      </w:r>
      <w:r>
        <w:rPr>
          <w:rFonts w:hint="default"/>
          <w:color w:val="auto"/>
          <w:lang w:val="en-US" w:eastAsia="zh-CN"/>
        </w:rPr>
        <w:t>质量工作的人员，规定这些岗位人员所必须具备的专业知识水平（包括学历要求）、工作技能、工作经验。</w:t>
      </w:r>
    </w:p>
    <w:p>
      <w:pPr>
        <w:numPr>
          <w:ilvl w:val="3"/>
          <w:numId w:val="2"/>
        </w:numPr>
        <w:bidi w:val="0"/>
        <w:rPr>
          <w:rFonts w:hint="default"/>
          <w:color w:val="auto"/>
          <w:lang w:val="en-US" w:eastAsia="zh-CN"/>
        </w:rPr>
      </w:pPr>
      <w:r>
        <w:rPr>
          <w:rFonts w:hint="default"/>
          <w:color w:val="auto"/>
          <w:lang w:val="en-US" w:eastAsia="zh-CN"/>
        </w:rPr>
        <w:t>生产管理部门和质量管理部门负责人不得互相兼任。</w:t>
      </w:r>
    </w:p>
    <w:p>
      <w:pPr>
        <w:numPr>
          <w:ilvl w:val="3"/>
          <w:numId w:val="2"/>
        </w:numPr>
        <w:bidi w:val="0"/>
        <w:rPr>
          <w:rFonts w:hint="eastAsia" w:ascii="Times New Roman" w:hAnsi="Times New Roman" w:eastAsia="宋体" w:cs="Times New Roman"/>
          <w:color w:val="auto"/>
          <w:sz w:val="21"/>
          <w:szCs w:val="21"/>
          <w:highlight w:val="none"/>
          <w:lang w:val="en-US" w:eastAsia="zh-CN"/>
        </w:rPr>
      </w:pPr>
      <w:r>
        <w:rPr>
          <w:rFonts w:hint="eastAsia"/>
          <w:color w:val="auto"/>
          <w:lang w:val="en-US" w:eastAsia="zh-CN"/>
        </w:rPr>
        <w:t>人事部应</w:t>
      </w:r>
      <w:r>
        <w:rPr>
          <w:rFonts w:hint="default"/>
          <w:color w:val="auto"/>
          <w:lang w:val="en-US" w:eastAsia="zh-CN"/>
        </w:rPr>
        <w:t>对从事与产品质量有影响人员的健康进行管理，建立健康档案。</w:t>
      </w:r>
      <w:r>
        <w:rPr>
          <w:rFonts w:hint="eastAsia" w:ascii="Times New Roman" w:hAnsi="Times New Roman" w:eastAsia="宋体" w:cs="Times New Roman"/>
          <w:color w:val="auto"/>
          <w:sz w:val="21"/>
          <w:szCs w:val="21"/>
          <w:highlight w:val="none"/>
          <w:lang w:val="en-US" w:eastAsia="zh-CN"/>
        </w:rPr>
        <w:t>直接接触物料和产品的操作人员每年至少体检一次。患有传染性和感染性疾病的人员不得从事直接接触产品的工作。</w:t>
      </w:r>
    </w:p>
    <w:p>
      <w:pPr>
        <w:pStyle w:val="3"/>
        <w:numPr>
          <w:ilvl w:val="2"/>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能力、意识和培训</w:t>
      </w:r>
    </w:p>
    <w:p>
      <w:pPr>
        <w:numPr>
          <w:ilvl w:val="3"/>
          <w:numId w:val="2"/>
        </w:numPr>
        <w:bidi w:val="0"/>
        <w:rPr>
          <w:rFonts w:hint="default"/>
          <w:color w:val="auto"/>
          <w:lang w:val="en-US" w:eastAsia="zh-CN"/>
        </w:rPr>
      </w:pPr>
      <w:r>
        <w:rPr>
          <w:rFonts w:hint="default"/>
          <w:color w:val="auto"/>
          <w:lang w:val="en-US" w:eastAsia="zh-CN"/>
        </w:rPr>
        <w:t>人事部建立各岗位培训需求</w:t>
      </w:r>
      <w:r>
        <w:rPr>
          <w:rFonts w:hint="eastAsia"/>
          <w:color w:val="auto"/>
          <w:lang w:val="en-US" w:eastAsia="zh-CN"/>
        </w:rPr>
        <w:t>清单</w:t>
      </w:r>
      <w:r>
        <w:rPr>
          <w:rFonts w:hint="default"/>
          <w:color w:val="auto"/>
          <w:lang w:val="en-US" w:eastAsia="zh-CN"/>
        </w:rPr>
        <w:t>，通过培训和其它方法(必要的教育、工作背景和相关的经验等)提高员工的能力，保证所有从事影响产品质量工作的人员都能得到与其岗位要求相适应</w:t>
      </w:r>
      <w:r>
        <w:rPr>
          <w:rFonts w:hint="eastAsia"/>
          <w:color w:val="auto"/>
          <w:lang w:val="en-US" w:eastAsia="zh-CN"/>
        </w:rPr>
        <w:t>的</w:t>
      </w:r>
      <w:r>
        <w:rPr>
          <w:rFonts w:hint="default"/>
          <w:color w:val="auto"/>
          <w:lang w:val="en-US" w:eastAsia="zh-CN"/>
        </w:rPr>
        <w:t>培训，具有相关的理论知识和实际操作技能。</w:t>
      </w:r>
    </w:p>
    <w:p>
      <w:pPr>
        <w:numPr>
          <w:ilvl w:val="3"/>
          <w:numId w:val="2"/>
        </w:numPr>
        <w:bidi w:val="0"/>
        <w:rPr>
          <w:rFonts w:hint="default"/>
          <w:color w:val="auto"/>
          <w:lang w:val="en-US" w:eastAsia="zh-CN"/>
        </w:rPr>
      </w:pPr>
      <w:r>
        <w:rPr>
          <w:rFonts w:hint="eastAsia"/>
          <w:color w:val="auto"/>
          <w:lang w:val="en-US" w:eastAsia="zh-CN"/>
        </w:rPr>
        <w:t>总经理</w:t>
      </w:r>
      <w:r>
        <w:rPr>
          <w:rFonts w:hint="default"/>
          <w:color w:val="auto"/>
          <w:lang w:val="en-US" w:eastAsia="zh-CN"/>
        </w:rPr>
        <w:t>和管理者代表应当熟悉</w:t>
      </w:r>
      <w:r>
        <w:rPr>
          <w:rFonts w:hint="eastAsia"/>
          <w:color w:val="auto"/>
          <w:lang w:val="en-US" w:eastAsia="zh-CN"/>
        </w:rPr>
        <w:t>医疗器械</w:t>
      </w:r>
      <w:r>
        <w:rPr>
          <w:rFonts w:hint="default"/>
          <w:color w:val="auto"/>
          <w:lang w:val="en-US" w:eastAsia="zh-CN"/>
        </w:rPr>
        <w:t>相关法规并了解相关质量体系标准。</w:t>
      </w:r>
    </w:p>
    <w:p>
      <w:pPr>
        <w:numPr>
          <w:ilvl w:val="3"/>
          <w:numId w:val="2"/>
        </w:numPr>
        <w:bidi w:val="0"/>
        <w:rPr>
          <w:rFonts w:hint="default"/>
          <w:color w:val="auto"/>
          <w:lang w:val="en-US" w:eastAsia="zh-CN"/>
        </w:rPr>
      </w:pPr>
      <w:r>
        <w:rPr>
          <w:rFonts w:hint="default"/>
          <w:color w:val="auto"/>
          <w:lang w:val="en-US" w:eastAsia="zh-CN"/>
        </w:rPr>
        <w:t>技术、生产、质量</w:t>
      </w:r>
      <w:r>
        <w:rPr>
          <w:rFonts w:hint="eastAsia"/>
          <w:color w:val="auto"/>
          <w:lang w:val="en-US" w:eastAsia="zh-CN"/>
        </w:rPr>
        <w:t>管理部门负责人</w:t>
      </w:r>
      <w:r>
        <w:rPr>
          <w:rFonts w:hint="default"/>
          <w:color w:val="auto"/>
          <w:lang w:val="en-US" w:eastAsia="zh-CN"/>
        </w:rPr>
        <w:t>应当熟悉</w:t>
      </w:r>
      <w:r>
        <w:rPr>
          <w:rFonts w:hint="eastAsia"/>
          <w:color w:val="auto"/>
          <w:lang w:val="en-US" w:eastAsia="zh-CN"/>
        </w:rPr>
        <w:t>医疗器械</w:t>
      </w:r>
      <w:r>
        <w:rPr>
          <w:rFonts w:hint="default"/>
          <w:color w:val="auto"/>
          <w:lang w:val="en-US" w:eastAsia="zh-CN"/>
        </w:rPr>
        <w:t>法律法规，并具有</w:t>
      </w:r>
      <w:r>
        <w:rPr>
          <w:rFonts w:hint="eastAsia"/>
          <w:color w:val="auto"/>
          <w:lang w:val="en-US" w:eastAsia="zh-CN"/>
        </w:rPr>
        <w:t>质量管理</w:t>
      </w:r>
      <w:r>
        <w:rPr>
          <w:rFonts w:hint="default"/>
          <w:color w:val="auto"/>
          <w:lang w:val="en-US" w:eastAsia="zh-CN"/>
        </w:rPr>
        <w:t>的实践经验，以确保具备在生产、质量管理中履行对</w:t>
      </w:r>
      <w:r>
        <w:rPr>
          <w:rFonts w:hint="eastAsia"/>
          <w:color w:val="auto"/>
          <w:lang w:val="en-US" w:eastAsia="zh-CN"/>
        </w:rPr>
        <w:t>生产管理和质量管理中</w:t>
      </w:r>
      <w:r>
        <w:rPr>
          <w:rFonts w:hint="default"/>
          <w:color w:val="auto"/>
          <w:lang w:val="en-US" w:eastAsia="zh-CN"/>
        </w:rPr>
        <w:t>实际问题作出正确判断和处理等职责的能力。</w:t>
      </w:r>
      <w:r>
        <w:rPr>
          <w:rFonts w:hint="eastAsia"/>
          <w:color w:val="auto"/>
          <w:lang w:val="en-US" w:eastAsia="zh-CN"/>
        </w:rPr>
        <w:t>明确规定对应岗位的专业知识、工作技能、工作经历等的要求。</w:t>
      </w:r>
    </w:p>
    <w:p>
      <w:pPr>
        <w:numPr>
          <w:ilvl w:val="3"/>
          <w:numId w:val="2"/>
        </w:numPr>
        <w:bidi w:val="0"/>
        <w:rPr>
          <w:rFonts w:hint="default"/>
          <w:color w:val="auto"/>
          <w:lang w:val="en-US" w:eastAsia="zh-CN"/>
        </w:rPr>
      </w:pPr>
      <w:r>
        <w:rPr>
          <w:rFonts w:hint="default"/>
          <w:color w:val="auto"/>
          <w:lang w:val="en-US" w:eastAsia="zh-CN"/>
        </w:rPr>
        <w:t>对全体员工必须进行质量意识培训，使员工意识到满足顾客和法律法规要求的重要性，意识到自己从事的活动与公司发展的相关性，为实现质量目标作出贡献，鼓励员工参与质量管理。</w:t>
      </w:r>
    </w:p>
    <w:p>
      <w:pPr>
        <w:numPr>
          <w:ilvl w:val="3"/>
          <w:numId w:val="2"/>
        </w:numPr>
        <w:bidi w:val="0"/>
        <w:rPr>
          <w:rFonts w:hint="default"/>
          <w:color w:val="auto"/>
          <w:lang w:val="en-US" w:eastAsia="zh-CN"/>
        </w:rPr>
      </w:pPr>
      <w:r>
        <w:rPr>
          <w:rFonts w:hint="eastAsia"/>
          <w:color w:val="auto"/>
          <w:lang w:val="en-US" w:eastAsia="zh-CN"/>
        </w:rPr>
        <w:t>人事部</w:t>
      </w:r>
      <w:r>
        <w:rPr>
          <w:rFonts w:hint="default"/>
          <w:color w:val="auto"/>
          <w:lang w:val="en-US" w:eastAsia="zh-CN"/>
        </w:rPr>
        <w:t>定期组织培训，确保员工认识到所从事活动的相关性和重要性，以及如何为实现质量目标作出贡献</w:t>
      </w:r>
      <w:r>
        <w:rPr>
          <w:rFonts w:hint="eastAsia"/>
          <w:color w:val="auto"/>
          <w:lang w:val="en-US" w:eastAsia="zh-CN"/>
        </w:rPr>
        <w:t>。</w:t>
      </w:r>
    </w:p>
    <w:p>
      <w:pPr>
        <w:numPr>
          <w:ilvl w:val="3"/>
          <w:numId w:val="2"/>
        </w:numPr>
        <w:bidi w:val="0"/>
        <w:rPr>
          <w:rFonts w:hint="default"/>
          <w:color w:val="auto"/>
          <w:lang w:val="en-US" w:eastAsia="zh-CN"/>
        </w:rPr>
      </w:pPr>
      <w:r>
        <w:rPr>
          <w:rFonts w:hint="eastAsia"/>
          <w:color w:val="auto"/>
          <w:lang w:val="en-US" w:eastAsia="zh-CN"/>
        </w:rPr>
        <w:t>人事部对为</w:t>
      </w:r>
      <w:r>
        <w:rPr>
          <w:rFonts w:hint="default"/>
          <w:color w:val="auto"/>
          <w:lang w:val="en-US" w:eastAsia="zh-CN"/>
        </w:rPr>
        <w:t>从事影响产品质量工作的人员达到或保持必要的能力提供的培训或采取其他措施的有效性进行评价。</w:t>
      </w:r>
    </w:p>
    <w:p>
      <w:pPr>
        <w:numPr>
          <w:ilvl w:val="3"/>
          <w:numId w:val="2"/>
        </w:numPr>
        <w:bidi w:val="0"/>
        <w:rPr>
          <w:rFonts w:hint="default"/>
          <w:color w:val="auto"/>
          <w:lang w:val="en-US" w:eastAsia="zh-CN"/>
        </w:rPr>
      </w:pPr>
      <w:r>
        <w:rPr>
          <w:rFonts w:hint="default"/>
          <w:color w:val="auto"/>
          <w:lang w:val="en-US" w:eastAsia="zh-CN"/>
        </w:rPr>
        <w:t>凡在洁净室（区）工作的人员应当定期进行卫生和微生物学基础知识、洁净作业等方面培训。</w:t>
      </w:r>
    </w:p>
    <w:p>
      <w:pPr>
        <w:numPr>
          <w:ilvl w:val="3"/>
          <w:numId w:val="2"/>
        </w:numPr>
        <w:bidi w:val="0"/>
        <w:rPr>
          <w:rFonts w:hint="default"/>
          <w:color w:val="auto"/>
          <w:lang w:val="en-US" w:eastAsia="zh-CN"/>
        </w:rPr>
      </w:pPr>
      <w:r>
        <w:rPr>
          <w:rFonts w:hint="default"/>
          <w:color w:val="auto"/>
          <w:lang w:val="en-US" w:eastAsia="zh-CN"/>
        </w:rPr>
        <w:t>临时进入洁净室（区）的人员，应当对其进行指导和监督。</w:t>
      </w:r>
    </w:p>
    <w:p>
      <w:pPr>
        <w:numPr>
          <w:ilvl w:val="3"/>
          <w:numId w:val="2"/>
        </w:numPr>
        <w:bidi w:val="0"/>
        <w:rPr>
          <w:rFonts w:hint="default"/>
          <w:color w:val="auto"/>
          <w:lang w:val="en-US" w:eastAsia="zh-CN"/>
        </w:rPr>
      </w:pPr>
      <w:r>
        <w:rPr>
          <w:rFonts w:hint="default"/>
          <w:color w:val="auto"/>
          <w:lang w:val="en-US" w:eastAsia="zh-CN"/>
        </w:rPr>
        <w:t>从事体外诊断试剂生产的全体人员，包括清洁、维修等人员均应当根据其产品和所从事的生产操作进行专业和安全防护培训。</w:t>
      </w:r>
    </w:p>
    <w:p>
      <w:pPr>
        <w:numPr>
          <w:ilvl w:val="3"/>
          <w:numId w:val="2"/>
        </w:numPr>
        <w:bidi w:val="0"/>
        <w:rPr>
          <w:rFonts w:hint="default"/>
          <w:color w:val="auto"/>
          <w:lang w:val="en-US" w:eastAsia="zh-CN"/>
        </w:rPr>
      </w:pPr>
      <w:r>
        <w:rPr>
          <w:rFonts w:hint="default"/>
          <w:color w:val="auto"/>
          <w:lang w:val="en-US" w:eastAsia="zh-CN"/>
        </w:rPr>
        <w:t>从事高生物活性、高毒性、强传染性、强致敏性等有特殊要求产品的生产和质量检验人员应当具备相关岗位操作资格或接受相关专业技术培训和防护知识培训，合格后方可上岗。</w:t>
      </w:r>
    </w:p>
    <w:p>
      <w:pPr>
        <w:numPr>
          <w:ilvl w:val="3"/>
          <w:numId w:val="2"/>
        </w:numPr>
        <w:bidi w:val="0"/>
        <w:rPr>
          <w:rFonts w:hint="default"/>
          <w:color w:val="auto"/>
          <w:lang w:val="en-US" w:eastAsia="zh-CN"/>
        </w:rPr>
      </w:pPr>
      <w:r>
        <w:rPr>
          <w:rFonts w:hint="default"/>
          <w:color w:val="auto"/>
          <w:lang w:val="en-US" w:eastAsia="zh-CN"/>
        </w:rPr>
        <w:t>人事部保存所有员工的有关教育、培训、技能和经历的记录。</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基础设施</w:t>
      </w:r>
    </w:p>
    <w:p>
      <w:pPr>
        <w:numPr>
          <w:ilvl w:val="2"/>
          <w:numId w:val="2"/>
        </w:numPr>
        <w:bidi w:val="0"/>
        <w:rPr>
          <w:rFonts w:hint="default"/>
          <w:color w:val="auto"/>
          <w:lang w:val="en-US" w:eastAsia="zh-CN"/>
        </w:rPr>
      </w:pPr>
      <w:r>
        <w:rPr>
          <w:rFonts w:hint="eastAsia"/>
          <w:color w:val="auto"/>
          <w:lang w:val="en-US" w:eastAsia="zh-CN"/>
        </w:rPr>
        <w:t>人事部制定《基础设施控制程序》，规定基础设施的要求，确保产品要求的符合性、防止产品混淆和保证产品的有序处理</w:t>
      </w:r>
      <w:r>
        <w:rPr>
          <w:rFonts w:hint="default"/>
          <w:color w:val="auto"/>
          <w:lang w:val="en-US" w:eastAsia="zh-CN"/>
        </w:rPr>
        <w:t>。</w:t>
      </w:r>
    </w:p>
    <w:p>
      <w:pPr>
        <w:numPr>
          <w:ilvl w:val="2"/>
          <w:numId w:val="2"/>
        </w:numPr>
        <w:bidi w:val="0"/>
        <w:rPr>
          <w:rFonts w:hint="default"/>
          <w:color w:val="auto"/>
          <w:lang w:val="en-US" w:eastAsia="zh-CN"/>
        </w:rPr>
      </w:pPr>
      <w:r>
        <w:rPr>
          <w:rFonts w:hint="default"/>
          <w:color w:val="auto"/>
          <w:lang w:val="en-US" w:eastAsia="zh-CN"/>
        </w:rPr>
        <w:t xml:space="preserve">基础设施包括: </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建筑物、工作场所和相关的设施; </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过程设备(硬件和软件); </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支持性服务(如运输、通讯或信息系统)。 </w:t>
      </w:r>
    </w:p>
    <w:p>
      <w:pPr>
        <w:numPr>
          <w:ilvl w:val="2"/>
          <w:numId w:val="2"/>
        </w:numPr>
        <w:bidi w:val="0"/>
        <w:rPr>
          <w:rFonts w:hint="default"/>
          <w:color w:val="auto"/>
          <w:lang w:val="en-US" w:eastAsia="zh-CN"/>
        </w:rPr>
      </w:pPr>
      <w:r>
        <w:rPr>
          <w:rFonts w:hint="eastAsia"/>
          <w:color w:val="auto"/>
          <w:lang w:val="en-US" w:eastAsia="zh-CN"/>
        </w:rPr>
        <w:t>建筑物、工作场所和相关的设施应符合以下要求：</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厂房应当有适当的照明、温度、湿度和通风控制条件。</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厂房与设施应当符合产品的生产要求。</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厂房与设施应当根据所生产产品的特性、工艺流程及相应的洁净级别要求进行合理设计、布局和使用。</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厂房应当确保生产和贮存产品质量以及相关设备性能不会直接或间接地受到影响。</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生产环境应当整洁。厂区的地面、路面周围环境及运输等不应对产品的生产造成污染。厂区应当远离有污染的空气和水等污染源的区域。</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行政区、生活区和辅助区的总体布局合理，不得对生产区有不良影响。</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洁净室（区）和非洁净室（区）之间应有缓冲设施。</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洁净室（区）的内表面（墙面、地面、天棚、操作台等）应当平整光滑、无裂缝、接口严密、无颗粒物脱落，避免积尘，并便于清洁处理和消毒。</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进入洁净室（区）的管道、进回风口布局应当合理，水、电、气输送线路与墙体接口处应当可靠密封，照明灯具不得悬吊。</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房与设施的设计和安装应当根据产品特性采取必要措施，设置防尘、防止昆虫和其他动物进入的设施，有效防止昆虫或其他动物进入。洁净室（区）的门、窗及安全门应当密闭，洁净室（区）的门应当向洁净度高的方向开启。</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空气洁净级别不同的洁净室（区）之间的静压差应当大于5帕，洁净室（区）与室外大气的静压差应大于10帕，并应当有指示压差的装置。相同级别洁净室间的压差梯度应当合理。</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洁净室（区）内的水池、地漏应安装防止倒灌的装置，避免对环境和物料造成污染。100级的洁净室（区）内不得设置地漏。</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生产区域应当不低于100,000级洁净度级别。</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阴性或阳性血清、质粒或血液制品等的处理操作，生产区域应当不低于10，000级洁净度级别，并应当与相邻区域保持相对负压。</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无菌物料等分装处理操作，操作区域应当符合局部100级洁净度级别。</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生产、行政和辅助区的总体布局应当合理，不得互相妨碍。</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生产区应当有足够空间，并与产品生产规模、品种相适应。洁净室（区）内的人数应当与洁净室（区）面积相适应。</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仓储区应当能够满足原材料、包装材料、中间品、产品等贮存条件和要求。仓储区应当按照待验、合格、不合格、退货或召回等进行有序、分区存放各类材料和产品，便于检查和监控。</w:t>
      </w:r>
    </w:p>
    <w:p>
      <w:pPr>
        <w:pageBreakBefore w:val="0"/>
        <w:numPr>
          <w:ilvl w:val="0"/>
          <w:numId w:val="1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产品有特殊要求的，应当采取措施确保</w:t>
      </w:r>
      <w:r>
        <w:rPr>
          <w:rFonts w:hint="eastAsia" w:cs="Times New Roman"/>
          <w:color w:val="auto"/>
          <w:sz w:val="21"/>
          <w:szCs w:val="21"/>
          <w:highlight w:val="none"/>
          <w:lang w:val="en-US" w:eastAsia="zh-CN"/>
        </w:rPr>
        <w:t>生产</w:t>
      </w:r>
      <w:r>
        <w:rPr>
          <w:rFonts w:hint="eastAsia" w:ascii="Times New Roman" w:hAnsi="Times New Roman" w:eastAsia="宋体" w:cs="Times New Roman"/>
          <w:color w:val="auto"/>
          <w:sz w:val="21"/>
          <w:szCs w:val="21"/>
          <w:highlight w:val="none"/>
          <w:lang w:val="en-US" w:eastAsia="zh-CN"/>
        </w:rPr>
        <w:t>场所的外部环境不会对产品质量产生影响，并进行验证。</w:t>
      </w:r>
    </w:p>
    <w:p>
      <w:pPr>
        <w:numPr>
          <w:ilvl w:val="2"/>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当维护活动或缺少这种维护活动可能影响产品质量时，公司应建立形成文件程序的维护活要求，包括他们的频次，并应保持此类维护记录。对厂房与设施的维护和维修不应影响产品质量。</w:t>
      </w:r>
    </w:p>
    <w:p>
      <w:pPr>
        <w:pStyle w:val="3"/>
        <w:numPr>
          <w:ilvl w:val="1"/>
          <w:numId w:val="2"/>
        </w:numPr>
        <w:bidi w:val="0"/>
        <w:ind w:left="0" w:leftChars="0" w:firstLine="0" w:firstLineChars="0"/>
        <w:rPr>
          <w:rFonts w:hint="default"/>
          <w:color w:val="auto"/>
          <w:highlight w:val="none"/>
          <w:lang w:val="en-US" w:eastAsia="zh-CN"/>
        </w:rPr>
      </w:pPr>
      <w:r>
        <w:rPr>
          <w:rFonts w:hint="eastAsia"/>
          <w:color w:val="auto"/>
          <w:highlight w:val="none"/>
          <w:lang w:val="en-US" w:eastAsia="zh-CN"/>
        </w:rPr>
        <w:t>设备</w:t>
      </w:r>
    </w:p>
    <w:p>
      <w:pPr>
        <w:numPr>
          <w:ilvl w:val="2"/>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人事部配备与所生产产品和规模相匹配的生产设备、工艺装备，并定期按照要求进行维护保养，确保有效运行。</w:t>
      </w:r>
    </w:p>
    <w:p>
      <w:pPr>
        <w:numPr>
          <w:ilvl w:val="2"/>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设备的管理应符合以下要求：</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生产设备的设计、选型、安装、维修和维护等应当符合预定用途，便于操作、清洁和维护。主要的生产设备投入使用前，</w:t>
      </w:r>
      <w:r>
        <w:rPr>
          <w:rFonts w:hint="eastAsia" w:cs="Times New Roman"/>
          <w:color w:val="auto"/>
          <w:sz w:val="21"/>
          <w:szCs w:val="21"/>
          <w:highlight w:val="none"/>
          <w:lang w:val="en-US" w:eastAsia="zh-CN"/>
        </w:rPr>
        <w:t>人事部</w:t>
      </w:r>
      <w:r>
        <w:rPr>
          <w:rFonts w:hint="eastAsia" w:ascii="Times New Roman" w:hAnsi="Times New Roman" w:eastAsia="宋体" w:cs="Times New Roman"/>
          <w:color w:val="auto"/>
          <w:sz w:val="21"/>
          <w:szCs w:val="21"/>
          <w:highlight w:val="none"/>
          <w:lang w:val="en-US" w:eastAsia="zh-CN"/>
        </w:rPr>
        <w:t>应组织对生产设备进行验证，确保设备满足预定要求。</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生产设备、容器具等应当符合洁净环境控制和工艺文件的要求。</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生产部在使用生产设备时，应当按照规定的要求对设备进行标识，设备标识应放置在明显的位置，以便于识别，防止非预期使用。</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主要的生产设备应当建立生产设备使用、清洁、维护和维修的操作规程，并保存相应的设备操作记录。</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生产设备所用的润滑剂、清洗剂均不得对产品造成污染。</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内使用的压缩空气等工艺用气均应当经过净化处理。空气净化系统应当经过确认并保持连续运行，维持相应的洁净度级别，并在一定周期后进行再确认。若停机后再次开启空气净化系统，应当进行必要的测试或验证，以确认仍能达到规定的洁净度级别要求。</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体外诊断试剂产品应当确定所需要的工艺用水，当生产过程中使用工艺用水时，应当配备相应的制水设备，并有防止污染的措施，用量较大时应当通过管道输送至洁净室（区）的用水点。工艺用水应当满足产品质量的要求。</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制定工艺用水的管理文件。工艺用水的储罐和输送管道应当满足所生产的产品对于水质的要求，并定期清洗、消毒。</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配料罐容器与设备连接的主要固定管道应当标明内存的物料名称、流向，定期清洗和维护，并标明设备运行状态。</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与物料或产品直接接触的设备、容器具及管道表面应当光洁、平整、无颗粒物质脱落、无毒、耐腐蚀，不与物料或产品发生化学反应和粘连，易于清洁处理和消毒或灭菌。</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需要冷藏、冷冻的原料、半成品、成品，应当配备相应的冷藏、冷冻储存设备，并按规定监测设备运行状况、记录储存温度。</w:t>
      </w:r>
    </w:p>
    <w:p>
      <w:pPr>
        <w:pageBreakBefore w:val="0"/>
        <w:numPr>
          <w:ilvl w:val="0"/>
          <w:numId w:val="20"/>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冷藏、冷冻体外诊断试剂应当配备符合其温度要求的运输设施设备;</w:t>
      </w:r>
    </w:p>
    <w:p>
      <w:pPr>
        <w:numPr>
          <w:ilvl w:val="2"/>
          <w:numId w:val="2"/>
        </w:numPr>
        <w:bidi w:val="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各</w:t>
      </w:r>
      <w:r>
        <w:rPr>
          <w:rFonts w:hint="eastAsia" w:cs="Times New Roman"/>
          <w:color w:val="auto"/>
          <w:sz w:val="21"/>
          <w:szCs w:val="21"/>
          <w:highlight w:val="none"/>
          <w:lang w:val="en-US" w:eastAsia="zh-CN"/>
        </w:rPr>
        <w:t>部门</w:t>
      </w:r>
      <w:r>
        <w:rPr>
          <w:rFonts w:hint="default" w:cs="Times New Roman"/>
          <w:color w:val="auto"/>
          <w:sz w:val="21"/>
          <w:szCs w:val="21"/>
          <w:highlight w:val="none"/>
          <w:lang w:val="en-US" w:eastAsia="zh-CN"/>
        </w:rPr>
        <w:t>按《基础设施控制程序》对相关基础设施进行维护、保养，并保持记录。</w:t>
      </w:r>
    </w:p>
    <w:p>
      <w:pPr>
        <w:pStyle w:val="3"/>
        <w:numPr>
          <w:ilvl w:val="1"/>
          <w:numId w:val="2"/>
        </w:numPr>
        <w:bidi w:val="0"/>
        <w:ind w:left="0" w:leftChars="0" w:firstLine="0" w:firstLineChars="0"/>
        <w:rPr>
          <w:rFonts w:hint="default" w:cs="Times New Roman"/>
          <w:color w:val="auto"/>
          <w:sz w:val="21"/>
          <w:szCs w:val="21"/>
          <w:highlight w:val="none"/>
          <w:lang w:val="en-US" w:eastAsia="zh-CN"/>
        </w:rPr>
      </w:pPr>
      <w:r>
        <w:rPr>
          <w:rFonts w:hint="default"/>
          <w:color w:val="auto"/>
          <w:highlight w:val="none"/>
          <w:lang w:val="en-US" w:eastAsia="zh-CN"/>
        </w:rPr>
        <w:t>工作环境</w:t>
      </w:r>
      <w:r>
        <w:rPr>
          <w:rFonts w:hint="eastAsia"/>
          <w:color w:val="auto"/>
          <w:highlight w:val="none"/>
          <w:lang w:val="en-US" w:eastAsia="zh-CN"/>
        </w:rPr>
        <w:t>和污染控制</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工作环境</w:t>
      </w:r>
    </w:p>
    <w:p>
      <w:pPr>
        <w:numPr>
          <w:ilvl w:val="3"/>
          <w:numId w:val="2"/>
        </w:numPr>
        <w:bidi w:val="0"/>
        <w:rPr>
          <w:rFonts w:hint="eastAsia"/>
          <w:color w:val="auto"/>
          <w:lang w:val="en-US" w:eastAsia="zh-CN"/>
        </w:rPr>
      </w:pPr>
      <w:r>
        <w:rPr>
          <w:rFonts w:hint="eastAsia"/>
          <w:color w:val="auto"/>
          <w:lang w:val="en-US" w:eastAsia="zh-CN"/>
        </w:rPr>
        <w:t>研发部识别为医疗器械产品生产和检验所需的工作环境中的人和物的因素，根据产品生产和检验的需要，确定生产和检验所必须的工作环境。</w:t>
      </w:r>
    </w:p>
    <w:p>
      <w:pPr>
        <w:numPr>
          <w:ilvl w:val="3"/>
          <w:numId w:val="2"/>
        </w:numPr>
        <w:bidi w:val="0"/>
        <w:rPr>
          <w:rFonts w:hint="eastAsia"/>
          <w:color w:val="auto"/>
          <w:lang w:val="en-US" w:eastAsia="zh-CN"/>
        </w:rPr>
      </w:pPr>
      <w:r>
        <w:rPr>
          <w:rFonts w:hint="eastAsia"/>
          <w:color w:val="auto"/>
          <w:lang w:val="en-US" w:eastAsia="zh-CN"/>
        </w:rPr>
        <w:t>各部门应确保工作环境符合以下要求：</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生产环境整洁、符合产品质量需要</w:t>
      </w:r>
      <w:r>
        <w:rPr>
          <w:rFonts w:hint="eastAsia" w:cs="Times New Roman"/>
          <w:color w:val="auto"/>
          <w:sz w:val="21"/>
          <w:szCs w:val="21"/>
          <w:highlight w:val="none"/>
          <w:lang w:val="en-US" w:eastAsia="zh-CN"/>
        </w:rPr>
        <w:t>。</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洁净室（区）的温度和相对湿度应当与产品生产工艺要求相适应。无特殊要求时，温度应当控制在18～28℃，相对湿度控制在45%～65%。</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洁净室（区）空气洁净度级别应当符合下表规定</w:t>
      </w:r>
      <w:r>
        <w:rPr>
          <w:rFonts w:hint="eastAsia" w:cs="Times New Roman"/>
          <w:color w:val="auto"/>
          <w:sz w:val="21"/>
          <w:szCs w:val="21"/>
          <w:highlight w:val="none"/>
          <w:lang w:val="en-US" w:eastAsia="zh-CN"/>
        </w:rPr>
        <w:t>：</w:t>
      </w:r>
    </w:p>
    <w:tbl>
      <w:tblPr>
        <w:tblStyle w:val="28"/>
        <w:tblW w:w="7289" w:type="dxa"/>
        <w:jc w:val="center"/>
        <w:tblLayout w:type="autofit"/>
        <w:tblCellMar>
          <w:top w:w="0" w:type="dxa"/>
          <w:left w:w="0" w:type="dxa"/>
          <w:bottom w:w="0" w:type="dxa"/>
          <w:right w:w="0" w:type="dxa"/>
        </w:tblCellMar>
      </w:tblPr>
      <w:tblGrid>
        <w:gridCol w:w="1283"/>
        <w:gridCol w:w="1501"/>
        <w:gridCol w:w="1502"/>
        <w:gridCol w:w="1501"/>
        <w:gridCol w:w="1502"/>
      </w:tblGrid>
      <w:tr>
        <w:tblPrEx>
          <w:tblCellMar>
            <w:top w:w="0" w:type="dxa"/>
            <w:left w:w="0" w:type="dxa"/>
            <w:bottom w:w="0" w:type="dxa"/>
            <w:right w:w="0" w:type="dxa"/>
          </w:tblCellMar>
        </w:tblPrEx>
        <w:trPr>
          <w:trHeight w:val="348" w:hRule="atLeast"/>
          <w:jc w:val="center"/>
        </w:trPr>
        <w:tc>
          <w:tcPr>
            <w:tcW w:w="1283"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both"/>
              <w:rPr>
                <w:rFonts w:eastAsia="仿宋_GB2312"/>
                <w:color w:val="auto"/>
                <w:szCs w:val="21"/>
                <w:highlight w:val="none"/>
              </w:rPr>
            </w:pPr>
            <w:r>
              <w:rPr>
                <w:rFonts w:eastAsia="仿宋_GB2312"/>
                <w:color w:val="auto"/>
                <w:szCs w:val="21"/>
                <w:highlight w:val="none"/>
              </w:rPr>
              <w:t>洁净度级 别</w:t>
            </w:r>
          </w:p>
        </w:tc>
        <w:tc>
          <w:tcPr>
            <w:tcW w:w="300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ind w:firstLine="420"/>
              <w:jc w:val="both"/>
              <w:rPr>
                <w:rFonts w:eastAsia="仿宋_GB2312"/>
                <w:color w:val="auto"/>
                <w:szCs w:val="21"/>
                <w:highlight w:val="none"/>
              </w:rPr>
            </w:pPr>
            <w:r>
              <w:rPr>
                <w:rFonts w:eastAsia="仿宋_GB2312"/>
                <w:color w:val="auto"/>
                <w:szCs w:val="21"/>
                <w:highlight w:val="none"/>
              </w:rPr>
              <w:t>尘粒最大允许数／m3</w:t>
            </w:r>
          </w:p>
        </w:tc>
        <w:tc>
          <w:tcPr>
            <w:tcW w:w="300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ind w:firstLine="420"/>
              <w:jc w:val="both"/>
              <w:rPr>
                <w:rFonts w:eastAsia="仿宋_GB2312"/>
                <w:color w:val="auto"/>
                <w:szCs w:val="21"/>
                <w:highlight w:val="none"/>
              </w:rPr>
            </w:pPr>
            <w:r>
              <w:rPr>
                <w:rFonts w:eastAsia="仿宋_GB2312"/>
                <w:color w:val="auto"/>
                <w:szCs w:val="21"/>
                <w:highlight w:val="none"/>
              </w:rPr>
              <w:t>微生物最大允许数</w:t>
            </w:r>
          </w:p>
        </w:tc>
      </w:tr>
      <w:tr>
        <w:tblPrEx>
          <w:tblCellMar>
            <w:top w:w="0" w:type="dxa"/>
            <w:left w:w="0" w:type="dxa"/>
            <w:bottom w:w="0" w:type="dxa"/>
            <w:right w:w="0" w:type="dxa"/>
          </w:tblCellMar>
        </w:tblPrEx>
        <w:trPr>
          <w:trHeight w:val="348" w:hRule="atLeast"/>
          <w:jc w:val="center"/>
        </w:trPr>
        <w:tc>
          <w:tcPr>
            <w:tcW w:w="1283" w:type="dxa"/>
            <w:vMerge w:val="continue"/>
            <w:tcBorders>
              <w:top w:val="single" w:color="auto" w:sz="8" w:space="0"/>
              <w:left w:val="single" w:color="auto" w:sz="8" w:space="0"/>
              <w:bottom w:val="single" w:color="auto" w:sz="8" w:space="0"/>
              <w:right w:val="single" w:color="auto" w:sz="8" w:space="0"/>
            </w:tcBorders>
            <w:noWrap w:val="0"/>
            <w:vAlign w:val="center"/>
          </w:tcPr>
          <w:p>
            <w:pPr>
              <w:ind w:firstLine="420"/>
              <w:jc w:val="both"/>
              <w:rPr>
                <w:rFonts w:eastAsia="仿宋_GB2312"/>
                <w:color w:val="auto"/>
                <w:szCs w:val="21"/>
                <w:highlight w:val="none"/>
              </w:rPr>
            </w:pP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≥0.5μm</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≥5μm</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浮游菌／m3</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沉降菌／皿</w:t>
            </w:r>
          </w:p>
        </w:tc>
      </w:tr>
      <w:tr>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100级</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3,500</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0</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5</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l</w:t>
            </w:r>
          </w:p>
        </w:tc>
      </w:tr>
      <w:tr>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10,000级</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350,0O0</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2,000</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100</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3</w:t>
            </w:r>
          </w:p>
        </w:tc>
      </w:tr>
      <w:tr>
        <w:tblPrEx>
          <w:tblCellMar>
            <w:top w:w="0" w:type="dxa"/>
            <w:left w:w="0" w:type="dxa"/>
            <w:bottom w:w="0" w:type="dxa"/>
            <w:right w:w="0" w:type="dxa"/>
          </w:tblCellMar>
        </w:tblPrEx>
        <w:trPr>
          <w:trHeight w:val="348" w:hRule="atLeast"/>
          <w:jc w:val="center"/>
        </w:trPr>
        <w:tc>
          <w:tcPr>
            <w:tcW w:w="1283" w:type="dxa"/>
            <w:tcBorders>
              <w:top w:val="single" w:color="auto" w:sz="8" w:space="0"/>
              <w:left w:val="single" w:color="auto" w:sz="8" w:space="0"/>
              <w:bottom w:val="single" w:color="auto" w:sz="8" w:space="0"/>
              <w:right w:val="single" w:color="auto" w:sz="8" w:space="0"/>
            </w:tcBorders>
            <w:noWrap w:val="0"/>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1OO,000级</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3,500,000</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20,000</w:t>
            </w:r>
          </w:p>
        </w:tc>
        <w:tc>
          <w:tcPr>
            <w:tcW w:w="15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500</w:t>
            </w:r>
          </w:p>
        </w:tc>
        <w:tc>
          <w:tcPr>
            <w:tcW w:w="15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left="0" w:leftChars="0" w:firstLine="0" w:firstLineChars="0"/>
              <w:jc w:val="center"/>
              <w:rPr>
                <w:rFonts w:eastAsia="仿宋_GB2312"/>
                <w:color w:val="auto"/>
                <w:szCs w:val="21"/>
                <w:highlight w:val="none"/>
              </w:rPr>
            </w:pPr>
            <w:r>
              <w:rPr>
                <w:rFonts w:eastAsia="仿宋_GB2312"/>
                <w:color w:val="auto"/>
                <w:szCs w:val="21"/>
                <w:highlight w:val="none"/>
              </w:rPr>
              <w:t>10</w:t>
            </w:r>
          </w:p>
        </w:tc>
      </w:tr>
    </w:tbl>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洁净室（区）应当按照体外诊断试剂的生产工艺流程及所要求的空气洁净度级别进行合理布局，人流、物流走向应当合理。同一洁净室（区）内或相邻洁净室（区）间的生产操作不得互相交叉污染。</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洁净室（区）的空气如循环使用应当采取有效措施避免污染和交叉污染。</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对生产环境没有空气净化要求的体外诊断试剂，应当在清洁环境内进行生产。</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清洁条件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产区域进行定期清洁、清洗和消毒；应当根据生产要求对生产车间的温湿度进行控制。</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体外诊断试剂产品的产尘操作间应当保持相对负压或采取有效措施，防止粉尘扩散，避免交叉污染。</w:t>
      </w:r>
    </w:p>
    <w:p>
      <w:pPr>
        <w:pageBreakBefore w:val="0"/>
        <w:numPr>
          <w:ilvl w:val="0"/>
          <w:numId w:val="21"/>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普通类化学试剂的生产应当在清洁环境中进行。</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污染</w:t>
      </w:r>
      <w:r>
        <w:rPr>
          <w:rFonts w:hint="eastAsia" w:cs="Times New Roman"/>
          <w:color w:val="auto"/>
          <w:sz w:val="21"/>
          <w:szCs w:val="21"/>
          <w:highlight w:val="none"/>
          <w:lang w:val="en-US" w:eastAsia="zh-CN"/>
        </w:rPr>
        <w:t>控</w:t>
      </w:r>
      <w:r>
        <w:rPr>
          <w:rFonts w:hint="eastAsia" w:ascii="宋体" w:hAnsi="宋体" w:eastAsia="宋体" w:cs="Times New Roman"/>
          <w:color w:val="auto"/>
          <w:kern w:val="2"/>
          <w:sz w:val="21"/>
          <w:szCs w:val="21"/>
          <w:highlight w:val="none"/>
          <w:lang w:val="en-US" w:eastAsia="zh-CN" w:bidi="ar-SA"/>
        </w:rPr>
        <w:t>制</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zh-CN" w:eastAsia="zh-CN"/>
        </w:rPr>
        <w:t>对人</w:t>
      </w:r>
      <w:r>
        <w:rPr>
          <w:rFonts w:hint="eastAsia" w:ascii="Times New Roman" w:hAnsi="Times New Roman" w:eastAsia="宋体" w:cs="Times New Roman"/>
          <w:color w:val="auto"/>
          <w:sz w:val="21"/>
          <w:szCs w:val="21"/>
          <w:highlight w:val="none"/>
          <w:lang w:val="en-US" w:eastAsia="zh-CN"/>
        </w:rPr>
        <w:t>员清洁、进出程序、洁净服的穿戴等要求，制定《洁净室（区）工作人员卫生守则》。</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人员进入洁净室（区）应按照《洁净室（区）工作人员卫生守则》的要求进行净化，并按要求正确穿戴工作帽、口罩、洁净工作服、工作鞋或鞋套。</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裸手接触产品的操作人员每隔一定时间应当对手再次进行消毒。裸手消毒剂的种类应当定期更换，保留消毒剂配制或领用记录。</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洁净工作服和无菌工作服不得脱落纤维和颗粒性物质。</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监视和控制工作环境条件要求和程序。</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特殊环境下临时工作人员接受适当的培训或在训练有素的人员监督下工作。</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zh-CN" w:eastAsia="zh-CN"/>
        </w:rPr>
        <w:t>对一些可能会对其它产品、工作环境或人员造成污染的产品的特殊安排。</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应当制定洁净室（区）的卫生管理文件，包含1.设备清洁规定；2.工位器具（容器具、管路、储罐等）清洁规定；3.物料清洁规定；4.操作台、场地、墙壁、顶棚清洁规定；5.清洁工具的清洁及存放规定；6.洁净室（区）空气消毒规定；7.消毒剂选择、使用的管理规定，并按照规定对洁净室（区）进行清洁处理和消毒，并作好记录。</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洁净室（区）所用的消毒剂或消毒方法不得对设备、容器具、物料和产品造成污染。消毒剂品种应当定期更换，防止产生耐药菌株。</w:t>
      </w:r>
    </w:p>
    <w:p>
      <w:pPr>
        <w:pageBreakBefore w:val="0"/>
        <w:numPr>
          <w:ilvl w:val="0"/>
          <w:numId w:val="2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生产中的废液、废物等应当进行无害化处理，并符合相关的环保要求。</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支持性文件</w:t>
      </w:r>
    </w:p>
    <w:p>
      <w:pPr>
        <w:numPr>
          <w:ilvl w:val="2"/>
          <w:numId w:val="2"/>
        </w:numPr>
        <w:bidi w:val="0"/>
        <w:rPr>
          <w:rFonts w:hint="default"/>
          <w:color w:val="auto"/>
          <w:lang w:val="en-US" w:eastAsia="zh-CN"/>
        </w:rPr>
      </w:pPr>
      <w:r>
        <w:rPr>
          <w:rFonts w:hint="default"/>
          <w:color w:val="auto"/>
          <w:lang w:val="en-US" w:eastAsia="zh-CN"/>
        </w:rPr>
        <w:t>《人力资源控制程序》                      (XX-QP-004)</w:t>
      </w:r>
    </w:p>
    <w:p>
      <w:pPr>
        <w:numPr>
          <w:ilvl w:val="2"/>
          <w:numId w:val="2"/>
        </w:numPr>
        <w:bidi w:val="0"/>
        <w:rPr>
          <w:rFonts w:hint="default"/>
          <w:color w:val="auto"/>
          <w:lang w:val="en-US" w:eastAsia="zh-CN"/>
        </w:rPr>
      </w:pPr>
      <w:r>
        <w:rPr>
          <w:rFonts w:hint="default"/>
          <w:color w:val="auto"/>
          <w:lang w:val="en-US" w:eastAsia="zh-CN"/>
        </w:rPr>
        <w:t>《基础设施控制程序》                      (XX-QP-005)</w:t>
      </w:r>
    </w:p>
    <w:p>
      <w:pPr>
        <w:numPr>
          <w:ilvl w:val="2"/>
          <w:numId w:val="2"/>
        </w:numPr>
        <w:bidi w:val="0"/>
        <w:rPr>
          <w:rFonts w:hint="default"/>
          <w:color w:val="auto"/>
          <w:lang w:val="en-US" w:eastAsia="zh-CN"/>
        </w:rPr>
      </w:pPr>
      <w:r>
        <w:rPr>
          <w:rFonts w:hint="default"/>
          <w:color w:val="auto"/>
          <w:lang w:val="en-US" w:eastAsia="zh-CN"/>
        </w:rPr>
        <w:t>《工作环境与产品清洁控制程序》            (XX-QP-006)</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产品实现</w:t>
      </w:r>
    </w:p>
    <w:p>
      <w:pPr>
        <w:pStyle w:val="3"/>
        <w:numPr>
          <w:ilvl w:val="1"/>
          <w:numId w:val="2"/>
        </w:numPr>
        <w:bidi w:val="0"/>
        <w:ind w:left="0" w:leftChars="0" w:firstLine="0" w:firstLineChars="0"/>
        <w:rPr>
          <w:rFonts w:hint="default" w:cs="Times New Roman"/>
          <w:color w:val="auto"/>
          <w:sz w:val="21"/>
          <w:szCs w:val="21"/>
          <w:highlight w:val="none"/>
          <w:lang w:val="en-US" w:eastAsia="zh-CN"/>
        </w:rPr>
      </w:pPr>
      <w:r>
        <w:rPr>
          <w:rFonts w:hint="default"/>
          <w:color w:val="auto"/>
          <w:highlight w:val="none"/>
          <w:lang w:val="en-US" w:eastAsia="zh-CN"/>
        </w:rPr>
        <w:t>产品实现的策划</w:t>
      </w:r>
    </w:p>
    <w:p>
      <w:pPr>
        <w:numPr>
          <w:ilvl w:val="2"/>
          <w:numId w:val="2"/>
        </w:numPr>
        <w:bidi w:val="0"/>
        <w:rPr>
          <w:rFonts w:hint="default"/>
          <w:color w:val="auto"/>
          <w:lang w:val="en-US" w:eastAsia="zh-CN"/>
        </w:rPr>
      </w:pPr>
      <w:r>
        <w:rPr>
          <w:rFonts w:hint="default"/>
          <w:color w:val="auto"/>
          <w:lang w:val="en-US" w:eastAsia="zh-CN"/>
        </w:rPr>
        <w:t>研发部应策划和开发产品所需的过程，产品实现的策划应与质量管理体系的其他过程的要求一致。</w:t>
      </w:r>
    </w:p>
    <w:p>
      <w:pPr>
        <w:numPr>
          <w:ilvl w:val="2"/>
          <w:numId w:val="2"/>
        </w:numPr>
        <w:bidi w:val="0"/>
        <w:rPr>
          <w:rFonts w:hint="default"/>
          <w:color w:val="auto"/>
          <w:lang w:val="en-US" w:eastAsia="zh-CN"/>
        </w:rPr>
      </w:pPr>
      <w:r>
        <w:rPr>
          <w:rFonts w:hint="default"/>
          <w:color w:val="auto"/>
          <w:lang w:val="en-US" w:eastAsia="zh-CN"/>
        </w:rPr>
        <w:t>对产品实现进行策划时考虑以下方面的内容：</w:t>
      </w:r>
    </w:p>
    <w:p>
      <w:pPr>
        <w:pageBreakBefore w:val="0"/>
        <w:numPr>
          <w:ilvl w:val="0"/>
          <w:numId w:val="2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识别、确定产品的质量目标和要求，并能满足顾客和法律、法规的要求。</w:t>
      </w:r>
    </w:p>
    <w:p>
      <w:pPr>
        <w:pageBreakBefore w:val="0"/>
        <w:numPr>
          <w:ilvl w:val="0"/>
          <w:numId w:val="2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针对产品要求，确定产品实现过程，并确定过程控制所需的文件、资源等。</w:t>
      </w:r>
    </w:p>
    <w:p>
      <w:pPr>
        <w:pageBreakBefore w:val="0"/>
        <w:numPr>
          <w:ilvl w:val="0"/>
          <w:numId w:val="2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产品所要求的验证、确认、监视、检验和试验活动，以及产品的接收准则。</w:t>
      </w:r>
    </w:p>
    <w:p>
      <w:pPr>
        <w:pageBreakBefore w:val="0"/>
        <w:numPr>
          <w:ilvl w:val="0"/>
          <w:numId w:val="2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为实现过程及满足要求提供证据所需的记录。</w:t>
      </w:r>
    </w:p>
    <w:p>
      <w:pPr>
        <w:numPr>
          <w:ilvl w:val="2"/>
          <w:numId w:val="2"/>
        </w:numPr>
        <w:bidi w:val="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研发部按《风险管理控制程序》对所有产品实现全过程进行风险分析，并保存风险管理</w:t>
      </w:r>
      <w:r>
        <w:rPr>
          <w:rFonts w:hint="eastAsia" w:cs="Times New Roman"/>
          <w:color w:val="auto"/>
          <w:sz w:val="21"/>
          <w:szCs w:val="21"/>
          <w:highlight w:val="none"/>
          <w:lang w:val="en-US" w:eastAsia="zh-CN"/>
        </w:rPr>
        <w:t>活动</w:t>
      </w:r>
      <w:r>
        <w:rPr>
          <w:rFonts w:hint="default" w:cs="Times New Roman"/>
          <w:color w:val="auto"/>
          <w:sz w:val="21"/>
          <w:szCs w:val="21"/>
          <w:highlight w:val="none"/>
          <w:lang w:val="en-US" w:eastAsia="zh-CN"/>
        </w:rPr>
        <w:t>的各种记录。</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与顾客有关的过程</w:t>
      </w:r>
    </w:p>
    <w:p>
      <w:pPr>
        <w:numPr>
          <w:ilvl w:val="2"/>
          <w:numId w:val="2"/>
        </w:numPr>
        <w:bidi w:val="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与产品有关的要求的确定</w:t>
      </w:r>
    </w:p>
    <w:p>
      <w:pPr>
        <w:numPr>
          <w:ilvl w:val="3"/>
          <w:numId w:val="2"/>
        </w:numPr>
        <w:bidi w:val="0"/>
        <w:rPr>
          <w:rFonts w:hint="default"/>
          <w:color w:val="auto"/>
          <w:lang w:val="en-US" w:eastAsia="zh-CN"/>
        </w:rPr>
      </w:pPr>
      <w:r>
        <w:rPr>
          <w:rFonts w:hint="default"/>
          <w:color w:val="auto"/>
          <w:lang w:val="en-US" w:eastAsia="zh-CN"/>
        </w:rPr>
        <w:t>与产品有关的要求包括：</w:t>
      </w:r>
    </w:p>
    <w:p>
      <w:pPr>
        <w:pageBreakBefore w:val="0"/>
        <w:numPr>
          <w:ilvl w:val="0"/>
          <w:numId w:val="2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顾客规定或明示的产品要求，包括对交付及交付后活动的要求。</w:t>
      </w:r>
    </w:p>
    <w:p>
      <w:pPr>
        <w:pageBreakBefore w:val="0"/>
        <w:numPr>
          <w:ilvl w:val="0"/>
          <w:numId w:val="2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研发部识别并确定顾客虽然没有明示的但属产品固有质量特性的要求。如预期的使用性能、安全性能等。</w:t>
      </w:r>
    </w:p>
    <w:p>
      <w:pPr>
        <w:pageBreakBefore w:val="0"/>
        <w:numPr>
          <w:ilvl w:val="0"/>
          <w:numId w:val="2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研发部通过《设计开发控制程序》确定与产品有关的国家、国际标准及法律法规要求。</w:t>
      </w:r>
    </w:p>
    <w:p>
      <w:pPr>
        <w:pageBreakBefore w:val="0"/>
        <w:numPr>
          <w:ilvl w:val="0"/>
          <w:numId w:val="2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公司规定的其他要求和承诺。</w:t>
      </w:r>
    </w:p>
    <w:p>
      <w:pPr>
        <w:numPr>
          <w:ilvl w:val="3"/>
          <w:numId w:val="2"/>
        </w:numPr>
        <w:bidi w:val="0"/>
        <w:rPr>
          <w:rFonts w:hint="eastAsia"/>
          <w:color w:val="auto"/>
          <w:lang w:val="en-US" w:eastAsia="zh-CN"/>
        </w:rPr>
      </w:pPr>
      <w:r>
        <w:rPr>
          <w:rFonts w:hint="default"/>
          <w:color w:val="auto"/>
          <w:lang w:val="en-US" w:eastAsia="zh-CN"/>
        </w:rPr>
        <w:t>销售部负责与顾客沟通和确定</w:t>
      </w:r>
      <w:r>
        <w:rPr>
          <w:rFonts w:hint="eastAsia"/>
          <w:color w:val="auto"/>
          <w:lang w:val="en-US" w:eastAsia="zh-CN"/>
        </w:rPr>
        <w:t>与产品有关的要求</w:t>
      </w:r>
      <w:r>
        <w:rPr>
          <w:rFonts w:hint="default"/>
          <w:color w:val="auto"/>
          <w:lang w:val="en-US" w:eastAsia="zh-CN"/>
        </w:rPr>
        <w:t>。</w:t>
      </w:r>
    </w:p>
    <w:p>
      <w:pPr>
        <w:numPr>
          <w:ilvl w:val="2"/>
          <w:numId w:val="2"/>
        </w:numPr>
        <w:bidi w:val="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与产品有关的要求的评审</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销售部制定《与顾客有关的过程控制程序》，在向顾客做出提供产品的承诺之前</w:t>
      </w:r>
      <w:r>
        <w:rPr>
          <w:rFonts w:hint="default" w:cs="Times New Roman"/>
          <w:color w:val="auto"/>
          <w:sz w:val="21"/>
          <w:szCs w:val="21"/>
          <w:highlight w:val="none"/>
          <w:lang w:val="en-US" w:eastAsia="zh-CN"/>
        </w:rPr>
        <w:t>组织研发部、质量部、采购部等部门</w:t>
      </w:r>
      <w:r>
        <w:rPr>
          <w:rFonts w:hint="eastAsia" w:cs="Times New Roman"/>
          <w:color w:val="auto"/>
          <w:sz w:val="21"/>
          <w:szCs w:val="21"/>
          <w:highlight w:val="none"/>
          <w:lang w:val="en-US" w:eastAsia="zh-CN"/>
        </w:rPr>
        <w:t>按照《与顾客有关的过程控制程序》的规定对于产品有关的要求进行评审</w:t>
      </w:r>
      <w:r>
        <w:rPr>
          <w:rFonts w:hint="default" w:cs="Times New Roman"/>
          <w:color w:val="auto"/>
          <w:sz w:val="21"/>
          <w:szCs w:val="21"/>
          <w:highlight w:val="none"/>
          <w:lang w:val="en-US" w:eastAsia="zh-CN"/>
        </w:rPr>
        <w:t>，确保</w:t>
      </w:r>
      <w:r>
        <w:rPr>
          <w:rFonts w:hint="eastAsia" w:cs="Times New Roman"/>
          <w:color w:val="auto"/>
          <w:sz w:val="21"/>
          <w:szCs w:val="21"/>
          <w:highlight w:val="none"/>
          <w:lang w:val="en-US" w:eastAsia="zh-CN"/>
        </w:rPr>
        <w:t>：</w:t>
      </w:r>
    </w:p>
    <w:p>
      <w:pPr>
        <w:pageBreakBefore w:val="0"/>
        <w:numPr>
          <w:ilvl w:val="0"/>
          <w:numId w:val="2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产品的要求得到规定并形成文件。</w:t>
      </w:r>
    </w:p>
    <w:p>
      <w:pPr>
        <w:pageBreakBefore w:val="0"/>
        <w:numPr>
          <w:ilvl w:val="0"/>
          <w:numId w:val="2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与以前表述不一致的合同或订单的要求已予解决。</w:t>
      </w:r>
    </w:p>
    <w:p>
      <w:pPr>
        <w:pageBreakBefore w:val="0"/>
        <w:numPr>
          <w:ilvl w:val="0"/>
          <w:numId w:val="2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组织有能力满足规定的要求。</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评审结果及评审所引发的措施的记录由销售部保存。</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若顾客提供的要求没有形成文件，销售部在接收顾客要求前应对顾客要求进行确认。若产品要求发生变更，销售部按《与顾客有关的过程控制程序》对合同或订单进行评审，并通知各有关人员更改后的要求。</w:t>
      </w:r>
    </w:p>
    <w:p>
      <w:pPr>
        <w:numPr>
          <w:ilvl w:val="2"/>
          <w:numId w:val="2"/>
        </w:numPr>
        <w:bidi w:val="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顾客沟通</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公司产品由销售部负责销售，销售部制定《与顾客有关的过程控制程序》，对与顾客有关的产品信息、合同或订单处理（包括对其修改）等相关事宜信息规定。</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与顾客沟通的主要内容包括：</w:t>
      </w:r>
    </w:p>
    <w:p>
      <w:pPr>
        <w:pageBreakBefore w:val="0"/>
        <w:numPr>
          <w:ilvl w:val="0"/>
          <w:numId w:val="2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 xml:space="preserve">产品信息; </w:t>
      </w:r>
    </w:p>
    <w:p>
      <w:pPr>
        <w:pageBreakBefore w:val="0"/>
        <w:numPr>
          <w:ilvl w:val="0"/>
          <w:numId w:val="2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 xml:space="preserve">问询、合同或订单处理，包括对其修改; </w:t>
      </w:r>
    </w:p>
    <w:p>
      <w:pPr>
        <w:pageBreakBefore w:val="0"/>
        <w:numPr>
          <w:ilvl w:val="0"/>
          <w:numId w:val="2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 xml:space="preserve">顾客反馈，包括顾客抱怨； </w:t>
      </w:r>
    </w:p>
    <w:p>
      <w:pPr>
        <w:pageBreakBefore w:val="0"/>
        <w:numPr>
          <w:ilvl w:val="0"/>
          <w:numId w:val="2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 xml:space="preserve">忠告性通知。 </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销售部按照《医疗器械监督管理条例》规定的医疗器械经营能力和条件的要求建立销售能力，销售活动应当符合医疗器械相关法规和规范要求。</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需要提供售后服务的医疗器械，销售部应配备与所生产产品相适应的售后服务能力，建立健全售后服务制度，制定《售后服务管理规范》，规定售后服务要求并建立售后服务记录，并满足可追溯的要求。</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需要提供专业安装服务的医疗器械，研发部应当确定安装要求和安装验证的接收标准，由有资质的人员按照要求进行安装和验收，并保留安装和验收记录。</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由使用单位或第三方专业机构进行安装、维修的，研发部应当向负责安装的人员提供安装要求、标准和维修零部件、资料、密码等，并进行指导。</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当选择医疗器械经营企业负责销售时，销售部应按照《售后服务管理规范》的要求选择经营企业，并对其进行监督，确保销售活动符合医疗器械相关法规和规范要求。发现医疗器械经营企业存在违法违规经营行为时，应当及时向当地食品药品监督管理部门报告。</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销售部应建立产品销售记录，并满足可追溯要求。销售记录至少应当包括：医疗器械名称、规格、型号、数量、生产批号、有效期、销售日期、购货单位名称、地址、联系方式等内容。</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设计和开发</w:t>
      </w:r>
    </w:p>
    <w:p>
      <w:pPr>
        <w:bidi w:val="0"/>
        <w:rPr>
          <w:rFonts w:hint="default"/>
          <w:color w:val="auto"/>
          <w:lang w:val="en-US" w:eastAsia="zh-CN"/>
        </w:rPr>
      </w:pPr>
      <w:r>
        <w:rPr>
          <w:rFonts w:hint="eastAsia"/>
          <w:color w:val="auto"/>
          <w:lang w:val="en-US" w:eastAsia="zh-CN"/>
        </w:rPr>
        <w:t>研发部编制《设计开发控制程序》，对医疗器械的设计和开发过程实施策划和控制。程序应当</w:t>
      </w:r>
      <w:r>
        <w:rPr>
          <w:rFonts w:hint="default"/>
          <w:color w:val="auto"/>
          <w:lang w:val="en-US" w:eastAsia="zh-CN"/>
        </w:rPr>
        <w:t>清晰、可操作，能控制设计开发过程，</w:t>
      </w:r>
      <w:r>
        <w:rPr>
          <w:rFonts w:hint="eastAsia"/>
          <w:color w:val="auto"/>
          <w:lang w:val="en-US" w:eastAsia="zh-CN"/>
        </w:rPr>
        <w:t>至少包括以下内容：</w:t>
      </w:r>
    </w:p>
    <w:p>
      <w:pPr>
        <w:pageBreakBefore w:val="0"/>
        <w:numPr>
          <w:ilvl w:val="0"/>
          <w:numId w:val="27"/>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设计和开发的各个阶段的划分；</w:t>
      </w:r>
    </w:p>
    <w:p>
      <w:pPr>
        <w:pageBreakBefore w:val="0"/>
        <w:numPr>
          <w:ilvl w:val="0"/>
          <w:numId w:val="27"/>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适合于每个设计和开发阶段的评审、验证、确认和设计转换活动;</w:t>
      </w:r>
    </w:p>
    <w:p>
      <w:pPr>
        <w:pageBreakBefore w:val="0"/>
        <w:numPr>
          <w:ilvl w:val="0"/>
          <w:numId w:val="27"/>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设计和开发各阶段人员和部门的职责、权限和沟通；</w:t>
      </w:r>
    </w:p>
    <w:p>
      <w:pPr>
        <w:pageBreakBefore w:val="0"/>
        <w:numPr>
          <w:ilvl w:val="0"/>
          <w:numId w:val="27"/>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风险管理要求。</w:t>
      </w:r>
    </w:p>
    <w:p>
      <w:pPr>
        <w:numPr>
          <w:ilvl w:val="2"/>
          <w:numId w:val="2"/>
        </w:numPr>
        <w:bidi w:val="0"/>
        <w:ind w:left="0" w:leftChars="0" w:firstLine="0" w:firstLineChars="0"/>
        <w:rPr>
          <w:rFonts w:hint="eastAsia" w:cs="Times New Roman"/>
          <w:color w:val="auto"/>
          <w:sz w:val="21"/>
          <w:szCs w:val="21"/>
          <w:highlight w:val="none"/>
          <w:lang w:val="en-US" w:eastAsia="zh-CN"/>
        </w:rPr>
      </w:pPr>
      <w:r>
        <w:rPr>
          <w:rFonts w:hint="default" w:cs="Times New Roman"/>
          <w:color w:val="auto"/>
          <w:sz w:val="21"/>
          <w:szCs w:val="21"/>
          <w:highlight w:val="none"/>
          <w:lang w:val="en-US" w:eastAsia="zh-CN"/>
        </w:rPr>
        <w:t>设计和开发的策划</w:t>
      </w:r>
    </w:p>
    <w:p>
      <w:pPr>
        <w:numPr>
          <w:ilvl w:val="3"/>
          <w:numId w:val="2"/>
        </w:numPr>
        <w:bidi w:val="0"/>
        <w:rPr>
          <w:rFonts w:hint="eastAsia"/>
          <w:color w:val="auto"/>
          <w:lang w:val="en-US" w:eastAsia="zh-CN"/>
        </w:rPr>
      </w:pPr>
      <w:r>
        <w:rPr>
          <w:rFonts w:hint="eastAsia"/>
          <w:color w:val="auto"/>
          <w:lang w:val="en-US" w:eastAsia="zh-CN"/>
        </w:rPr>
        <w:t>研发部负责组织对医疗器械产品的设计和开发进行策划。</w:t>
      </w:r>
    </w:p>
    <w:p>
      <w:pPr>
        <w:numPr>
          <w:ilvl w:val="3"/>
          <w:numId w:val="2"/>
        </w:numPr>
        <w:bidi w:val="0"/>
        <w:rPr>
          <w:rFonts w:hint="eastAsia"/>
          <w:color w:val="auto"/>
          <w:lang w:val="en-US" w:eastAsia="zh-CN"/>
        </w:rPr>
      </w:pPr>
      <w:r>
        <w:rPr>
          <w:rFonts w:hint="eastAsia"/>
          <w:color w:val="auto"/>
          <w:lang w:val="en-US" w:eastAsia="zh-CN"/>
        </w:rPr>
        <w:t>在进行设计和开发策划时，应确定设计和开发的阶段及对各阶段的评审、验证、确认和设计转换活动。识别和确定各个部门设计和开发的活动和接口，明确职责和分工，以确保有效的沟通。</w:t>
      </w:r>
    </w:p>
    <w:p>
      <w:pPr>
        <w:numPr>
          <w:ilvl w:val="3"/>
          <w:numId w:val="2"/>
        </w:numPr>
        <w:bidi w:val="0"/>
        <w:rPr>
          <w:rFonts w:hint="eastAsia"/>
          <w:color w:val="auto"/>
          <w:lang w:val="en-US" w:eastAsia="zh-CN"/>
        </w:rPr>
      </w:pPr>
      <w:r>
        <w:rPr>
          <w:rFonts w:hint="eastAsia"/>
          <w:color w:val="auto"/>
          <w:lang w:val="en-US" w:eastAsia="zh-CN"/>
        </w:rPr>
        <w:t>策划的结果应形成文件，策划结果形成文件。至少包括以下内容：</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设计和开发项目的目标和意义的描述，技术指标分析；</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确定了设计和开发各阶段，以及适合于每个设计和开发阶段的评审、验证、确认和设计转换活动；</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应当识别和确定各个部门设计和开发的活动和接口，明确各阶段的人员或组织的职责、评审人员的组成，以及各阶段预期的输出结果；</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主要任务和阶段性任务的策划安排与整个项目的一致；</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确定产品技术要求的制定、验证、确认和生产活动所需的测量装置；</w:t>
      </w:r>
    </w:p>
    <w:p>
      <w:pPr>
        <w:pageBreakBefore w:val="0"/>
        <w:numPr>
          <w:ilvl w:val="0"/>
          <w:numId w:val="28"/>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风险管理活动。</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应当</w:t>
      </w:r>
      <w:r>
        <w:rPr>
          <w:rFonts w:hint="eastAsia"/>
          <w:color w:val="auto"/>
          <w:lang w:val="en-US" w:eastAsia="zh-CN"/>
        </w:rPr>
        <w:t>按照</w:t>
      </w:r>
      <w:r>
        <w:rPr>
          <w:rFonts w:hint="eastAsia" w:cs="Times New Roman"/>
          <w:color w:val="auto"/>
          <w:sz w:val="21"/>
          <w:szCs w:val="21"/>
          <w:highlight w:val="none"/>
          <w:lang w:val="en-US" w:eastAsia="zh-CN"/>
        </w:rPr>
        <w:t>策划实施设计和开发。当偏离计划而需要修改计划时，应当对计划重新评审和批准。</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设计和开发的输入</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研发部按《设计开发控制程序》要求确定与医疗器械产品</w:t>
      </w:r>
      <w:r>
        <w:rPr>
          <w:rFonts w:hint="default" w:cs="Times New Roman"/>
          <w:color w:val="auto"/>
          <w:sz w:val="21"/>
          <w:szCs w:val="21"/>
          <w:highlight w:val="none"/>
          <w:lang w:val="en-US" w:eastAsia="zh-CN"/>
        </w:rPr>
        <w:t>设计和开发</w:t>
      </w:r>
      <w:r>
        <w:rPr>
          <w:rFonts w:hint="eastAsia" w:cs="Times New Roman"/>
          <w:color w:val="auto"/>
          <w:sz w:val="21"/>
          <w:szCs w:val="21"/>
          <w:highlight w:val="none"/>
          <w:lang w:val="en-US" w:eastAsia="zh-CN"/>
        </w:rPr>
        <w:t>有关的输入，包括：</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hAnsi="宋体" w:cs="Arial"/>
          <w:color w:val="auto"/>
        </w:rPr>
      </w:pPr>
      <w:r>
        <w:rPr>
          <w:rFonts w:hint="eastAsia" w:hAnsi="宋体" w:cs="Arial"/>
          <w:color w:val="auto"/>
        </w:rPr>
        <w:t>产品的预期用途</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预期用途规定的功能、性能要求</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产品的安全要求。</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法规要求。</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风险管理的控制措施。</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产品的寿命期。</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安装和服务（适用时）。</w:t>
      </w:r>
    </w:p>
    <w:p>
      <w:pPr>
        <w:pageBreakBefore w:val="0"/>
        <w:numPr>
          <w:ilvl w:val="0"/>
          <w:numId w:val="29"/>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其他要求。等。</w:t>
      </w:r>
    </w:p>
    <w:p>
      <w:pPr>
        <w:numPr>
          <w:ilvl w:val="3"/>
          <w:numId w:val="2"/>
        </w:numPr>
        <w:bidi w:val="0"/>
        <w:rPr>
          <w:rFonts w:hint="eastAsia" w:cs="Times New Roman"/>
          <w:color w:val="auto"/>
          <w:sz w:val="21"/>
          <w:szCs w:val="21"/>
          <w:highlight w:val="none"/>
          <w:lang w:val="en-US" w:eastAsia="zh-CN"/>
        </w:rPr>
      </w:pPr>
      <w:r>
        <w:rPr>
          <w:rFonts w:hint="default" w:cs="Times New Roman"/>
          <w:color w:val="auto"/>
          <w:sz w:val="21"/>
          <w:szCs w:val="21"/>
          <w:highlight w:val="none"/>
          <w:lang w:val="en-US" w:eastAsia="zh-CN"/>
        </w:rPr>
        <w:t>确定</w:t>
      </w:r>
      <w:r>
        <w:rPr>
          <w:rFonts w:hint="eastAsia" w:cs="Times New Roman"/>
          <w:color w:val="auto"/>
          <w:sz w:val="21"/>
          <w:szCs w:val="21"/>
          <w:highlight w:val="none"/>
          <w:lang w:val="en-US" w:eastAsia="zh-CN"/>
        </w:rPr>
        <w:t>医疗器械</w:t>
      </w:r>
      <w:r>
        <w:rPr>
          <w:rFonts w:hint="default" w:cs="Times New Roman"/>
          <w:color w:val="auto"/>
          <w:sz w:val="21"/>
          <w:szCs w:val="21"/>
          <w:highlight w:val="none"/>
          <w:lang w:val="en-US" w:eastAsia="zh-CN"/>
        </w:rPr>
        <w:t>产品设计和开发的输入后，</w:t>
      </w:r>
      <w:r>
        <w:rPr>
          <w:rFonts w:hint="eastAsia" w:cs="Times New Roman"/>
          <w:color w:val="auto"/>
          <w:sz w:val="21"/>
          <w:szCs w:val="21"/>
          <w:highlight w:val="none"/>
          <w:lang w:val="en-US" w:eastAsia="zh-CN"/>
        </w:rPr>
        <w:t>研发部组织相关部门对设计和开发输入进行评审并批准，</w:t>
      </w:r>
      <w:r>
        <w:rPr>
          <w:rFonts w:hint="default" w:cs="Times New Roman"/>
          <w:color w:val="auto"/>
          <w:sz w:val="21"/>
          <w:szCs w:val="21"/>
          <w:highlight w:val="none"/>
          <w:lang w:val="en-US" w:eastAsia="zh-CN"/>
        </w:rPr>
        <w:t>研发部</w:t>
      </w:r>
      <w:r>
        <w:rPr>
          <w:rFonts w:hint="eastAsia" w:cs="Times New Roman"/>
          <w:color w:val="auto"/>
          <w:sz w:val="21"/>
          <w:szCs w:val="21"/>
          <w:highlight w:val="none"/>
          <w:lang w:val="en-US" w:eastAsia="zh-CN"/>
        </w:rPr>
        <w:t>保持相关记录。</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在设计和开发输入阶段，应考虑到最终的生产（可生产性、部件/材料可获得性、设备的配备、人员的培训等）和可能的合格评定要求（程序、方法、设备），以使设计转换过程能顺利进行。</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w:t>
      </w:r>
    </w:p>
    <w:p>
      <w:pPr>
        <w:numPr>
          <w:ilvl w:val="3"/>
          <w:numId w:val="2"/>
        </w:numPr>
        <w:bidi w:val="0"/>
        <w:rPr>
          <w:rFonts w:hint="default" w:cs="Times New Roman"/>
          <w:color w:val="auto"/>
          <w:sz w:val="21"/>
          <w:szCs w:val="21"/>
          <w:highlight w:val="none"/>
          <w:lang w:val="en-US" w:eastAsia="zh-CN"/>
        </w:rPr>
      </w:pPr>
      <w:r>
        <w:rPr>
          <w:rFonts w:hint="eastAsia"/>
          <w:color w:val="auto"/>
          <w:highlight w:val="none"/>
          <w:lang w:val="en-US" w:eastAsia="zh-CN"/>
        </w:rPr>
        <w:t>医疗</w:t>
      </w:r>
      <w:r>
        <w:rPr>
          <w:rFonts w:hint="eastAsia" w:cs="Times New Roman"/>
          <w:color w:val="auto"/>
          <w:sz w:val="21"/>
          <w:szCs w:val="21"/>
          <w:highlight w:val="none"/>
          <w:lang w:val="en-US" w:eastAsia="zh-CN"/>
        </w:rPr>
        <w:t>器械</w:t>
      </w:r>
      <w:r>
        <w:rPr>
          <w:rFonts w:hint="default" w:cs="Times New Roman"/>
          <w:color w:val="auto"/>
          <w:sz w:val="21"/>
          <w:szCs w:val="21"/>
          <w:highlight w:val="none"/>
          <w:lang w:val="en-US" w:eastAsia="zh-CN"/>
        </w:rPr>
        <w:t>产品设计和</w:t>
      </w:r>
      <w:r>
        <w:rPr>
          <w:rFonts w:hint="eastAsia" w:cs="Times New Roman"/>
          <w:color w:val="auto"/>
          <w:sz w:val="21"/>
          <w:szCs w:val="21"/>
          <w:highlight w:val="none"/>
          <w:lang w:val="en-US" w:eastAsia="zh-CN"/>
        </w:rPr>
        <w:t>开发的输入</w:t>
      </w:r>
      <w:r>
        <w:rPr>
          <w:rFonts w:hint="default" w:cs="Times New Roman"/>
          <w:color w:val="auto"/>
          <w:sz w:val="21"/>
          <w:szCs w:val="21"/>
          <w:highlight w:val="none"/>
          <w:lang w:val="en-US" w:eastAsia="zh-CN"/>
        </w:rPr>
        <w:t>经</w:t>
      </w:r>
      <w:r>
        <w:rPr>
          <w:rFonts w:hint="eastAsia" w:cs="Times New Roman"/>
          <w:color w:val="auto"/>
          <w:sz w:val="21"/>
          <w:szCs w:val="21"/>
          <w:highlight w:val="none"/>
          <w:lang w:val="en-US" w:eastAsia="zh-CN"/>
        </w:rPr>
        <w:t>批准</w:t>
      </w:r>
      <w:r>
        <w:rPr>
          <w:rFonts w:hint="default" w:cs="Times New Roman"/>
          <w:color w:val="auto"/>
          <w:sz w:val="21"/>
          <w:szCs w:val="21"/>
          <w:highlight w:val="none"/>
          <w:lang w:val="en-US" w:eastAsia="zh-CN"/>
        </w:rPr>
        <w:t>后，研发部组织实施设计和开发。</w:t>
      </w:r>
    </w:p>
    <w:p>
      <w:pPr>
        <w:numPr>
          <w:ilvl w:val="3"/>
          <w:numId w:val="2"/>
        </w:numPr>
        <w:bidi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研制条件，包括配合使用的设备、仪器和试剂应当满足研究所需，研制所用的设备、仪器和试剂应当保存使用记录。</w:t>
      </w:r>
    </w:p>
    <w:p>
      <w:pPr>
        <w:numPr>
          <w:ilvl w:val="3"/>
          <w:numId w:val="2"/>
        </w:numPr>
        <w:bidi w:val="0"/>
        <w:rPr>
          <w:rFonts w:hint="eastAsia"/>
          <w:color w:val="auto"/>
          <w:highlight w:val="none"/>
          <w:lang w:val="en-US" w:eastAsia="zh-CN"/>
        </w:rPr>
      </w:pPr>
      <w:r>
        <w:rPr>
          <w:rFonts w:hint="eastAsia" w:cs="Times New Roman"/>
          <w:color w:val="auto"/>
          <w:sz w:val="21"/>
          <w:szCs w:val="21"/>
          <w:highlight w:val="none"/>
          <w:lang w:val="en-US" w:eastAsia="zh-CN"/>
        </w:rPr>
        <w:t>研制过</w:t>
      </w:r>
      <w:r>
        <w:rPr>
          <w:rFonts w:hint="eastAsia"/>
          <w:color w:val="auto"/>
          <w:highlight w:val="none"/>
          <w:lang w:val="en-US" w:eastAsia="zh-CN"/>
        </w:rPr>
        <w:t>程中主要原料、中间体、重要辅料应当明确来源，其数量、使用量及其剩余量应当保存记录。</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设计和开发输出</w:t>
      </w:r>
    </w:p>
    <w:p>
      <w:pPr>
        <w:numPr>
          <w:ilvl w:val="3"/>
          <w:numId w:val="2"/>
        </w:numPr>
        <w:bidi w:val="0"/>
        <w:rPr>
          <w:rFonts w:hint="default"/>
          <w:color w:val="auto"/>
          <w:highlight w:val="none"/>
          <w:lang w:val="en-US" w:eastAsia="zh-CN"/>
        </w:rPr>
      </w:pPr>
      <w:r>
        <w:rPr>
          <w:rFonts w:hint="default"/>
          <w:color w:val="auto"/>
          <w:highlight w:val="none"/>
          <w:lang w:val="en-US" w:eastAsia="zh-CN"/>
        </w:rPr>
        <w:t>设计和开发的输出是设计和开发的结果，设计和开发的输出</w:t>
      </w:r>
      <w:r>
        <w:rPr>
          <w:rFonts w:hint="eastAsia"/>
          <w:color w:val="auto"/>
          <w:highlight w:val="none"/>
          <w:lang w:val="en-US" w:eastAsia="zh-CN"/>
        </w:rPr>
        <w:t>应当满足输入要求，包括采购、生产和服务所需的相关信息、产品技术要求等。至少符合以下要求</w:t>
      </w:r>
      <w:r>
        <w:rPr>
          <w:rFonts w:hint="default"/>
          <w:color w:val="auto"/>
          <w:highlight w:val="none"/>
          <w:lang w:val="en-US" w:eastAsia="zh-CN"/>
        </w:rPr>
        <w:t>：</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采购信息，如原材料、包装材料、组件和部件技术要求；</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生产和服务所需的信息，如产品图纸（包括零部件图纸）、工艺配方、作业指导书、环境要求等；</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产品技术要求；</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产品检验规程或指导书；</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规定产品的安全和正常使用所必须的产品特性，如产品使用说明书、包装和标签要求等。产品使用说明书是否与注册申报和批准的一致；</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标识和可追溯性要求；</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提交给注册审批部门的文件，如研究资料、产品技术要求、注册检验报告、</w:t>
      </w:r>
      <w:r>
        <w:rPr>
          <w:rFonts w:hint="eastAsia" w:ascii="Times New Roman" w:hAnsi="Times New Roman" w:eastAsia="宋体" w:cs="Times New Roman"/>
          <w:color w:val="auto"/>
          <w:sz w:val="21"/>
          <w:szCs w:val="21"/>
          <w:highlight w:val="none"/>
          <w:lang w:val="en-US" w:eastAsia="zh-CN"/>
        </w:rPr>
        <w:t>临床评价资料（如有）、医疗器械安全有效基本要求清单等；</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样机或样品；</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生物学评价结果和记录，包括材料的主要性能要求。</w:t>
      </w:r>
    </w:p>
    <w:p>
      <w:pPr>
        <w:pageBreakBefore w:val="0"/>
        <w:numPr>
          <w:ilvl w:val="0"/>
          <w:numId w:val="3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规定对产品的安全和正常使用所必需的产品特性。</w:t>
      </w:r>
    </w:p>
    <w:p>
      <w:pPr>
        <w:numPr>
          <w:ilvl w:val="3"/>
          <w:numId w:val="2"/>
        </w:numPr>
        <w:bidi w:val="0"/>
        <w:rPr>
          <w:rFonts w:hint="default"/>
          <w:color w:val="auto"/>
          <w:highlight w:val="none"/>
          <w:lang w:val="en-US" w:eastAsia="zh-CN"/>
        </w:rPr>
      </w:pPr>
      <w:r>
        <w:rPr>
          <w:rFonts w:hint="default"/>
          <w:color w:val="auto"/>
          <w:highlight w:val="none"/>
          <w:lang w:val="en-US" w:eastAsia="zh-CN"/>
        </w:rPr>
        <w:t>设计和开发输出应当在放行前得到批准，保持相关记录。</w:t>
      </w:r>
    </w:p>
    <w:p>
      <w:pPr>
        <w:numPr>
          <w:ilvl w:val="3"/>
          <w:numId w:val="2"/>
        </w:numPr>
        <w:bidi w:val="0"/>
        <w:rPr>
          <w:rFonts w:hint="default"/>
          <w:color w:val="auto"/>
          <w:highlight w:val="none"/>
          <w:lang w:val="en-US" w:eastAsia="zh-CN"/>
        </w:rPr>
      </w:pPr>
      <w:r>
        <w:rPr>
          <w:rFonts w:hint="default"/>
          <w:color w:val="auto"/>
          <w:highlight w:val="none"/>
          <w:lang w:val="en-US" w:eastAsia="zh-CN"/>
        </w:rPr>
        <w:t>研发部保持设计和开发输出的记录（包括规范、制造程序、工艺流程图、工程图纸、工程或研究历程记录等）。</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设计和开发评审</w:t>
      </w:r>
    </w:p>
    <w:p>
      <w:pPr>
        <w:numPr>
          <w:ilvl w:val="3"/>
          <w:numId w:val="2"/>
        </w:numPr>
        <w:bidi w:val="0"/>
        <w:rPr>
          <w:rFonts w:hint="default"/>
          <w:color w:val="auto"/>
          <w:highlight w:val="none"/>
          <w:lang w:val="en-US" w:eastAsia="zh-CN"/>
        </w:rPr>
      </w:pPr>
      <w:r>
        <w:rPr>
          <w:rFonts w:hint="default"/>
          <w:color w:val="auto"/>
          <w:highlight w:val="none"/>
          <w:lang w:val="en-US" w:eastAsia="zh-CN"/>
        </w:rPr>
        <w:t>根据设计开发策划的结果，在设计和开发的适宜阶段进行评审，保持评审结果及任何必要措施的记录。</w:t>
      </w:r>
    </w:p>
    <w:p>
      <w:pPr>
        <w:numPr>
          <w:ilvl w:val="3"/>
          <w:numId w:val="2"/>
        </w:numPr>
        <w:bidi w:val="0"/>
        <w:rPr>
          <w:rFonts w:hint="default"/>
          <w:color w:val="auto"/>
          <w:highlight w:val="none"/>
          <w:lang w:val="en-US" w:eastAsia="zh-CN"/>
        </w:rPr>
      </w:pPr>
      <w:r>
        <w:rPr>
          <w:rFonts w:hint="default"/>
          <w:color w:val="auto"/>
          <w:highlight w:val="none"/>
          <w:lang w:val="en-US" w:eastAsia="zh-CN"/>
        </w:rPr>
        <w:t>评审结果及任何必要措施的记录应按要求进行存档。</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设计和开发验证</w:t>
      </w:r>
    </w:p>
    <w:p>
      <w:pPr>
        <w:numPr>
          <w:ilvl w:val="3"/>
          <w:numId w:val="2"/>
        </w:numPr>
        <w:bidi w:val="0"/>
        <w:rPr>
          <w:rFonts w:hint="default"/>
          <w:color w:val="auto"/>
          <w:highlight w:val="none"/>
          <w:lang w:val="en-US" w:eastAsia="zh-CN"/>
        </w:rPr>
      </w:pPr>
      <w:r>
        <w:rPr>
          <w:rFonts w:hint="default"/>
          <w:color w:val="auto"/>
          <w:highlight w:val="none"/>
          <w:lang w:val="en-US" w:eastAsia="zh-CN"/>
        </w:rPr>
        <w:t>根据策划的安排，研发部组织有关人员在适宜的阶段采用试验、测试等方法对设计和开发进行验证，以确保设计和开发输出满足输入的要求。</w:t>
      </w:r>
    </w:p>
    <w:p>
      <w:pPr>
        <w:pageBreakBefore w:val="0"/>
        <w:numPr>
          <w:ilvl w:val="0"/>
          <w:numId w:val="3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研发部应保存设计和开发验证的记录、结果和任何必要措施的记录</w:t>
      </w:r>
    </w:p>
    <w:p>
      <w:pPr>
        <w:pageBreakBefore w:val="0"/>
        <w:numPr>
          <w:ilvl w:val="0"/>
          <w:numId w:val="3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如果设计和开发验证采用的是可供选择的计算方法或经证实的设计进行比较的方法，研发部应当组织相关部门评审所用的方法的适宜性，确认方法是否科学和有效。</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设计和开发确认</w:t>
      </w:r>
    </w:p>
    <w:p>
      <w:pPr>
        <w:numPr>
          <w:ilvl w:val="3"/>
          <w:numId w:val="2"/>
        </w:numPr>
        <w:bidi w:val="0"/>
        <w:rPr>
          <w:rFonts w:hint="eastAsia"/>
          <w:color w:val="auto"/>
          <w:highlight w:val="none"/>
          <w:lang w:val="en-US" w:eastAsia="zh-CN"/>
        </w:rPr>
      </w:pPr>
      <w:r>
        <w:rPr>
          <w:rFonts w:hint="eastAsia"/>
          <w:color w:val="auto"/>
          <w:highlight w:val="none"/>
          <w:lang w:val="en-US" w:eastAsia="zh-CN"/>
        </w:rPr>
        <w:t>研发部组织相关人员采用临床试验、临床评价、性能评价等方法对设计和开发进行确认，以确保产品满足规定的使用要求或者预期用途的要求，并保持确认结果和任何必要措施的记录，包括临床评价或性能评价及其支持材料或临床试验的记录。</w:t>
      </w:r>
    </w:p>
    <w:p>
      <w:pPr>
        <w:numPr>
          <w:ilvl w:val="3"/>
          <w:numId w:val="2"/>
        </w:numPr>
        <w:bidi w:val="0"/>
        <w:rPr>
          <w:rFonts w:hint="eastAsia"/>
          <w:color w:val="auto"/>
          <w:highlight w:val="none"/>
          <w:lang w:val="en-US" w:eastAsia="zh-CN"/>
        </w:rPr>
      </w:pPr>
      <w:r>
        <w:rPr>
          <w:rFonts w:hint="eastAsia"/>
          <w:color w:val="auto"/>
          <w:highlight w:val="none"/>
          <w:lang w:val="en-US" w:eastAsia="zh-CN"/>
        </w:rPr>
        <w:t>设计开发确认计划包括确认方法、接收准则，适当时，为确定抽样量所采用的统计技术与原理。</w:t>
      </w:r>
    </w:p>
    <w:p>
      <w:pPr>
        <w:numPr>
          <w:ilvl w:val="3"/>
          <w:numId w:val="2"/>
        </w:numPr>
        <w:bidi w:val="0"/>
        <w:rPr>
          <w:rFonts w:hint="eastAsia"/>
          <w:color w:val="auto"/>
          <w:highlight w:val="none"/>
          <w:lang w:val="en-US" w:eastAsia="zh-CN"/>
        </w:rPr>
      </w:pPr>
      <w:r>
        <w:rPr>
          <w:rFonts w:hint="eastAsia"/>
          <w:color w:val="auto"/>
          <w:highlight w:val="none"/>
          <w:lang w:val="en-US" w:eastAsia="zh-CN"/>
        </w:rPr>
        <w:t xml:space="preserve">应对代表性产品进行设计确认，代表性产品包括最初的生产单位、批或其他等同物。应记录用于进行确认的产品的合理性(见 4.2.5). </w:t>
      </w:r>
    </w:p>
    <w:p>
      <w:pPr>
        <w:numPr>
          <w:ilvl w:val="3"/>
          <w:numId w:val="2"/>
        </w:numPr>
        <w:bidi w:val="0"/>
        <w:rPr>
          <w:rFonts w:hint="eastAsia"/>
          <w:color w:val="auto"/>
          <w:highlight w:val="none"/>
          <w:lang w:val="en-US" w:eastAsia="zh-CN"/>
        </w:rPr>
      </w:pPr>
      <w:r>
        <w:rPr>
          <w:rFonts w:hint="eastAsia"/>
          <w:color w:val="auto"/>
          <w:highlight w:val="none"/>
          <w:lang w:val="en-US" w:eastAsia="zh-CN"/>
        </w:rPr>
        <w:t xml:space="preserve">作为设计和开发确认的一部分，组织应按照适用的法规要求进行临床评价或性能评价。 </w:t>
      </w:r>
    </w:p>
    <w:p>
      <w:pPr>
        <w:numPr>
          <w:ilvl w:val="3"/>
          <w:numId w:val="2"/>
        </w:numPr>
        <w:bidi w:val="0"/>
        <w:rPr>
          <w:rFonts w:hint="eastAsia"/>
          <w:color w:val="auto"/>
          <w:highlight w:val="none"/>
          <w:lang w:val="en-US" w:eastAsia="zh-CN"/>
        </w:rPr>
      </w:pPr>
      <w:r>
        <w:rPr>
          <w:rFonts w:hint="eastAsia"/>
          <w:color w:val="auto"/>
          <w:highlight w:val="none"/>
          <w:lang w:val="en-US" w:eastAsia="zh-CN"/>
        </w:rPr>
        <w:t xml:space="preserve">用于临床评价或性能评价的医疗器械不应视作放行给顾客使用。 </w:t>
      </w:r>
    </w:p>
    <w:p>
      <w:pPr>
        <w:numPr>
          <w:ilvl w:val="3"/>
          <w:numId w:val="2"/>
        </w:numPr>
        <w:bidi w:val="0"/>
        <w:rPr>
          <w:rFonts w:hint="eastAsia"/>
          <w:color w:val="auto"/>
          <w:highlight w:val="none"/>
          <w:lang w:val="en-US" w:eastAsia="zh-CN"/>
        </w:rPr>
      </w:pPr>
      <w:r>
        <w:rPr>
          <w:rFonts w:hint="eastAsia"/>
          <w:color w:val="auto"/>
          <w:highlight w:val="none"/>
          <w:lang w:val="en-US" w:eastAsia="zh-CN"/>
        </w:rPr>
        <w:t xml:space="preserve">如果预期用途需要医疗器械与其他医疗器械连接或接合，确认应包含依此连接或接合时，证实规定的适 </w:t>
      </w:r>
    </w:p>
    <w:p>
      <w:pPr>
        <w:numPr>
          <w:ilvl w:val="3"/>
          <w:numId w:val="2"/>
        </w:numPr>
        <w:bidi w:val="0"/>
        <w:rPr>
          <w:rFonts w:hint="eastAsia"/>
          <w:color w:val="auto"/>
          <w:highlight w:val="none"/>
          <w:lang w:val="en-US" w:eastAsia="zh-CN"/>
        </w:rPr>
      </w:pPr>
      <w:r>
        <w:rPr>
          <w:rFonts w:hint="eastAsia"/>
          <w:color w:val="auto"/>
          <w:highlight w:val="none"/>
          <w:lang w:val="en-US" w:eastAsia="zh-CN"/>
        </w:rPr>
        <w:t xml:space="preserve">用要求或预期用途已得到满足的内容。 </w:t>
      </w:r>
    </w:p>
    <w:p>
      <w:pPr>
        <w:numPr>
          <w:ilvl w:val="3"/>
          <w:numId w:val="2"/>
        </w:numPr>
        <w:bidi w:val="0"/>
        <w:rPr>
          <w:rFonts w:hint="eastAsia"/>
          <w:color w:val="auto"/>
          <w:highlight w:val="none"/>
          <w:lang w:val="en-US" w:eastAsia="zh-CN"/>
        </w:rPr>
      </w:pPr>
      <w:r>
        <w:rPr>
          <w:rFonts w:hint="eastAsia"/>
          <w:color w:val="auto"/>
          <w:highlight w:val="none"/>
          <w:lang w:val="en-US" w:eastAsia="zh-CN"/>
        </w:rPr>
        <w:t>设计和开发确认要在产品交付或实施之前完成。</w:t>
      </w:r>
    </w:p>
    <w:p>
      <w:pPr>
        <w:numPr>
          <w:ilvl w:val="3"/>
          <w:numId w:val="2"/>
        </w:numPr>
        <w:bidi w:val="0"/>
        <w:rPr>
          <w:rFonts w:hint="eastAsia"/>
          <w:color w:val="auto"/>
          <w:highlight w:val="none"/>
          <w:lang w:val="en-US" w:eastAsia="zh-CN"/>
        </w:rPr>
      </w:pPr>
      <w:r>
        <w:rPr>
          <w:rFonts w:hint="eastAsia"/>
          <w:color w:val="auto"/>
          <w:highlight w:val="none"/>
          <w:lang w:val="en-US" w:eastAsia="zh-CN"/>
        </w:rPr>
        <w:t>进行临床试验时应当符合医疗器械临床试验法规的要求。</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设计和开发的转换</w:t>
      </w:r>
    </w:p>
    <w:p>
      <w:pPr>
        <w:numPr>
          <w:ilvl w:val="3"/>
          <w:numId w:val="2"/>
        </w:numPr>
        <w:bidi w:val="0"/>
        <w:rPr>
          <w:rFonts w:hint="default"/>
          <w:color w:val="auto"/>
          <w:highlight w:val="none"/>
          <w:lang w:val="en-US" w:eastAsia="zh-CN"/>
        </w:rPr>
      </w:pPr>
      <w:r>
        <w:rPr>
          <w:rFonts w:hint="eastAsia"/>
          <w:color w:val="auto"/>
          <w:highlight w:val="none"/>
          <w:lang w:val="en-US" w:eastAsia="zh-CN"/>
        </w:rPr>
        <w:t>研发部</w:t>
      </w:r>
      <w:r>
        <w:rPr>
          <w:rFonts w:hint="default"/>
          <w:color w:val="auto"/>
          <w:highlight w:val="none"/>
          <w:lang w:val="en-US" w:eastAsia="zh-CN"/>
        </w:rPr>
        <w:t>在设计和开发过程中开展设计和开发到生产的转换活动，以使设计和开发的输出在成为最终产品规范前得以验证，确保设计和开发输出适用于生产。</w:t>
      </w:r>
    </w:p>
    <w:p>
      <w:pPr>
        <w:numPr>
          <w:ilvl w:val="3"/>
          <w:numId w:val="2"/>
        </w:numPr>
        <w:bidi w:val="0"/>
        <w:rPr>
          <w:rFonts w:hint="default"/>
          <w:color w:val="auto"/>
          <w:highlight w:val="none"/>
          <w:lang w:val="en-US" w:eastAsia="zh-CN"/>
        </w:rPr>
      </w:pPr>
      <w:r>
        <w:rPr>
          <w:rFonts w:hint="default"/>
          <w:color w:val="auto"/>
          <w:highlight w:val="none"/>
          <w:lang w:val="en-US" w:eastAsia="zh-CN"/>
        </w:rPr>
        <w:t>设计和开发的转换至少符合以下要求：</w:t>
      </w:r>
    </w:p>
    <w:p>
      <w:pPr>
        <w:pageBreakBefore w:val="0"/>
        <w:numPr>
          <w:ilvl w:val="0"/>
          <w:numId w:val="3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解决可生产性、部件及材料的可获得性、所需的生产设备、操作人员的培训等。</w:t>
      </w:r>
    </w:p>
    <w:p>
      <w:pPr>
        <w:pageBreakBefore w:val="0"/>
        <w:numPr>
          <w:ilvl w:val="0"/>
          <w:numId w:val="3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将产品的每一技术要求正确转化成与产品实现相关的具体过程或程序。</w:t>
      </w:r>
    </w:p>
    <w:p>
      <w:pPr>
        <w:pageBreakBefore w:val="0"/>
        <w:numPr>
          <w:ilvl w:val="0"/>
          <w:numId w:val="3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生产过程中采用的计算机软件对产品质量有影响的，应当进行验证或确认。</w:t>
      </w:r>
    </w:p>
    <w:p>
      <w:pPr>
        <w:pageBreakBefore w:val="0"/>
        <w:numPr>
          <w:ilvl w:val="0"/>
          <w:numId w:val="32"/>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color w:val="auto"/>
          <w:highlight w:val="none"/>
          <w:lang w:val="en-US" w:eastAsia="zh-CN"/>
        </w:rPr>
      </w:pPr>
      <w:r>
        <w:rPr>
          <w:rFonts w:hint="default"/>
          <w:color w:val="auto"/>
          <w:highlight w:val="none"/>
          <w:lang w:val="en-US" w:eastAsia="zh-CN"/>
        </w:rPr>
        <w:t>制定</w:t>
      </w:r>
      <w:r>
        <w:rPr>
          <w:rFonts w:hint="eastAsia"/>
          <w:color w:val="auto"/>
          <w:highlight w:val="none"/>
          <w:lang w:val="en-US" w:eastAsia="zh-CN"/>
        </w:rPr>
        <w:t>进货检验、过程检验和成品检验的要求和接收</w:t>
      </w:r>
      <w:r>
        <w:rPr>
          <w:rFonts w:hint="default"/>
          <w:color w:val="auto"/>
          <w:highlight w:val="none"/>
          <w:lang w:val="en-US" w:eastAsia="zh-CN"/>
        </w:rPr>
        <w:t>准则</w:t>
      </w:r>
      <w:r>
        <w:rPr>
          <w:rFonts w:hint="eastAsia"/>
          <w:color w:val="auto"/>
          <w:highlight w:val="none"/>
          <w:lang w:val="en-US" w:eastAsia="zh-CN"/>
        </w:rPr>
        <w:t>，成品的接收</w:t>
      </w:r>
      <w:r>
        <w:rPr>
          <w:rFonts w:hint="default"/>
          <w:color w:val="auto"/>
          <w:highlight w:val="none"/>
          <w:lang w:val="en-US" w:eastAsia="zh-CN"/>
        </w:rPr>
        <w:t>准则</w:t>
      </w:r>
      <w:r>
        <w:rPr>
          <w:rFonts w:hint="eastAsia"/>
          <w:color w:val="auto"/>
          <w:highlight w:val="none"/>
          <w:lang w:val="en-US" w:eastAsia="zh-CN"/>
        </w:rPr>
        <w:t>应根据强制性标准以及经注册或者备案的产品技术要求制定产品的检验规程。</w:t>
      </w:r>
    </w:p>
    <w:p>
      <w:pPr>
        <w:pageBreakBefore w:val="0"/>
        <w:numPr>
          <w:ilvl w:val="0"/>
          <w:numId w:val="3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关键工序进行验证，对特殊过程进行确认，确保其结果适用于生产，并保留确认记录。验证/确认记录至少应当包括验证/确认方案、验证/确认项目与方法、操作人员、结果评价、再验证/再确认等内容。所有过程确认必须在交付顾客的产品批次放行之前完成。设备鉴定/确认应当在过程确认之前完成。生产过程中采用的计算机软件对产品质量有影响的，也应当进行确认。</w:t>
      </w:r>
    </w:p>
    <w:p>
      <w:pPr>
        <w:numPr>
          <w:ilvl w:val="3"/>
          <w:numId w:val="2"/>
        </w:numPr>
        <w:bidi w:val="0"/>
        <w:rPr>
          <w:rFonts w:hint="default"/>
          <w:color w:val="auto"/>
          <w:highlight w:val="none"/>
          <w:lang w:val="en-US" w:eastAsia="zh-CN"/>
        </w:rPr>
      </w:pPr>
      <w:r>
        <w:rPr>
          <w:rFonts w:hint="default"/>
          <w:color w:val="auto"/>
          <w:highlight w:val="none"/>
          <w:lang w:val="en-US" w:eastAsia="zh-CN"/>
        </w:rPr>
        <w:t>工艺研究、技术要求/分析性能研究、稳定性研究、检验、临床试验/评价（包括预实验）研究、参考值研究等各个阶段的样品数量、贮存条件、留样、使用或销毁情况应当保存记录，样品试制量应当满足从事研究所需要的数量。</w:t>
      </w:r>
    </w:p>
    <w:p>
      <w:pPr>
        <w:numPr>
          <w:ilvl w:val="3"/>
          <w:numId w:val="2"/>
        </w:numPr>
        <w:bidi w:val="0"/>
        <w:rPr>
          <w:rFonts w:hint="default"/>
          <w:color w:val="auto"/>
          <w:highlight w:val="none"/>
          <w:lang w:val="en-US" w:eastAsia="zh-CN"/>
        </w:rPr>
      </w:pPr>
      <w:r>
        <w:rPr>
          <w:rFonts w:hint="default"/>
          <w:color w:val="auto"/>
          <w:highlight w:val="none"/>
          <w:lang w:val="en-US" w:eastAsia="zh-CN"/>
        </w:rPr>
        <w:t>设计转换活动的记录应当表明设计和开发输出在成为最终产品规范前得到验证，并保留验证记录，以确保设计和开发的输出适于生产。</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设计和开发更改的控制</w:t>
      </w:r>
    </w:p>
    <w:p>
      <w:pPr>
        <w:numPr>
          <w:ilvl w:val="3"/>
          <w:numId w:val="2"/>
        </w:numPr>
        <w:bidi w:val="0"/>
        <w:rPr>
          <w:rFonts w:hint="eastAsia"/>
          <w:color w:val="auto"/>
          <w:highlight w:val="none"/>
          <w:lang w:val="en-US" w:eastAsia="zh-CN"/>
        </w:rPr>
      </w:pPr>
      <w:r>
        <w:rPr>
          <w:rFonts w:hint="eastAsia"/>
          <w:color w:val="auto"/>
          <w:highlight w:val="none"/>
          <w:lang w:val="en-US" w:eastAsia="zh-CN"/>
        </w:rPr>
        <w:t>研发部应识别和记录设计和开发的更改，在适当时，设计和开发的更改</w:t>
      </w:r>
      <w:r>
        <w:rPr>
          <w:rFonts w:hint="default"/>
          <w:color w:val="auto"/>
          <w:highlight w:val="none"/>
          <w:lang w:val="en-US" w:eastAsia="zh-CN"/>
        </w:rPr>
        <w:t>应</w:t>
      </w:r>
      <w:r>
        <w:rPr>
          <w:rFonts w:hint="eastAsia"/>
          <w:color w:val="auto"/>
          <w:highlight w:val="none"/>
          <w:lang w:val="en-US" w:eastAsia="zh-CN"/>
        </w:rPr>
        <w:t>进行评审、验证和确认，并在实施前得到批准。研发部审核和批准与合规符合性相关的重大产品变更。</w:t>
      </w:r>
    </w:p>
    <w:p>
      <w:pPr>
        <w:numPr>
          <w:ilvl w:val="3"/>
          <w:numId w:val="2"/>
        </w:numPr>
        <w:bidi w:val="0"/>
        <w:rPr>
          <w:rFonts w:hint="default"/>
          <w:color w:val="auto"/>
          <w:highlight w:val="none"/>
          <w:lang w:val="en-US" w:eastAsia="zh-CN"/>
        </w:rPr>
      </w:pPr>
      <w:r>
        <w:rPr>
          <w:rFonts w:hint="default"/>
          <w:color w:val="auto"/>
          <w:highlight w:val="none"/>
          <w:lang w:val="en-US" w:eastAsia="zh-CN"/>
        </w:rPr>
        <w:t>设计更改的评审包括评审更改对产品组成部分和已交付产品的影响。设计和开发更改的实施应符合</w:t>
      </w:r>
      <w:r>
        <w:rPr>
          <w:rFonts w:hint="eastAsia"/>
          <w:color w:val="auto"/>
          <w:highlight w:val="none"/>
          <w:lang w:val="en-US" w:eastAsia="zh-CN"/>
        </w:rPr>
        <w:t>医疗器械</w:t>
      </w:r>
      <w:r>
        <w:rPr>
          <w:rFonts w:hint="default"/>
          <w:color w:val="auto"/>
          <w:highlight w:val="none"/>
          <w:lang w:val="en-US" w:eastAsia="zh-CN"/>
        </w:rPr>
        <w:t>产品注册的有关规定。</w:t>
      </w:r>
    </w:p>
    <w:p>
      <w:pPr>
        <w:numPr>
          <w:ilvl w:val="3"/>
          <w:numId w:val="2"/>
        </w:numPr>
        <w:bidi w:val="0"/>
        <w:rPr>
          <w:rFonts w:hint="eastAsia"/>
          <w:color w:val="auto"/>
          <w:highlight w:val="none"/>
          <w:lang w:val="en-US" w:eastAsia="zh-CN"/>
        </w:rPr>
      </w:pPr>
      <w:r>
        <w:rPr>
          <w:rFonts w:hint="eastAsia"/>
          <w:color w:val="auto"/>
          <w:highlight w:val="none"/>
          <w:lang w:val="en-US" w:eastAsia="zh-CN"/>
        </w:rPr>
        <w:t>当选用的材料、零件或者产品功能的改变可能影响到医疗器械产品安全性、有效性时，应当评价因改动可能带来的风险，必要时采取措施将风险降低到可接受水平，同时应当符合相关法规的要求。</w:t>
      </w:r>
    </w:p>
    <w:p>
      <w:pPr>
        <w:numPr>
          <w:ilvl w:val="3"/>
          <w:numId w:val="2"/>
        </w:numPr>
        <w:bidi w:val="0"/>
        <w:rPr>
          <w:rFonts w:hint="eastAsia"/>
          <w:color w:val="auto"/>
          <w:highlight w:val="none"/>
          <w:lang w:val="en-US" w:eastAsia="zh-CN"/>
        </w:rPr>
      </w:pPr>
      <w:r>
        <w:rPr>
          <w:rFonts w:hint="eastAsia"/>
          <w:color w:val="auto"/>
          <w:highlight w:val="none"/>
          <w:lang w:val="en-US" w:eastAsia="zh-CN"/>
        </w:rPr>
        <w:t>设计更改的内容和结果涉及到改变医疗器械产品注册证（备案凭证）所载明的内容时，研发部应当进行风险分析，并按照相关法规的规定，申请变更注册（备案），以满足法规的要求。</w:t>
      </w:r>
    </w:p>
    <w:p>
      <w:pPr>
        <w:numPr>
          <w:ilvl w:val="3"/>
          <w:numId w:val="2"/>
        </w:numPr>
        <w:bidi w:val="0"/>
        <w:rPr>
          <w:rFonts w:hint="eastAsia"/>
          <w:color w:val="auto"/>
          <w:highlight w:val="none"/>
          <w:lang w:val="en-US" w:eastAsia="zh-CN"/>
        </w:rPr>
      </w:pPr>
      <w:r>
        <w:rPr>
          <w:rFonts w:hint="eastAsia"/>
          <w:color w:val="auto"/>
          <w:highlight w:val="none"/>
          <w:lang w:val="en-US" w:eastAsia="zh-CN"/>
        </w:rPr>
        <w:t>设计和开发更改相关的记录，包括更改评审结果及任何必要措施的记录，研发部按照质量管理体系记录控制要求保留。</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设计开发文档</w:t>
      </w:r>
    </w:p>
    <w:p>
      <w:pPr>
        <w:bidi w:val="0"/>
        <w:rPr>
          <w:rFonts w:hint="default"/>
          <w:color w:val="auto"/>
        </w:rPr>
      </w:pPr>
      <w:r>
        <w:rPr>
          <w:rFonts w:hint="eastAsia"/>
          <w:color w:val="auto"/>
          <w:lang w:val="en-US" w:eastAsia="zh-CN"/>
        </w:rPr>
        <w:t>研发部</w:t>
      </w:r>
      <w:r>
        <w:rPr>
          <w:rFonts w:hint="default"/>
          <w:color w:val="auto"/>
        </w:rPr>
        <w:t>按照《医疗器械生产质量管理规范》要求进行设计开发。</w:t>
      </w:r>
      <w:r>
        <w:rPr>
          <w:rFonts w:hint="default"/>
          <w:color w:val="auto"/>
          <w:lang w:eastAsia="zh-CN"/>
        </w:rPr>
        <w:t>为每一类或者系列产品建立并保持产品</w:t>
      </w:r>
      <w:r>
        <w:rPr>
          <w:rFonts w:hint="eastAsia"/>
          <w:color w:val="auto"/>
          <w:lang w:val="en-US" w:eastAsia="zh-CN"/>
        </w:rPr>
        <w:t>设计开发文档</w:t>
      </w:r>
      <w:r>
        <w:rPr>
          <w:rFonts w:hint="default"/>
          <w:color w:val="auto"/>
          <w:lang w:eastAsia="zh-CN"/>
        </w:rPr>
        <w:t>，</w:t>
      </w:r>
      <w:r>
        <w:rPr>
          <w:rFonts w:hint="eastAsia"/>
          <w:color w:val="auto"/>
          <w:lang w:val="en-US" w:eastAsia="zh-CN"/>
        </w:rPr>
        <w:t>交由质量部统一归档</w:t>
      </w:r>
      <w:r>
        <w:rPr>
          <w:rFonts w:hint="default"/>
          <w:color w:val="auto"/>
        </w:rPr>
        <w:t>，确保设计开发资料和数据的真实、完整、可追溯</w:t>
      </w:r>
      <w:r>
        <w:rPr>
          <w:rFonts w:hint="default"/>
          <w:color w:val="auto"/>
          <w:lang w:eastAsia="zh-CN"/>
        </w:rPr>
        <w:t>，</w:t>
      </w:r>
      <w:r>
        <w:rPr>
          <w:rFonts w:hint="default"/>
          <w:color w:val="auto"/>
        </w:rPr>
        <w:t>符合相关法规的要求。</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风险管理活动</w:t>
      </w:r>
    </w:p>
    <w:p>
      <w:pPr>
        <w:numPr>
          <w:ilvl w:val="3"/>
          <w:numId w:val="2"/>
        </w:numPr>
        <w:bidi w:val="0"/>
        <w:rPr>
          <w:rFonts w:hint="eastAsia"/>
          <w:color w:val="auto"/>
          <w:highlight w:val="none"/>
          <w:lang w:val="en-US" w:eastAsia="zh-CN"/>
        </w:rPr>
      </w:pPr>
      <w:r>
        <w:rPr>
          <w:rFonts w:hint="eastAsia"/>
          <w:color w:val="auto"/>
          <w:highlight w:val="none"/>
          <w:lang w:val="en-US" w:eastAsia="zh-CN"/>
        </w:rPr>
        <w:t>研发部在包括设计开发在内的产品实现全过程中，结合产品的特点，制定风险管理的要求并形成文件，保留相关记录。</w:t>
      </w:r>
    </w:p>
    <w:p>
      <w:pPr>
        <w:numPr>
          <w:ilvl w:val="3"/>
          <w:numId w:val="2"/>
        </w:numPr>
        <w:bidi w:val="0"/>
        <w:rPr>
          <w:rFonts w:hint="eastAsia"/>
          <w:color w:val="auto"/>
          <w:highlight w:val="none"/>
          <w:lang w:val="en-US" w:eastAsia="zh-CN"/>
        </w:rPr>
      </w:pPr>
      <w:r>
        <w:rPr>
          <w:rFonts w:hint="eastAsia"/>
          <w:color w:val="auto"/>
          <w:highlight w:val="none"/>
          <w:lang w:val="en-US" w:eastAsia="zh-CN"/>
        </w:rPr>
        <w:t>风险管理文件和记录，至少符合以下要求：</w:t>
      </w:r>
    </w:p>
    <w:p>
      <w:pPr>
        <w:pageBreakBefore w:val="0"/>
        <w:numPr>
          <w:ilvl w:val="0"/>
          <w:numId w:val="3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风险管理应当覆盖企业开发的产品实现的全过程。</w:t>
      </w:r>
    </w:p>
    <w:p>
      <w:pPr>
        <w:pageBreakBefore w:val="0"/>
        <w:numPr>
          <w:ilvl w:val="0"/>
          <w:numId w:val="3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应当建立对</w:t>
      </w:r>
      <w:r>
        <w:rPr>
          <w:rFonts w:hint="eastAsia" w:ascii="Times New Roman" w:hAnsi="Times New Roman" w:eastAsia="宋体" w:cs="Times New Roman"/>
          <w:color w:val="auto"/>
          <w:sz w:val="21"/>
          <w:szCs w:val="21"/>
          <w:highlight w:val="none"/>
          <w:lang w:val="en-US" w:eastAsia="zh-CN"/>
        </w:rPr>
        <w:t>医疗器械</w:t>
      </w:r>
      <w:r>
        <w:rPr>
          <w:rFonts w:hint="default" w:ascii="Times New Roman" w:hAnsi="Times New Roman" w:eastAsia="宋体" w:cs="Times New Roman"/>
          <w:color w:val="auto"/>
          <w:sz w:val="21"/>
          <w:szCs w:val="21"/>
          <w:highlight w:val="none"/>
          <w:lang w:val="en-US" w:eastAsia="zh-CN"/>
        </w:rPr>
        <w:t>进行风险管理的文件，保持相关记录，以确定实施的证据。</w:t>
      </w:r>
    </w:p>
    <w:p>
      <w:pPr>
        <w:pageBreakBefore w:val="0"/>
        <w:numPr>
          <w:ilvl w:val="0"/>
          <w:numId w:val="3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应当将</w:t>
      </w:r>
      <w:r>
        <w:rPr>
          <w:rFonts w:hint="eastAsia" w:ascii="Times New Roman" w:hAnsi="Times New Roman" w:eastAsia="宋体" w:cs="Times New Roman"/>
          <w:color w:val="auto"/>
          <w:sz w:val="21"/>
          <w:szCs w:val="21"/>
          <w:highlight w:val="none"/>
          <w:lang w:val="en-US" w:eastAsia="zh-CN"/>
        </w:rPr>
        <w:t>医疗器械</w:t>
      </w:r>
      <w:r>
        <w:rPr>
          <w:rFonts w:hint="default" w:ascii="Times New Roman" w:hAnsi="Times New Roman" w:eastAsia="宋体" w:cs="Times New Roman"/>
          <w:color w:val="auto"/>
          <w:sz w:val="21"/>
          <w:szCs w:val="21"/>
          <w:highlight w:val="none"/>
          <w:lang w:val="en-US" w:eastAsia="zh-CN"/>
        </w:rPr>
        <w:t xml:space="preserve">产品的风险控制在可接受水平。  </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采购</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采购</w:t>
      </w:r>
      <w:r>
        <w:rPr>
          <w:rFonts w:hint="eastAsia" w:cs="Times New Roman"/>
          <w:color w:val="auto"/>
          <w:sz w:val="21"/>
          <w:szCs w:val="21"/>
          <w:highlight w:val="none"/>
          <w:lang w:val="en-US" w:eastAsia="zh-CN"/>
        </w:rPr>
        <w:t>管理</w:t>
      </w:r>
    </w:p>
    <w:p>
      <w:pPr>
        <w:numPr>
          <w:ilvl w:val="3"/>
          <w:numId w:val="2"/>
        </w:numPr>
        <w:bidi w:val="0"/>
        <w:rPr>
          <w:rFonts w:hint="default"/>
          <w:color w:val="auto"/>
          <w:lang w:val="en-US" w:eastAsia="zh-CN"/>
        </w:rPr>
      </w:pPr>
      <w:r>
        <w:rPr>
          <w:rFonts w:hint="default"/>
          <w:color w:val="auto"/>
          <w:lang w:val="en-US" w:eastAsia="zh-CN"/>
        </w:rPr>
        <w:t>采购部制定《采购控制程序》，规定采购流程、合格</w:t>
      </w:r>
      <w:r>
        <w:rPr>
          <w:rFonts w:hint="eastAsia"/>
          <w:color w:val="auto"/>
          <w:lang w:val="en-US" w:eastAsia="zh-CN"/>
        </w:rPr>
        <w:t>供应商</w:t>
      </w:r>
      <w:r>
        <w:rPr>
          <w:rFonts w:hint="default"/>
          <w:color w:val="auto"/>
          <w:lang w:val="en-US" w:eastAsia="zh-CN"/>
        </w:rPr>
        <w:t>的选择、评价和再评价规定、</w:t>
      </w:r>
      <w:r>
        <w:rPr>
          <w:rFonts w:hint="eastAsia"/>
          <w:color w:val="auto"/>
          <w:lang w:val="en-US" w:eastAsia="zh-CN"/>
        </w:rPr>
        <w:t>采购物品</w:t>
      </w:r>
      <w:r>
        <w:rPr>
          <w:rFonts w:hint="default"/>
          <w:color w:val="auto"/>
          <w:lang w:val="en-US" w:eastAsia="zh-CN"/>
        </w:rPr>
        <w:t>检验或验证的要求、采购记录的要求等，对采购过程实施控制，以确保采购的产品符合规定的采购要求。</w:t>
      </w:r>
    </w:p>
    <w:p>
      <w:pPr>
        <w:numPr>
          <w:ilvl w:val="3"/>
          <w:numId w:val="2"/>
        </w:numPr>
        <w:bidi w:val="0"/>
        <w:rPr>
          <w:rFonts w:hint="default"/>
          <w:color w:val="auto"/>
          <w:lang w:val="en-US" w:eastAsia="zh-CN"/>
        </w:rPr>
      </w:pPr>
      <w:r>
        <w:rPr>
          <w:rFonts w:hint="eastAsia"/>
          <w:color w:val="auto"/>
          <w:lang w:val="en-US" w:eastAsia="zh-CN"/>
        </w:rPr>
        <w:t>采购物品应当符合规定的要求，且不低于法律法规的相关规定和国家强制性标准的相关要求。</w:t>
      </w:r>
    </w:p>
    <w:p>
      <w:pPr>
        <w:numPr>
          <w:ilvl w:val="3"/>
          <w:numId w:val="2"/>
        </w:numPr>
        <w:bidi w:val="0"/>
        <w:rPr>
          <w:rFonts w:hint="default"/>
          <w:color w:val="auto"/>
          <w:lang w:val="en-US" w:eastAsia="zh-CN"/>
        </w:rPr>
      </w:pPr>
      <w:r>
        <w:rPr>
          <w:rFonts w:hint="eastAsia"/>
          <w:color w:val="auto"/>
          <w:lang w:val="en-US" w:eastAsia="zh-CN"/>
        </w:rPr>
        <w:t>采购部根据采购物品对产品的影响，确定对采购物品实行控制的方式和程度。</w:t>
      </w:r>
    </w:p>
    <w:p>
      <w:pPr>
        <w:numPr>
          <w:ilvl w:val="3"/>
          <w:numId w:val="2"/>
        </w:numPr>
        <w:bidi w:val="0"/>
        <w:rPr>
          <w:rFonts w:hint="eastAsia"/>
          <w:color w:val="auto"/>
          <w:lang w:val="en-US" w:eastAsia="zh-CN"/>
        </w:rPr>
      </w:pPr>
      <w:r>
        <w:rPr>
          <w:rFonts w:hint="eastAsia"/>
          <w:color w:val="auto"/>
          <w:lang w:val="en-US" w:eastAsia="zh-CN"/>
        </w:rPr>
        <w:t>采购部建立供应商审核制度，对供应商进行审核评价。必要时，应当进行现场审核。供应商审核制度应符合《医疗器械生产企业供应商审核指南》的要求。</w:t>
      </w:r>
    </w:p>
    <w:p>
      <w:pPr>
        <w:numPr>
          <w:ilvl w:val="3"/>
          <w:numId w:val="2"/>
        </w:numPr>
        <w:bidi w:val="0"/>
        <w:rPr>
          <w:rFonts w:hint="eastAsia"/>
          <w:color w:val="auto"/>
          <w:lang w:val="en-US" w:eastAsia="zh-CN"/>
        </w:rPr>
      </w:pPr>
      <w:r>
        <w:rPr>
          <w:rFonts w:hint="default"/>
          <w:color w:val="auto"/>
          <w:lang w:val="en-US" w:eastAsia="zh-CN"/>
        </w:rPr>
        <w:t>对</w:t>
      </w:r>
      <w:r>
        <w:rPr>
          <w:rFonts w:hint="eastAsia"/>
          <w:color w:val="auto"/>
          <w:lang w:val="en-US" w:eastAsia="zh-CN"/>
        </w:rPr>
        <w:t>供应商</w:t>
      </w:r>
      <w:r>
        <w:rPr>
          <w:rFonts w:hint="default"/>
          <w:color w:val="auto"/>
          <w:lang w:val="en-US" w:eastAsia="zh-CN"/>
        </w:rPr>
        <w:t>的审核，应包括准入审核、过程审核、现场审核，确保</w:t>
      </w:r>
      <w:r>
        <w:rPr>
          <w:rFonts w:hint="eastAsia"/>
          <w:color w:val="auto"/>
          <w:lang w:val="en-US" w:eastAsia="zh-CN"/>
        </w:rPr>
        <w:t>供应商</w:t>
      </w:r>
      <w:r>
        <w:rPr>
          <w:rFonts w:hint="default"/>
          <w:color w:val="auto"/>
          <w:lang w:val="en-US" w:eastAsia="zh-CN"/>
        </w:rPr>
        <w:t>的经营状况、生产能力、质量管理体系、产品质量、供货期等能够满足生产的要求，并确保产品符合规定的要求。审核人员应当熟悉相关的法规，具备相应的专业知识和工作经验。</w:t>
      </w:r>
    </w:p>
    <w:p>
      <w:pPr>
        <w:numPr>
          <w:ilvl w:val="3"/>
          <w:numId w:val="2"/>
        </w:numPr>
        <w:bidi w:val="0"/>
        <w:rPr>
          <w:rFonts w:hint="eastAsia"/>
          <w:color w:val="auto"/>
          <w:lang w:val="en-US" w:eastAsia="zh-CN"/>
        </w:rPr>
      </w:pPr>
      <w:r>
        <w:rPr>
          <w:rFonts w:hint="eastAsia"/>
          <w:color w:val="auto"/>
          <w:lang w:val="en-US" w:eastAsia="zh-CN"/>
        </w:rPr>
        <w:t xml:space="preserve">采购部应对供方的监视和再评价进行策划。采购产品满足要求方面的供方绩效的监视结果作为供方再评价过程的输入。 </w:t>
      </w:r>
    </w:p>
    <w:p>
      <w:pPr>
        <w:numPr>
          <w:ilvl w:val="3"/>
          <w:numId w:val="2"/>
        </w:numPr>
        <w:bidi w:val="0"/>
        <w:rPr>
          <w:rFonts w:hint="eastAsia"/>
          <w:color w:val="auto"/>
          <w:lang w:val="en-US" w:eastAsia="zh-CN"/>
        </w:rPr>
      </w:pPr>
      <w:r>
        <w:rPr>
          <w:rFonts w:hint="eastAsia"/>
          <w:color w:val="auto"/>
          <w:lang w:val="en-US" w:eastAsia="zh-CN"/>
        </w:rPr>
        <w:t xml:space="preserve">采购部应在《采购控制程序》中明确规定不满足的采购要求和相应的有对应风险的采购产品的供方，并符合适用的法规要求。 </w:t>
      </w:r>
    </w:p>
    <w:p>
      <w:pPr>
        <w:numPr>
          <w:ilvl w:val="3"/>
          <w:numId w:val="2"/>
        </w:numPr>
        <w:bidi w:val="0"/>
        <w:rPr>
          <w:rFonts w:hint="eastAsia"/>
          <w:color w:val="auto"/>
          <w:lang w:val="en-US" w:eastAsia="zh-CN"/>
        </w:rPr>
      </w:pPr>
      <w:r>
        <w:rPr>
          <w:rFonts w:hint="eastAsia"/>
          <w:color w:val="auto"/>
          <w:lang w:val="en-US" w:eastAsia="zh-CN"/>
        </w:rPr>
        <w:t>采购部保留供方评价的结果和评价过程的记录、选择、监视和评价/再评价过程的记录或因这些活动所采取的任何必要措施的记录。</w:t>
      </w:r>
    </w:p>
    <w:p>
      <w:pPr>
        <w:numPr>
          <w:ilvl w:val="3"/>
          <w:numId w:val="2"/>
        </w:numPr>
        <w:bidi w:val="0"/>
        <w:rPr>
          <w:rFonts w:hint="eastAsia"/>
          <w:color w:val="auto"/>
          <w:lang w:val="en-US" w:eastAsia="zh-CN"/>
        </w:rPr>
      </w:pPr>
      <w:r>
        <w:rPr>
          <w:rFonts w:hint="eastAsia"/>
          <w:color w:val="auto"/>
          <w:lang w:val="en-US" w:eastAsia="zh-CN"/>
        </w:rPr>
        <w:t>主要原材料供应商，采购部在正式实施采购前，应当与其签订质量协议，明确双方所承担的质量责任。</w:t>
      </w:r>
    </w:p>
    <w:p>
      <w:pPr>
        <w:numPr>
          <w:ilvl w:val="3"/>
          <w:numId w:val="2"/>
        </w:numPr>
        <w:bidi w:val="0"/>
        <w:rPr>
          <w:rFonts w:hint="eastAsia"/>
          <w:color w:val="auto"/>
          <w:lang w:val="en-US" w:eastAsia="zh-CN"/>
        </w:rPr>
      </w:pPr>
      <w:r>
        <w:rPr>
          <w:rFonts w:hint="eastAsia"/>
          <w:color w:val="auto"/>
          <w:lang w:val="en-US" w:eastAsia="zh-CN"/>
        </w:rPr>
        <w:t>采购部应当建立采购记录，包括采购合同、原材料清单、供应商资质证明文件、质量标准、检验报告及验收标准等，并确保满足可追溯要求。</w:t>
      </w:r>
    </w:p>
    <w:p>
      <w:pPr>
        <w:numPr>
          <w:ilvl w:val="3"/>
          <w:numId w:val="2"/>
        </w:numPr>
        <w:bidi w:val="0"/>
        <w:rPr>
          <w:rFonts w:hint="default"/>
          <w:color w:val="auto"/>
          <w:lang w:val="en-US" w:eastAsia="zh-CN"/>
        </w:rPr>
      </w:pPr>
      <w:r>
        <w:rPr>
          <w:rFonts w:hint="default"/>
          <w:color w:val="auto"/>
          <w:lang w:val="en-US" w:eastAsia="zh-CN"/>
        </w:rPr>
        <w:t>采购部为</w:t>
      </w:r>
      <w:r>
        <w:rPr>
          <w:rFonts w:hint="eastAsia"/>
          <w:color w:val="auto"/>
          <w:lang w:val="en-US" w:eastAsia="zh-CN"/>
        </w:rPr>
        <w:t>供应商</w:t>
      </w:r>
      <w:r>
        <w:rPr>
          <w:rFonts w:hint="default"/>
          <w:color w:val="auto"/>
          <w:lang w:val="en-US" w:eastAsia="zh-CN"/>
        </w:rPr>
        <w:t>建立档案，包括</w:t>
      </w:r>
      <w:r>
        <w:rPr>
          <w:rFonts w:hint="eastAsia"/>
          <w:color w:val="auto"/>
          <w:lang w:val="en-US" w:eastAsia="zh-CN"/>
        </w:rPr>
        <w:t>采购</w:t>
      </w:r>
      <w:r>
        <w:rPr>
          <w:rFonts w:hint="default"/>
          <w:color w:val="auto"/>
          <w:lang w:val="en-US" w:eastAsia="zh-CN"/>
        </w:rPr>
        <w:t>合同或协议、</w:t>
      </w:r>
      <w:r>
        <w:rPr>
          <w:rFonts w:hint="eastAsia"/>
          <w:color w:val="auto"/>
          <w:lang w:val="en-US" w:eastAsia="zh-CN"/>
        </w:rPr>
        <w:t>采购</w:t>
      </w:r>
      <w:r>
        <w:rPr>
          <w:rFonts w:hint="default"/>
          <w:color w:val="auto"/>
          <w:lang w:val="en-US" w:eastAsia="zh-CN"/>
        </w:rPr>
        <w:t>产品清单、</w:t>
      </w:r>
      <w:r>
        <w:rPr>
          <w:rFonts w:hint="eastAsia"/>
          <w:color w:val="auto"/>
          <w:lang w:val="en-US" w:eastAsia="zh-CN"/>
        </w:rPr>
        <w:t>供应商</w:t>
      </w:r>
      <w:r>
        <w:rPr>
          <w:rFonts w:hint="default"/>
          <w:color w:val="auto"/>
          <w:lang w:val="en-US" w:eastAsia="zh-CN"/>
        </w:rPr>
        <w:t>资质证明文件、质量标准、验收准则、对</w:t>
      </w:r>
      <w:r>
        <w:rPr>
          <w:rFonts w:hint="eastAsia"/>
          <w:color w:val="auto"/>
          <w:lang w:val="en-US" w:eastAsia="zh-CN"/>
        </w:rPr>
        <w:t>供应商</w:t>
      </w:r>
      <w:r>
        <w:rPr>
          <w:rFonts w:hint="default"/>
          <w:color w:val="auto"/>
          <w:lang w:val="en-US" w:eastAsia="zh-CN"/>
        </w:rPr>
        <w:t>评价的结果和评价过程的记录、</w:t>
      </w:r>
      <w:r>
        <w:rPr>
          <w:rFonts w:hint="eastAsia"/>
          <w:color w:val="auto"/>
          <w:lang w:val="en-US" w:eastAsia="zh-CN"/>
        </w:rPr>
        <w:t>供应商</w:t>
      </w:r>
      <w:r>
        <w:rPr>
          <w:rFonts w:hint="default"/>
          <w:color w:val="auto"/>
          <w:lang w:val="en-US" w:eastAsia="zh-CN"/>
        </w:rPr>
        <w:t>定期审核报告等。</w:t>
      </w:r>
    </w:p>
    <w:p>
      <w:pPr>
        <w:numPr>
          <w:ilvl w:val="3"/>
          <w:numId w:val="2"/>
        </w:numPr>
        <w:bidi w:val="0"/>
        <w:rPr>
          <w:rFonts w:hint="eastAsia"/>
          <w:color w:val="auto"/>
          <w:lang w:val="en-US" w:eastAsia="zh-CN"/>
        </w:rPr>
      </w:pPr>
      <w:r>
        <w:rPr>
          <w:rFonts w:hint="eastAsia"/>
          <w:color w:val="auto"/>
          <w:lang w:val="en-US" w:eastAsia="zh-CN"/>
        </w:rPr>
        <w:t>外购的标准品、校准品、质控品、生产用或质控用血液的采购应满足可追溯要求。</w:t>
      </w:r>
    </w:p>
    <w:p>
      <w:pPr>
        <w:numPr>
          <w:ilvl w:val="3"/>
          <w:numId w:val="2"/>
        </w:numPr>
        <w:bidi w:val="0"/>
        <w:rPr>
          <w:rFonts w:hint="eastAsia"/>
          <w:color w:val="auto"/>
          <w:lang w:val="en-US" w:eastAsia="zh-CN"/>
        </w:rPr>
      </w:pPr>
      <w:r>
        <w:rPr>
          <w:rFonts w:hint="eastAsia"/>
          <w:color w:val="auto"/>
          <w:lang w:val="en-US" w:eastAsia="zh-CN"/>
        </w:rPr>
        <w:t>应当由企业或提供机构测定病原微生物及明确定值范围；应当对其来源地、定值范围、灭活状态、数量、保存、使用状态等信息有明确记录，并由专人负责。</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采购信息</w:t>
      </w:r>
    </w:p>
    <w:p>
      <w:pPr>
        <w:numPr>
          <w:ilvl w:val="3"/>
          <w:numId w:val="2"/>
        </w:numPr>
        <w:bidi w:val="0"/>
        <w:rPr>
          <w:rFonts w:hint="default"/>
          <w:color w:val="auto"/>
          <w:lang w:val="en-US" w:eastAsia="zh-CN"/>
        </w:rPr>
      </w:pPr>
      <w:r>
        <w:rPr>
          <w:rFonts w:hint="eastAsia"/>
          <w:color w:val="auto"/>
          <w:lang w:val="en-US" w:eastAsia="zh-CN"/>
        </w:rPr>
        <w:t>采购部应明确采购信息，清晰表述采购要求，包括采购物品类别、验收准则、规格型号、规程、图样等内容。</w:t>
      </w:r>
    </w:p>
    <w:p>
      <w:pPr>
        <w:numPr>
          <w:ilvl w:val="3"/>
          <w:numId w:val="2"/>
        </w:numPr>
        <w:bidi w:val="0"/>
        <w:rPr>
          <w:rFonts w:hint="default"/>
          <w:color w:val="auto"/>
          <w:lang w:val="en-US" w:eastAsia="zh-CN"/>
        </w:rPr>
      </w:pPr>
      <w:r>
        <w:rPr>
          <w:rFonts w:hint="default"/>
          <w:color w:val="auto"/>
          <w:lang w:val="en-US" w:eastAsia="zh-CN"/>
        </w:rPr>
        <w:t>适当时</w:t>
      </w:r>
      <w:r>
        <w:rPr>
          <w:rFonts w:hint="eastAsia"/>
          <w:color w:val="auto"/>
          <w:lang w:val="en-US" w:eastAsia="zh-CN"/>
        </w:rPr>
        <w:t>采购信息还</w:t>
      </w:r>
      <w:r>
        <w:rPr>
          <w:rFonts w:hint="default"/>
          <w:color w:val="auto"/>
          <w:lang w:val="en-US" w:eastAsia="zh-CN"/>
        </w:rPr>
        <w:t>应包括</w:t>
      </w:r>
      <w:r>
        <w:rPr>
          <w:rFonts w:hint="eastAsia"/>
          <w:color w:val="auto"/>
          <w:lang w:val="en-US" w:eastAsia="zh-CN"/>
        </w:rPr>
        <w:t>：</w:t>
      </w:r>
    </w:p>
    <w:p>
      <w:pPr>
        <w:pageBreakBefore w:val="0"/>
        <w:numPr>
          <w:ilvl w:val="0"/>
          <w:numId w:val="3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产品的名称，数量，交货期等。</w:t>
      </w:r>
    </w:p>
    <w:p>
      <w:pPr>
        <w:pageBreakBefore w:val="0"/>
        <w:numPr>
          <w:ilvl w:val="0"/>
          <w:numId w:val="3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产品规范;</w:t>
      </w:r>
      <w:r>
        <w:rPr>
          <w:rFonts w:hint="eastAsia" w:cs="Times New Roman"/>
          <w:color w:val="auto"/>
          <w:sz w:val="21"/>
          <w:szCs w:val="21"/>
          <w:highlight w:val="none"/>
          <w:lang w:val="en-US" w:eastAsia="zh-CN"/>
        </w:rPr>
        <w:t>。</w:t>
      </w:r>
    </w:p>
    <w:p>
      <w:pPr>
        <w:pageBreakBefore w:val="0"/>
        <w:numPr>
          <w:ilvl w:val="0"/>
          <w:numId w:val="34"/>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产品接受程序、过程和设备的要求</w:t>
      </w:r>
      <w:r>
        <w:rPr>
          <w:rFonts w:hint="eastAsia" w:cs="Times New Roman"/>
          <w:color w:val="auto"/>
          <w:sz w:val="21"/>
          <w:szCs w:val="21"/>
          <w:highlight w:val="none"/>
          <w:lang w:val="en-US" w:eastAsia="zh-CN"/>
        </w:rPr>
        <w:t>。</w:t>
      </w:r>
    </w:p>
    <w:p>
      <w:pPr>
        <w:pageBreakBefore w:val="0"/>
        <w:numPr>
          <w:ilvl w:val="0"/>
          <w:numId w:val="3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color w:val="auto"/>
          <w:highlight w:val="none"/>
          <w:lang w:val="en-US" w:eastAsia="zh-CN"/>
        </w:rPr>
      </w:pPr>
      <w:r>
        <w:rPr>
          <w:rFonts w:hint="eastAsia" w:ascii="Times New Roman" w:hAnsi="Times New Roman" w:eastAsia="宋体" w:cs="Times New Roman"/>
          <w:color w:val="auto"/>
          <w:sz w:val="21"/>
          <w:szCs w:val="21"/>
          <w:highlight w:val="none"/>
          <w:lang w:val="en-US" w:eastAsia="zh-CN"/>
        </w:rPr>
        <w:t>供方人员资质的要求</w:t>
      </w:r>
      <w:r>
        <w:rPr>
          <w:rFonts w:hint="eastAsia" w:cs="Times New Roman"/>
          <w:color w:val="auto"/>
          <w:sz w:val="21"/>
          <w:szCs w:val="21"/>
          <w:highlight w:val="none"/>
          <w:lang w:val="en-US" w:eastAsia="zh-CN"/>
        </w:rPr>
        <w:t>。</w:t>
      </w:r>
    </w:p>
    <w:p>
      <w:pPr>
        <w:pageBreakBefore w:val="0"/>
        <w:numPr>
          <w:ilvl w:val="0"/>
          <w:numId w:val="3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color w:val="auto"/>
          <w:highlight w:val="none"/>
          <w:lang w:val="en-US" w:eastAsia="zh-CN"/>
        </w:rPr>
      </w:pPr>
      <w:r>
        <w:rPr>
          <w:rFonts w:hint="eastAsia"/>
          <w:color w:val="auto"/>
          <w:highlight w:val="none"/>
          <w:lang w:val="en-US" w:eastAsia="zh-CN"/>
        </w:rPr>
        <w:t xml:space="preserve">质量管理体系的要求。 </w:t>
      </w:r>
    </w:p>
    <w:p>
      <w:pPr>
        <w:numPr>
          <w:ilvl w:val="3"/>
          <w:numId w:val="2"/>
        </w:numPr>
        <w:bidi w:val="0"/>
        <w:rPr>
          <w:rFonts w:hint="default"/>
          <w:color w:val="auto"/>
          <w:lang w:val="en-US" w:eastAsia="zh-CN"/>
        </w:rPr>
      </w:pPr>
      <w:r>
        <w:rPr>
          <w:rFonts w:hint="default"/>
          <w:color w:val="auto"/>
          <w:lang w:val="en-US" w:eastAsia="zh-CN"/>
        </w:rPr>
        <w:t>在与供方沟通前，</w:t>
      </w:r>
      <w:r>
        <w:rPr>
          <w:rFonts w:hint="eastAsia"/>
          <w:color w:val="auto"/>
          <w:lang w:val="en-US" w:eastAsia="zh-CN"/>
        </w:rPr>
        <w:t>采购部</w:t>
      </w:r>
      <w:r>
        <w:rPr>
          <w:rFonts w:hint="default"/>
          <w:color w:val="auto"/>
          <w:lang w:val="en-US" w:eastAsia="zh-CN"/>
        </w:rPr>
        <w:t>应确保所规定的采购要求是充分与适宜的。</w:t>
      </w:r>
      <w:r>
        <w:rPr>
          <w:rFonts w:hint="eastAsia"/>
          <w:color w:val="auto"/>
          <w:lang w:val="en-US" w:eastAsia="zh-CN"/>
        </w:rPr>
        <w:t>适用时，采购信息应包括书面协议，该协议明确了在影响采购产品满足规定的采购要求的能力的任何更改实施前，供方应将采购产品方面的更改通知采购方。</w:t>
      </w:r>
    </w:p>
    <w:p>
      <w:pPr>
        <w:numPr>
          <w:ilvl w:val="3"/>
          <w:numId w:val="2"/>
        </w:numPr>
        <w:bidi w:val="0"/>
        <w:rPr>
          <w:rFonts w:hint="default"/>
          <w:color w:val="auto"/>
          <w:lang w:val="en-US" w:eastAsia="zh-CN"/>
        </w:rPr>
      </w:pPr>
      <w:r>
        <w:rPr>
          <w:rFonts w:hint="default"/>
          <w:color w:val="auto"/>
          <w:lang w:val="en-US" w:eastAsia="zh-CN"/>
        </w:rPr>
        <w:t>采购记录应能够满足可追溯的要求，采购部按照可追溯性要求的范围和程度，保持相关的采购信息，以满足《标识与可追溯性控制程序》的产品追溯性要求。</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产品的验证</w:t>
      </w:r>
    </w:p>
    <w:p>
      <w:pPr>
        <w:numPr>
          <w:ilvl w:val="3"/>
          <w:numId w:val="2"/>
        </w:numPr>
        <w:bidi w:val="0"/>
        <w:rPr>
          <w:rFonts w:hint="default"/>
          <w:color w:val="auto"/>
          <w:lang w:val="en-US" w:eastAsia="zh-CN"/>
        </w:rPr>
      </w:pPr>
      <w:r>
        <w:rPr>
          <w:rFonts w:hint="eastAsia"/>
          <w:color w:val="auto"/>
          <w:lang w:val="en-US" w:eastAsia="zh-CN"/>
        </w:rPr>
        <w:t>质量部按照制定的采购物品的质量要求对每批采购物品进行来料检验或验证，确保满足生产要求。</w:t>
      </w:r>
    </w:p>
    <w:p>
      <w:pPr>
        <w:numPr>
          <w:ilvl w:val="3"/>
          <w:numId w:val="2"/>
        </w:numPr>
        <w:bidi w:val="0"/>
        <w:rPr>
          <w:rFonts w:hint="default"/>
          <w:color w:val="auto"/>
          <w:lang w:val="en-US" w:eastAsia="zh-CN"/>
        </w:rPr>
      </w:pPr>
      <w:r>
        <w:rPr>
          <w:rFonts w:hint="eastAsia"/>
          <w:color w:val="auto"/>
          <w:lang w:val="en-US" w:eastAsia="zh-CN"/>
        </w:rPr>
        <w:t>采购产品接收后</w:t>
      </w:r>
      <w:r>
        <w:rPr>
          <w:rFonts w:hint="default"/>
          <w:color w:val="auto"/>
          <w:lang w:val="en-US" w:eastAsia="zh-CN"/>
        </w:rPr>
        <w:t>，质量部质检员</w:t>
      </w:r>
      <w:r>
        <w:rPr>
          <w:rFonts w:hint="eastAsia"/>
          <w:color w:val="auto"/>
          <w:lang w:val="en-US" w:eastAsia="zh-CN"/>
        </w:rPr>
        <w:t>实施进货检验，</w:t>
      </w:r>
      <w:r>
        <w:rPr>
          <w:rFonts w:hint="default"/>
          <w:color w:val="auto"/>
          <w:lang w:val="en-US" w:eastAsia="zh-CN"/>
        </w:rPr>
        <w:t>确保满足</w:t>
      </w:r>
      <w:r>
        <w:rPr>
          <w:rFonts w:hint="eastAsia"/>
          <w:color w:val="auto"/>
          <w:lang w:val="en-US" w:eastAsia="zh-CN"/>
        </w:rPr>
        <w:t>采购</w:t>
      </w:r>
      <w:r>
        <w:rPr>
          <w:rFonts w:hint="default"/>
          <w:color w:val="auto"/>
          <w:lang w:val="en-US" w:eastAsia="zh-CN"/>
        </w:rPr>
        <w:t>产品的技术要求。</w:t>
      </w:r>
    </w:p>
    <w:p>
      <w:pPr>
        <w:numPr>
          <w:ilvl w:val="3"/>
          <w:numId w:val="2"/>
        </w:numPr>
        <w:bidi w:val="0"/>
        <w:rPr>
          <w:rFonts w:hint="default"/>
          <w:color w:val="auto"/>
          <w:lang w:val="en-US" w:eastAsia="zh-CN"/>
        </w:rPr>
      </w:pPr>
      <w:r>
        <w:rPr>
          <w:rFonts w:hint="eastAsia"/>
          <w:color w:val="auto"/>
          <w:lang w:val="en-US" w:eastAsia="zh-CN"/>
        </w:rPr>
        <w:t>若采购产品的采购、检验、使用等部门觉察到采购产品的任何更改，应第一时间通知质量部及采购部，立刻停止使用，并由质量部组织研发部、采购部等部门确定这些更改是否影响产品实现过程或医疗器械最终产品。若采购产品的验证活动拟在供方的现场实施，应在采购信息中对拟验证的活动和产品放行方法作出规定。</w:t>
      </w:r>
    </w:p>
    <w:p>
      <w:pPr>
        <w:numPr>
          <w:ilvl w:val="3"/>
          <w:numId w:val="2"/>
        </w:numPr>
        <w:bidi w:val="0"/>
        <w:rPr>
          <w:rFonts w:hint="default"/>
          <w:color w:val="auto"/>
          <w:lang w:val="en-US" w:eastAsia="zh-CN"/>
        </w:rPr>
      </w:pPr>
      <w:r>
        <w:rPr>
          <w:rFonts w:hint="default"/>
          <w:color w:val="auto"/>
          <w:lang w:val="en-US" w:eastAsia="zh-CN"/>
        </w:rPr>
        <w:t>采购产品的验证记录应予以保持。</w:t>
      </w:r>
    </w:p>
    <w:p>
      <w:pPr>
        <w:pStyle w:val="3"/>
        <w:numPr>
          <w:ilvl w:val="1"/>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生产和</w:t>
      </w:r>
      <w:r>
        <w:rPr>
          <w:rFonts w:hint="default"/>
          <w:color w:val="auto"/>
          <w:lang w:val="en-US" w:eastAsia="zh-CN"/>
        </w:rPr>
        <w:t>服务</w:t>
      </w:r>
      <w:r>
        <w:rPr>
          <w:rFonts w:hint="default" w:cs="Times New Roman"/>
          <w:color w:val="auto"/>
          <w:sz w:val="21"/>
          <w:szCs w:val="21"/>
          <w:highlight w:val="none"/>
          <w:lang w:val="en-US" w:eastAsia="zh-CN"/>
        </w:rPr>
        <w:t>提供</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生产和服务提供的控制</w:t>
      </w:r>
    </w:p>
    <w:p>
      <w:pPr>
        <w:bidi w:val="0"/>
        <w:rPr>
          <w:rFonts w:hint="eastAsia"/>
          <w:color w:val="auto"/>
        </w:rPr>
      </w:pPr>
      <w:r>
        <w:rPr>
          <w:rFonts w:hint="eastAsia"/>
          <w:color w:val="auto"/>
          <w:lang w:val="en-US" w:eastAsia="zh-CN"/>
        </w:rPr>
        <w:t>生产部</w:t>
      </w:r>
      <w:r>
        <w:rPr>
          <w:rFonts w:hint="eastAsia"/>
          <w:color w:val="auto"/>
        </w:rPr>
        <w:t>制定《生产过程控制程序》，按照建立的质量管理体系进行生产，以保证所有产品的生产和服务提供都是在受控条件下进行的。产品符合强制性标准和经注册或者备案的产品技术要求。公司确保受控条件包括以下方面：</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编制生产工艺规程、作业指导书等，明确关键工序和特殊过程，对关键工序和特殊过程的重要参数进行验证或确认。</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根据体外诊断试剂的生产过程控制，确定在相应级别的洁净室（区）内进行生产的过程，避免生产中的污染。</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在生产过程中需要对原材料、中间品等进行清洁处理的，应当明确清洁方法和要求，并对清洁效果进行验证。</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与产品使用表面直接接触的气体，其对产品的影响程度应当进行验证和控制，以适应所生产产品的要求。</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生产物料</w:t>
      </w:r>
      <w:r>
        <w:rPr>
          <w:rFonts w:hint="default" w:ascii="Times New Roman" w:hAnsi="Times New Roman" w:eastAsia="宋体" w:cs="Times New Roman"/>
          <w:color w:val="auto"/>
          <w:sz w:val="21"/>
          <w:szCs w:val="21"/>
          <w:highlight w:val="none"/>
          <w:lang w:val="en-US" w:eastAsia="zh-CN"/>
        </w:rPr>
        <w:t>应当按照物料的性状和储存要求进行分类存放管理</w:t>
      </w:r>
      <w:r>
        <w:rPr>
          <w:rFonts w:hint="eastAsia" w:ascii="Times New Roman" w:hAnsi="Times New Roman" w:eastAsia="宋体" w:cs="Times New Roman"/>
          <w:color w:val="auto"/>
          <w:sz w:val="21"/>
          <w:szCs w:val="21"/>
          <w:highlight w:val="none"/>
          <w:lang w:val="en-US" w:eastAsia="zh-CN"/>
        </w:rPr>
        <w:t>，有中间品的</w:t>
      </w:r>
      <w:r>
        <w:rPr>
          <w:rFonts w:hint="default" w:ascii="Times New Roman" w:hAnsi="Times New Roman" w:eastAsia="宋体" w:cs="Times New Roman"/>
          <w:color w:val="auto"/>
          <w:sz w:val="21"/>
          <w:szCs w:val="21"/>
          <w:highlight w:val="none"/>
          <w:lang w:val="en-US" w:eastAsia="zh-CN"/>
        </w:rPr>
        <w:t>应当明确规定中间品的储存条件和期限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在规定的使用期限内、按照先进先出的原则使用，无规定使用期限的，应当根据物料的稳定性数据确定储存期限。储存期内发现存储条件变化且可能影响产品质量时，应及时进行复验。</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提供各种要求使用的设备，并采取适当的手段对设备进行维护，以保持过程能力</w:t>
      </w:r>
      <w:r>
        <w:rPr>
          <w:rFonts w:hint="eastAsia" w:ascii="Times New Roman" w:hAnsi="Times New Roman" w:eastAsia="宋体" w:cs="Times New Roman"/>
          <w:color w:val="auto"/>
          <w:sz w:val="21"/>
          <w:szCs w:val="21"/>
          <w:highlight w:val="none"/>
          <w:lang w:val="en-US" w:eastAsia="zh-CN"/>
        </w:rPr>
        <w:t>。</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一定周期后，应当对关键项目进行再验证。当影响产品质量的主要因素，如工艺、质量控制方法、主要原辅料、主要生产设备等需要开展重新验证的条件发生改变时，应当进行相关内容的重新验证。研发部根据不同产品特性提出验证的时间。</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根据生产工艺特点对环境进行监测，并保存记录。</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进入洁净室（区）的物品应当按程序进行净化处理。</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建立</w:t>
      </w:r>
      <w:r>
        <w:rPr>
          <w:rFonts w:hint="eastAsia" w:ascii="Times New Roman" w:hAnsi="Times New Roman" w:eastAsia="宋体" w:cs="Times New Roman"/>
          <w:color w:val="auto"/>
          <w:sz w:val="21"/>
          <w:szCs w:val="21"/>
          <w:highlight w:val="none"/>
          <w:lang w:val="en-US" w:eastAsia="zh-CN"/>
        </w:rPr>
        <w:t>清场的管理规定，不同品种体外诊断试剂产品的生产应当做到有效隔离，前一道工艺结束后或前一种产品生产结束后必须进行清场，确认合格后才可以入场进行其他生产，，以避免相互混淆和污染，并保存清场记录。有数条包装线同时进行包装时，应当采取隔离或其他有效防止混淆的措施。</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体外诊断试剂产品使用的相关的配制和分装器具必须专用，使用后进行清洗、干燥等洁净处理。</w:t>
      </w:r>
    </w:p>
    <w:p>
      <w:pPr>
        <w:pageBreakBefore w:val="0"/>
        <w:numPr>
          <w:ilvl w:val="0"/>
          <w:numId w:val="3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对放行、交付和交付后活动的实施。</w:t>
      </w:r>
    </w:p>
    <w:p>
      <w:pPr>
        <w:bidi w:val="0"/>
        <w:rPr>
          <w:color w:val="auto"/>
        </w:rPr>
      </w:pPr>
      <w:r>
        <w:rPr>
          <w:rFonts w:hint="default"/>
          <w:color w:val="auto"/>
          <w:lang w:val="en-US" w:eastAsia="zh-CN"/>
        </w:rPr>
        <w:t>洁净</w:t>
      </w:r>
      <w:r>
        <w:rPr>
          <w:color w:val="auto"/>
        </w:rPr>
        <w:t>生产车间停产超过十二个月，重新组织生产前应当对生产环境及设施设备、主要原辅材料、关键工序、检验设备及质量控制方法等重新进行验证。不足十二个月时，如有必要，企业也应当重新对生产环境和设施设备进行验证。</w:t>
      </w:r>
    </w:p>
    <w:p>
      <w:pPr>
        <w:bidi w:val="0"/>
        <w:rPr>
          <w:color w:val="auto"/>
        </w:rPr>
      </w:pPr>
      <w:r>
        <w:rPr>
          <w:rFonts w:hint="eastAsia"/>
          <w:color w:val="auto"/>
        </w:rPr>
        <w:t>公司建立并保持每一批产品的生产记录，以提供条款</w:t>
      </w:r>
      <w:r>
        <w:rPr>
          <w:color w:val="auto"/>
        </w:rPr>
        <w:t>7.5.3</w:t>
      </w:r>
      <w:r>
        <w:rPr>
          <w:rFonts w:hint="eastAsia"/>
          <w:color w:val="auto"/>
        </w:rPr>
        <w:t>规定的可追溯性范围和程度的记录，</w:t>
      </w:r>
      <w:r>
        <w:rPr>
          <w:rFonts w:hint="eastAsia"/>
          <w:color w:val="auto"/>
          <w:lang w:val="en-US" w:eastAsia="zh-CN"/>
        </w:rPr>
        <w:t>并满足可追溯性要求。</w:t>
      </w:r>
      <w:r>
        <w:rPr>
          <w:rFonts w:hint="eastAsia"/>
          <w:color w:val="auto"/>
        </w:rPr>
        <w:t>生产记录应当包括：产品名称、规格型号、原材料批号、生产批号或产品编号、生产日期、数量、主要设备、工艺参数、操作人员</w:t>
      </w:r>
      <w:r>
        <w:rPr>
          <w:rFonts w:hint="eastAsia"/>
          <w:color w:val="auto"/>
          <w:lang w:val="en-US" w:eastAsia="zh-CN"/>
        </w:rPr>
        <w:t>以及</w:t>
      </w:r>
      <w:r>
        <w:rPr>
          <w:color w:val="auto"/>
        </w:rPr>
        <w:t>生产过程所用的原材料、生产过程、生产环境</w:t>
      </w:r>
      <w:r>
        <w:rPr>
          <w:rFonts w:hint="eastAsia"/>
          <w:color w:val="auto"/>
        </w:rPr>
        <w:t>等内容。每批生产记录交由质量部审核并经管理者代表批准。记录应能追溯到每一生产批。</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产品的清洁</w:t>
      </w:r>
    </w:p>
    <w:p>
      <w:pPr>
        <w:bidi w:val="0"/>
        <w:rPr>
          <w:rFonts w:hint="default" w:ascii="Times New Roman" w:hAnsi="Times New Roman" w:eastAsia="宋体" w:cs="Times New Roman"/>
          <w:color w:val="auto"/>
          <w:sz w:val="21"/>
          <w:szCs w:val="21"/>
          <w:highlight w:val="none"/>
          <w:lang w:val="en-US" w:eastAsia="zh-CN"/>
        </w:rPr>
      </w:pPr>
      <w:r>
        <w:rPr>
          <w:rFonts w:hint="eastAsia"/>
          <w:color w:val="auto"/>
          <w:lang w:val="en-US" w:eastAsia="zh-CN"/>
        </w:rPr>
        <w:t>研发部</w:t>
      </w:r>
      <w:r>
        <w:rPr>
          <w:rFonts w:hint="default"/>
          <w:color w:val="auto"/>
        </w:rPr>
        <w:t>制定《工作环境与产品清洁控制程序》，对产品的清洁和污染的控制</w:t>
      </w:r>
      <w:r>
        <w:rPr>
          <w:rFonts w:hint="eastAsia"/>
          <w:color w:val="auto"/>
          <w:lang w:val="en-US" w:eastAsia="zh-CN"/>
        </w:rPr>
        <w:t>进行规定</w:t>
      </w:r>
      <w:r>
        <w:rPr>
          <w:rFonts w:hint="default"/>
          <w:color w:val="auto"/>
        </w:rPr>
        <w:t>。</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安装活动</w:t>
      </w:r>
    </w:p>
    <w:p>
      <w:pPr>
        <w:spacing w:before="0" w:line="360" w:lineRule="auto"/>
        <w:ind w:left="0" w:right="50" w:firstLine="420" w:firstLineChars="20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0"/>
          <w:sz w:val="21"/>
          <w:szCs w:val="21"/>
          <w:highlight w:val="none"/>
        </w:rPr>
        <w:t>适当时，</w:t>
      </w:r>
      <w:r>
        <w:rPr>
          <w:rFonts w:hint="eastAsia" w:cs="Times New Roman"/>
          <w:color w:val="auto"/>
          <w:spacing w:val="0"/>
          <w:sz w:val="21"/>
          <w:szCs w:val="21"/>
          <w:highlight w:val="none"/>
          <w:lang w:val="en-US" w:eastAsia="zh-CN"/>
        </w:rPr>
        <w:t>研发部编制</w:t>
      </w:r>
      <w:r>
        <w:rPr>
          <w:rFonts w:hint="eastAsia" w:ascii="Times New Roman" w:hAnsi="Times New Roman" w:eastAsia="宋体" w:cs="Times New Roman"/>
          <w:color w:val="auto"/>
          <w:spacing w:val="0"/>
          <w:sz w:val="21"/>
          <w:szCs w:val="21"/>
          <w:highlight w:val="none"/>
        </w:rPr>
        <w:t>医疗器械安装</w:t>
      </w:r>
      <w:r>
        <w:rPr>
          <w:rFonts w:hint="eastAsia" w:cs="Times New Roman"/>
          <w:color w:val="auto"/>
          <w:spacing w:val="0"/>
          <w:sz w:val="21"/>
          <w:szCs w:val="21"/>
          <w:highlight w:val="none"/>
          <w:lang w:val="en-US" w:eastAsia="zh-CN"/>
        </w:rPr>
        <w:t>作业指导书，规定安装</w:t>
      </w:r>
      <w:r>
        <w:rPr>
          <w:rFonts w:hint="eastAsia" w:ascii="Times New Roman" w:hAnsi="Times New Roman" w:eastAsia="宋体" w:cs="Times New Roman"/>
          <w:color w:val="auto"/>
          <w:spacing w:val="0"/>
          <w:sz w:val="21"/>
          <w:szCs w:val="21"/>
          <w:highlight w:val="none"/>
        </w:rPr>
        <w:t>要求和安装验证接收准则</w:t>
      </w:r>
      <w:r>
        <w:rPr>
          <w:rFonts w:hint="eastAsia" w:cs="Times New Roman"/>
          <w:color w:val="auto"/>
          <w:spacing w:val="0"/>
          <w:sz w:val="21"/>
          <w:szCs w:val="21"/>
          <w:highlight w:val="none"/>
          <w:lang w:val="en-US" w:eastAsia="zh-CN"/>
        </w:rPr>
        <w:t>等内容</w:t>
      </w:r>
      <w:r>
        <w:rPr>
          <w:rFonts w:hint="eastAsia" w:cs="Times New Roman"/>
          <w:color w:val="auto"/>
          <w:spacing w:val="0"/>
          <w:sz w:val="21"/>
          <w:szCs w:val="21"/>
          <w:highlight w:val="none"/>
          <w:lang w:eastAsia="zh-CN"/>
        </w:rPr>
        <w:t>，</w:t>
      </w:r>
      <w:r>
        <w:rPr>
          <w:rFonts w:hint="eastAsia" w:cs="Times New Roman"/>
          <w:color w:val="auto"/>
          <w:spacing w:val="0"/>
          <w:sz w:val="21"/>
          <w:szCs w:val="21"/>
          <w:highlight w:val="none"/>
          <w:lang w:val="en-US" w:eastAsia="zh-CN"/>
        </w:rPr>
        <w:t>销售部按照安装作业指导书实施安装及验证，并保留</w:t>
      </w:r>
      <w:r>
        <w:rPr>
          <w:rFonts w:hint="eastAsia" w:ascii="Times New Roman" w:hAnsi="Times New Roman" w:eastAsia="宋体" w:cs="Times New Roman"/>
          <w:color w:val="auto"/>
          <w:spacing w:val="0"/>
          <w:sz w:val="21"/>
          <w:szCs w:val="21"/>
          <w:highlight w:val="none"/>
        </w:rPr>
        <w:t>安装和安装验证的记录。</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 xml:space="preserve"> 服务活动</w:t>
      </w:r>
    </w:p>
    <w:p>
      <w:pPr>
        <w:bidi w:val="0"/>
        <w:rPr>
          <w:rFonts w:hint="default"/>
          <w:color w:val="auto"/>
        </w:rPr>
      </w:pPr>
      <w:r>
        <w:rPr>
          <w:rFonts w:hint="eastAsia"/>
          <w:color w:val="auto"/>
          <w:lang w:val="en-US" w:eastAsia="zh-CN"/>
        </w:rPr>
        <w:t>当</w:t>
      </w:r>
      <w:r>
        <w:rPr>
          <w:rFonts w:hint="eastAsia"/>
          <w:color w:val="auto"/>
        </w:rPr>
        <w:t>对医疗器械服务有规定的要求</w:t>
      </w:r>
      <w:r>
        <w:rPr>
          <w:rFonts w:hint="default"/>
          <w:color w:val="auto"/>
          <w:lang w:val="en-US" w:eastAsia="zh-CN"/>
        </w:rPr>
        <w:t>时，销售部制定</w:t>
      </w:r>
      <w:r>
        <w:rPr>
          <w:rFonts w:hint="eastAsia"/>
          <w:color w:val="auto"/>
        </w:rPr>
        <w:t>《与顾</w:t>
      </w:r>
      <w:r>
        <w:rPr>
          <w:rFonts w:hint="default"/>
          <w:color w:val="auto"/>
        </w:rPr>
        <w:t>客有关的过程控制程序》</w:t>
      </w:r>
      <w:r>
        <w:rPr>
          <w:rFonts w:hint="default"/>
          <w:color w:val="auto"/>
          <w:lang w:eastAsia="zh-CN"/>
        </w:rPr>
        <w:t>，</w:t>
      </w:r>
      <w:r>
        <w:rPr>
          <w:rFonts w:hint="default"/>
          <w:color w:val="auto"/>
          <w:lang w:val="en-US" w:eastAsia="zh-CN"/>
        </w:rPr>
        <w:t>对</w:t>
      </w:r>
      <w:r>
        <w:rPr>
          <w:color w:val="auto"/>
        </w:rPr>
        <w:t>服务程序、所涉及的材料和所涉及的测量</w:t>
      </w:r>
      <w:r>
        <w:rPr>
          <w:rFonts w:hint="default"/>
          <w:color w:val="auto"/>
          <w:lang w:val="en-US" w:eastAsia="zh-CN"/>
        </w:rPr>
        <w:t>进行</w:t>
      </w:r>
      <w:r>
        <w:rPr>
          <w:rFonts w:hint="default"/>
          <w:color w:val="auto"/>
        </w:rPr>
        <w:t>规定</w:t>
      </w:r>
      <w:r>
        <w:rPr>
          <w:color w:val="auto"/>
        </w:rPr>
        <w:t>，用于实施服务活动并验证产品要求得到满足</w:t>
      </w:r>
      <w:r>
        <w:rPr>
          <w:rFonts w:hint="default"/>
          <w:color w:val="auto"/>
        </w:rPr>
        <w:t xml:space="preserve">。 </w:t>
      </w:r>
    </w:p>
    <w:p>
      <w:pPr>
        <w:bidi w:val="0"/>
        <w:rPr>
          <w:color w:val="auto"/>
        </w:rPr>
      </w:pPr>
      <w:r>
        <w:rPr>
          <w:rFonts w:hint="eastAsia"/>
          <w:color w:val="auto"/>
          <w:lang w:val="en-US" w:eastAsia="zh-CN"/>
        </w:rPr>
        <w:t>销售部定期对</w:t>
      </w:r>
      <w:r>
        <w:rPr>
          <w:rFonts w:hint="eastAsia"/>
          <w:color w:val="auto"/>
        </w:rPr>
        <w:t>服务活动记录</w:t>
      </w:r>
      <w:r>
        <w:rPr>
          <w:rFonts w:hint="eastAsia"/>
          <w:color w:val="auto"/>
          <w:lang w:val="en-US" w:eastAsia="zh-CN"/>
        </w:rPr>
        <w:t>进行分析</w:t>
      </w:r>
      <w:r>
        <w:rPr>
          <w:rFonts w:hint="eastAsia"/>
          <w:color w:val="auto"/>
        </w:rPr>
        <w:t>：</w:t>
      </w:r>
    </w:p>
    <w:p>
      <w:pPr>
        <w:pageBreakBefore w:val="0"/>
        <w:numPr>
          <w:ilvl w:val="0"/>
          <w:numId w:val="3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以确定该信息是否作为投诉进行处置；</w:t>
      </w:r>
    </w:p>
    <w:p>
      <w:pPr>
        <w:pageBreakBefore w:val="0"/>
        <w:numPr>
          <w:ilvl w:val="0"/>
          <w:numId w:val="36"/>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适当时，为改进过程形成输入。</w:t>
      </w:r>
    </w:p>
    <w:p>
      <w:pPr>
        <w:bidi w:val="0"/>
        <w:rPr>
          <w:rFonts w:hint="default"/>
          <w:color w:val="auto"/>
        </w:rPr>
      </w:pPr>
      <w:r>
        <w:rPr>
          <w:rFonts w:hint="eastAsia"/>
          <w:color w:val="auto"/>
        </w:rPr>
        <w:t>服务活动的记录</w:t>
      </w:r>
      <w:r>
        <w:rPr>
          <w:rFonts w:hint="eastAsia"/>
          <w:color w:val="auto"/>
          <w:lang w:val="en-US" w:eastAsia="zh-CN"/>
        </w:rPr>
        <w:t>由销售部保留。</w:t>
      </w:r>
    </w:p>
    <w:p>
      <w:pPr>
        <w:numPr>
          <w:ilvl w:val="2"/>
          <w:numId w:val="2"/>
        </w:numPr>
        <w:bidi w:val="0"/>
        <w:ind w:left="0" w:leftChars="0" w:firstLine="0" w:firstLineChars="0"/>
        <w:rPr>
          <w:rFonts w:hint="default"/>
          <w:color w:val="auto"/>
          <w:highlight w:val="none"/>
          <w:lang w:val="en-US" w:eastAsia="zh-CN"/>
        </w:rPr>
      </w:pPr>
      <w:r>
        <w:rPr>
          <w:rFonts w:hint="default" w:cs="Times New Roman"/>
          <w:color w:val="auto"/>
          <w:sz w:val="21"/>
          <w:szCs w:val="21"/>
          <w:highlight w:val="none"/>
          <w:lang w:val="en-US" w:eastAsia="zh-CN"/>
        </w:rPr>
        <w:t>生产和服务提供过程的确认</w:t>
      </w:r>
    </w:p>
    <w:p>
      <w:pPr>
        <w:numPr>
          <w:ilvl w:val="3"/>
          <w:numId w:val="2"/>
        </w:numPr>
        <w:bidi w:val="0"/>
        <w:rPr>
          <w:rFonts w:hint="default"/>
          <w:color w:val="auto"/>
          <w:lang w:val="en-US" w:eastAsia="zh-CN"/>
        </w:rPr>
      </w:pPr>
      <w:r>
        <w:rPr>
          <w:rFonts w:hint="default"/>
          <w:color w:val="auto"/>
          <w:lang w:val="en-US" w:eastAsia="zh-CN"/>
        </w:rPr>
        <w:t>研发部制定《过程确认控制程序》，当生产和服务提供过程的输出不能由后续的监视或测量加以验证时，研发部</w:t>
      </w:r>
      <w:r>
        <w:rPr>
          <w:rFonts w:hint="eastAsia"/>
          <w:color w:val="auto"/>
          <w:lang w:val="en-US" w:eastAsia="zh-CN"/>
        </w:rPr>
        <w:t>在设计转换阶段</w:t>
      </w:r>
      <w:r>
        <w:rPr>
          <w:rFonts w:hint="default"/>
          <w:color w:val="auto"/>
          <w:lang w:val="en-US" w:eastAsia="zh-CN"/>
        </w:rPr>
        <w:t>对任何这样的</w:t>
      </w:r>
      <w:r>
        <w:rPr>
          <w:rFonts w:hint="eastAsia"/>
          <w:color w:val="auto"/>
          <w:lang w:val="en-US" w:eastAsia="zh-CN"/>
        </w:rPr>
        <w:t>特殊</w:t>
      </w:r>
      <w:r>
        <w:rPr>
          <w:rFonts w:hint="default"/>
          <w:color w:val="auto"/>
          <w:lang w:val="en-US" w:eastAsia="zh-CN"/>
        </w:rPr>
        <w:t>过程</w:t>
      </w:r>
      <w:r>
        <w:rPr>
          <w:rFonts w:hint="eastAsia"/>
          <w:color w:val="auto"/>
          <w:lang w:val="en-US" w:eastAsia="zh-CN"/>
        </w:rPr>
        <w:t>进行</w:t>
      </w:r>
      <w:r>
        <w:rPr>
          <w:rFonts w:hint="default"/>
          <w:color w:val="auto"/>
          <w:lang w:val="en-US" w:eastAsia="zh-CN"/>
        </w:rPr>
        <w:t>确认</w:t>
      </w:r>
      <w:r>
        <w:rPr>
          <w:rFonts w:hint="eastAsia"/>
          <w:color w:val="auto"/>
          <w:lang w:val="en-US" w:eastAsia="zh-CN"/>
        </w:rPr>
        <w:t>，并保存记录，包括确认方案，确认方法、操作人员、结果评价等内容。生产部按照首次确认的要求对</w:t>
      </w:r>
      <w:r>
        <w:rPr>
          <w:rFonts w:hint="default"/>
          <w:color w:val="auto"/>
          <w:lang w:val="en-US" w:eastAsia="zh-CN"/>
        </w:rPr>
        <w:t>任何这样的</w:t>
      </w:r>
      <w:r>
        <w:rPr>
          <w:rFonts w:hint="eastAsia"/>
          <w:color w:val="auto"/>
          <w:lang w:val="en-US" w:eastAsia="zh-CN"/>
        </w:rPr>
        <w:t>特殊</w:t>
      </w:r>
      <w:r>
        <w:rPr>
          <w:rFonts w:hint="default"/>
          <w:color w:val="auto"/>
          <w:lang w:val="en-US" w:eastAsia="zh-CN"/>
        </w:rPr>
        <w:t>过程</w:t>
      </w:r>
      <w:r>
        <w:rPr>
          <w:rFonts w:hint="eastAsia"/>
          <w:color w:val="auto"/>
          <w:lang w:val="en-US" w:eastAsia="zh-CN"/>
        </w:rPr>
        <w:t>进行再</w:t>
      </w:r>
      <w:r>
        <w:rPr>
          <w:rFonts w:hint="default"/>
          <w:color w:val="auto"/>
          <w:lang w:val="en-US" w:eastAsia="zh-CN"/>
        </w:rPr>
        <w:t>确认</w:t>
      </w:r>
      <w:r>
        <w:rPr>
          <w:rFonts w:hint="eastAsia"/>
          <w:color w:val="auto"/>
          <w:lang w:val="en-US" w:eastAsia="zh-CN"/>
        </w:rPr>
        <w:t>，并保存再</w:t>
      </w:r>
      <w:r>
        <w:rPr>
          <w:rFonts w:hint="default"/>
          <w:color w:val="auto"/>
          <w:lang w:val="en-US" w:eastAsia="zh-CN"/>
        </w:rPr>
        <w:t>确认</w:t>
      </w:r>
      <w:r>
        <w:rPr>
          <w:rFonts w:hint="eastAsia"/>
          <w:color w:val="auto"/>
          <w:lang w:val="en-US" w:eastAsia="zh-CN"/>
        </w:rPr>
        <w:t>的记录，包括再确认方案，再确认方法、操作人员、结果评价等内容。</w:t>
      </w:r>
      <w:r>
        <w:rPr>
          <w:rFonts w:hint="default"/>
          <w:color w:val="auto"/>
          <w:lang w:val="en-US" w:eastAsia="zh-CN"/>
        </w:rPr>
        <w:t>这包括仅在产品使用或服务已交付之后问题才显现的过程。</w:t>
      </w:r>
    </w:p>
    <w:p>
      <w:pPr>
        <w:numPr>
          <w:ilvl w:val="3"/>
          <w:numId w:val="2"/>
        </w:numPr>
        <w:bidi w:val="0"/>
        <w:rPr>
          <w:rFonts w:hint="default"/>
          <w:color w:val="auto"/>
          <w:highlight w:val="none"/>
          <w:lang w:val="en-US" w:eastAsia="zh-CN"/>
        </w:rPr>
      </w:pPr>
      <w:r>
        <w:rPr>
          <w:rFonts w:hint="default"/>
          <w:color w:val="auto"/>
          <w:highlight w:val="none"/>
          <w:lang w:val="en-US" w:eastAsia="zh-CN"/>
        </w:rPr>
        <w:t>确认应能证实</w:t>
      </w:r>
      <w:r>
        <w:rPr>
          <w:rFonts w:hint="eastAsia"/>
          <w:color w:val="auto"/>
          <w:highlight w:val="none"/>
          <w:lang w:val="en-US" w:eastAsia="zh-CN"/>
        </w:rPr>
        <w:t>这些特殊</w:t>
      </w:r>
      <w:r>
        <w:rPr>
          <w:rFonts w:hint="default"/>
          <w:color w:val="auto"/>
          <w:highlight w:val="none"/>
          <w:lang w:val="en-US" w:eastAsia="zh-CN"/>
        </w:rPr>
        <w:t>过程实现所策划结果的能力，应包括：</w:t>
      </w:r>
    </w:p>
    <w:p>
      <w:pPr>
        <w:pageBreakBefore w:val="0"/>
        <w:numPr>
          <w:ilvl w:val="0"/>
          <w:numId w:val="3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为过程的评审和批准所规定的准则。即对影响过程能力相关的要素规定条件，如人员、设备、环境、作业方法符合一定条件才给予考虑和批准。</w:t>
      </w:r>
    </w:p>
    <w:p>
      <w:pPr>
        <w:pageBreakBefore w:val="0"/>
        <w:numPr>
          <w:ilvl w:val="0"/>
          <w:numId w:val="3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对设备的认可和对人员资格的鉴定。</w:t>
      </w:r>
    </w:p>
    <w:p>
      <w:pPr>
        <w:pageBreakBefore w:val="0"/>
        <w:numPr>
          <w:ilvl w:val="0"/>
          <w:numId w:val="3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使用特定的方法和程序。</w:t>
      </w:r>
    </w:p>
    <w:p>
      <w:pPr>
        <w:pageBreakBefore w:val="0"/>
        <w:numPr>
          <w:ilvl w:val="0"/>
          <w:numId w:val="3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规定过程应保持记录。</w:t>
      </w:r>
    </w:p>
    <w:p>
      <w:pPr>
        <w:numPr>
          <w:ilvl w:val="3"/>
          <w:numId w:val="2"/>
        </w:numPr>
        <w:bidi w:val="0"/>
        <w:rPr>
          <w:rFonts w:hint="default"/>
          <w:color w:val="auto"/>
          <w:highlight w:val="none"/>
          <w:lang w:val="en-US" w:eastAsia="zh-CN"/>
        </w:rPr>
      </w:pPr>
      <w:r>
        <w:rPr>
          <w:rFonts w:hint="eastAsia"/>
          <w:color w:val="auto"/>
          <w:highlight w:val="none"/>
          <w:lang w:val="en-US" w:eastAsia="zh-CN"/>
        </w:rPr>
        <w:t>生产过程中采用的计算机软件对产品质量有影响的，研发部在设计转换阶段</w:t>
      </w:r>
      <w:r>
        <w:rPr>
          <w:rFonts w:hint="default"/>
          <w:color w:val="auto"/>
          <w:highlight w:val="none"/>
          <w:lang w:val="en-US" w:eastAsia="zh-CN"/>
        </w:rPr>
        <w:t>对任何这样的</w:t>
      </w:r>
      <w:r>
        <w:rPr>
          <w:rFonts w:hint="eastAsia"/>
          <w:color w:val="auto"/>
          <w:highlight w:val="none"/>
          <w:lang w:val="en-US" w:eastAsia="zh-CN"/>
        </w:rPr>
        <w:t>计算机软件进行验证或</w:t>
      </w:r>
      <w:r>
        <w:rPr>
          <w:rFonts w:hint="default"/>
          <w:color w:val="auto"/>
          <w:highlight w:val="none"/>
          <w:lang w:val="en-US" w:eastAsia="zh-CN"/>
        </w:rPr>
        <w:t>确认</w:t>
      </w:r>
      <w:r>
        <w:rPr>
          <w:rFonts w:hint="eastAsia"/>
          <w:color w:val="auto"/>
          <w:highlight w:val="none"/>
          <w:lang w:val="en-US" w:eastAsia="zh-CN"/>
        </w:rPr>
        <w:t>，并保存记录，包括验证或确认方案，验证或确认方法、操作人员、结果评价等内容。</w:t>
      </w:r>
    </w:p>
    <w:p>
      <w:pPr>
        <w:numPr>
          <w:ilvl w:val="3"/>
          <w:numId w:val="2"/>
        </w:numPr>
        <w:bidi w:val="0"/>
        <w:rPr>
          <w:rFonts w:hint="eastAsia"/>
          <w:color w:val="auto"/>
          <w:highlight w:val="none"/>
          <w:lang w:val="en-US" w:eastAsia="zh-CN"/>
        </w:rPr>
      </w:pPr>
      <w:r>
        <w:rPr>
          <w:rFonts w:hint="eastAsia"/>
          <w:color w:val="auto"/>
          <w:highlight w:val="none"/>
          <w:lang w:val="en-US" w:eastAsia="zh-CN"/>
        </w:rPr>
        <w:t>有关软件确认和再确认的特定方法和活动应与软件使用有关的风险(包括对产品符合规范的能力的影响)相适应。</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标识和可追溯性</w:t>
      </w:r>
    </w:p>
    <w:p>
      <w:pPr>
        <w:numPr>
          <w:ilvl w:val="3"/>
          <w:numId w:val="2"/>
        </w:numPr>
        <w:bidi w:val="0"/>
        <w:rPr>
          <w:rFonts w:hint="default"/>
          <w:color w:val="auto"/>
          <w:highlight w:val="none"/>
          <w:lang w:val="en-US" w:eastAsia="zh-CN"/>
        </w:rPr>
      </w:pPr>
      <w:r>
        <w:rPr>
          <w:rFonts w:hint="default"/>
          <w:color w:val="auto"/>
          <w:highlight w:val="none"/>
          <w:lang w:val="en-US" w:eastAsia="zh-CN"/>
        </w:rPr>
        <w:t>质量部编制《标识和可追溯性控制程序》，规定在研发</w:t>
      </w:r>
      <w:r>
        <w:rPr>
          <w:rFonts w:hint="eastAsia"/>
          <w:color w:val="auto"/>
          <w:highlight w:val="none"/>
          <w:lang w:val="en-US" w:eastAsia="zh-CN"/>
        </w:rPr>
        <w:t>、采购、销售等</w:t>
      </w:r>
      <w:r>
        <w:rPr>
          <w:rFonts w:hint="default"/>
          <w:color w:val="auto"/>
          <w:highlight w:val="none"/>
          <w:lang w:val="en-US" w:eastAsia="zh-CN"/>
        </w:rPr>
        <w:t>过程使用适宜的方法（如产品的标识卡、标识牌等）对产品及生产状态进行标识，</w:t>
      </w:r>
      <w:r>
        <w:rPr>
          <w:rFonts w:hint="eastAsia"/>
          <w:color w:val="auto"/>
          <w:highlight w:val="none"/>
          <w:lang w:val="en-US" w:eastAsia="zh-CN"/>
        </w:rPr>
        <w:t>以及产品追溯范围、程度、标识和必要的记录，</w:t>
      </w:r>
      <w:r>
        <w:rPr>
          <w:rFonts w:hint="default"/>
          <w:color w:val="auto"/>
          <w:highlight w:val="none"/>
          <w:lang w:val="en-US" w:eastAsia="zh-CN"/>
        </w:rPr>
        <w:t>以便识别，防止混用和错用，</w:t>
      </w:r>
      <w:r>
        <w:rPr>
          <w:rFonts w:hint="eastAsia"/>
          <w:color w:val="auto"/>
          <w:highlight w:val="none"/>
          <w:lang w:val="en-US" w:eastAsia="zh-CN"/>
        </w:rPr>
        <w:t>确保医疗器械产品全生命周期可追溯。</w:t>
      </w:r>
    </w:p>
    <w:p>
      <w:pPr>
        <w:numPr>
          <w:ilvl w:val="3"/>
          <w:numId w:val="2"/>
        </w:numPr>
        <w:bidi w:val="0"/>
        <w:rPr>
          <w:rFonts w:hint="default"/>
          <w:color w:val="auto"/>
          <w:highlight w:val="none"/>
          <w:lang w:val="en-US" w:eastAsia="zh-CN"/>
        </w:rPr>
      </w:pPr>
      <w:r>
        <w:rPr>
          <w:rFonts w:hint="eastAsia"/>
          <w:color w:val="auto"/>
          <w:highlight w:val="none"/>
          <w:lang w:val="en-US" w:eastAsia="zh-CN"/>
        </w:rPr>
        <w:t>在生产过程中各部门</w:t>
      </w:r>
      <w:r>
        <w:rPr>
          <w:rFonts w:hint="default"/>
          <w:color w:val="auto"/>
          <w:highlight w:val="none"/>
          <w:lang w:val="en-US" w:eastAsia="zh-CN"/>
        </w:rPr>
        <w:t>必须对现场各类物料和生产区域、设备、管路的状态进行识别和管理，按照产品的检验和试验状态进行标识，防止不合格中间产品流向下道工序。</w:t>
      </w:r>
    </w:p>
    <w:p>
      <w:pPr>
        <w:numPr>
          <w:ilvl w:val="3"/>
          <w:numId w:val="2"/>
        </w:numPr>
        <w:bidi w:val="0"/>
        <w:rPr>
          <w:rFonts w:hint="default"/>
          <w:color w:val="auto"/>
          <w:highlight w:val="none"/>
          <w:lang w:val="en-US" w:eastAsia="zh-CN"/>
        </w:rPr>
      </w:pPr>
      <w:r>
        <w:rPr>
          <w:rFonts w:hint="default"/>
          <w:color w:val="auto"/>
          <w:highlight w:val="none"/>
          <w:lang w:val="en-US" w:eastAsia="zh-CN"/>
        </w:rPr>
        <w:t>生产部制定《批号管理制度》，对主要物料、中间品和成品按规定进行批号管理，规定每批生产产品的批号，并保存和提供可追溯的记录。</w:t>
      </w:r>
    </w:p>
    <w:p>
      <w:pPr>
        <w:numPr>
          <w:ilvl w:val="3"/>
          <w:numId w:val="2"/>
        </w:numPr>
        <w:bidi w:val="0"/>
        <w:rPr>
          <w:rFonts w:hint="default"/>
          <w:color w:val="auto"/>
          <w:highlight w:val="none"/>
          <w:lang w:val="en-US" w:eastAsia="zh-CN"/>
        </w:rPr>
      </w:pPr>
      <w:r>
        <w:rPr>
          <w:rFonts w:hint="default"/>
          <w:color w:val="auto"/>
          <w:highlight w:val="none"/>
          <w:lang w:val="en-US" w:eastAsia="zh-CN"/>
        </w:rPr>
        <w:t>同一试剂盒内各组分批号不同时应尽量将生产日期接近的组分进行组合，应当在每个组分的容器上均标明各自的批号和有效期。整个试剂盒的有效期应以最先到有效期的组分的效期为准。</w:t>
      </w:r>
    </w:p>
    <w:p>
      <w:pPr>
        <w:numPr>
          <w:ilvl w:val="3"/>
          <w:numId w:val="2"/>
        </w:numPr>
        <w:bidi w:val="0"/>
        <w:rPr>
          <w:rFonts w:hint="default"/>
          <w:color w:val="auto"/>
          <w:highlight w:val="none"/>
          <w:lang w:val="en-US" w:eastAsia="zh-CN"/>
        </w:rPr>
      </w:pPr>
      <w:r>
        <w:rPr>
          <w:rFonts w:hint="eastAsia"/>
          <w:color w:val="auto"/>
          <w:highlight w:val="none"/>
          <w:lang w:val="en-US" w:eastAsia="zh-CN"/>
        </w:rPr>
        <w:t>销售部应对</w:t>
      </w:r>
      <w:r>
        <w:rPr>
          <w:rFonts w:hint="default"/>
          <w:color w:val="auto"/>
          <w:highlight w:val="none"/>
          <w:lang w:val="en-US" w:eastAsia="zh-CN"/>
        </w:rPr>
        <w:t>返回公司的</w:t>
      </w:r>
      <w:r>
        <w:rPr>
          <w:rFonts w:hint="eastAsia"/>
          <w:color w:val="auto"/>
          <w:highlight w:val="none"/>
          <w:lang w:val="en-US" w:eastAsia="zh-CN"/>
        </w:rPr>
        <w:t>医疗器械产品进行标识，</w:t>
      </w:r>
      <w:r>
        <w:rPr>
          <w:rFonts w:hint="default"/>
          <w:color w:val="auto"/>
          <w:highlight w:val="none"/>
          <w:lang w:val="en-US" w:eastAsia="zh-CN"/>
        </w:rPr>
        <w:t>能被识别，</w:t>
      </w:r>
      <w:r>
        <w:rPr>
          <w:rFonts w:hint="eastAsia"/>
          <w:color w:val="auto"/>
          <w:highlight w:val="none"/>
          <w:lang w:val="en-US" w:eastAsia="zh-CN"/>
        </w:rPr>
        <w:t>并</w:t>
      </w:r>
      <w:r>
        <w:rPr>
          <w:rFonts w:hint="default"/>
          <w:color w:val="auto"/>
          <w:highlight w:val="none"/>
          <w:lang w:val="en-US" w:eastAsia="zh-CN"/>
        </w:rPr>
        <w:t>与合格产品进行区分，确保只有通过检验和实验</w:t>
      </w:r>
      <w:r>
        <w:rPr>
          <w:rFonts w:hint="eastAsia"/>
          <w:color w:val="auto"/>
          <w:highlight w:val="none"/>
          <w:lang w:val="en-US" w:eastAsia="zh-CN"/>
        </w:rPr>
        <w:t>且符合技术要求</w:t>
      </w:r>
      <w:r>
        <w:rPr>
          <w:rFonts w:hint="default"/>
          <w:color w:val="auto"/>
          <w:highlight w:val="none"/>
          <w:lang w:val="en-US" w:eastAsia="zh-CN"/>
        </w:rPr>
        <w:t>的产品才能被</w:t>
      </w:r>
      <w:r>
        <w:rPr>
          <w:rFonts w:hint="eastAsia"/>
          <w:color w:val="auto"/>
          <w:highlight w:val="none"/>
          <w:lang w:val="en-US" w:eastAsia="zh-CN"/>
        </w:rPr>
        <w:t>放行、销售</w:t>
      </w:r>
      <w:r>
        <w:rPr>
          <w:rFonts w:hint="default"/>
          <w:color w:val="auto"/>
          <w:highlight w:val="none"/>
          <w:lang w:val="en-US" w:eastAsia="zh-CN"/>
        </w:rPr>
        <w:t>。</w:t>
      </w:r>
    </w:p>
    <w:p>
      <w:pPr>
        <w:numPr>
          <w:ilvl w:val="3"/>
          <w:numId w:val="2"/>
        </w:numPr>
        <w:bidi w:val="0"/>
        <w:rPr>
          <w:rFonts w:hint="eastAsia"/>
          <w:color w:val="auto"/>
          <w:highlight w:val="none"/>
          <w:lang w:val="en-US" w:eastAsia="zh-CN"/>
        </w:rPr>
      </w:pPr>
      <w:r>
        <w:rPr>
          <w:rFonts w:hint="eastAsia"/>
          <w:color w:val="auto"/>
          <w:highlight w:val="none"/>
          <w:lang w:val="en-US" w:eastAsia="zh-CN"/>
        </w:rPr>
        <w:t>产品的说明书、标签应当符合相关法律法规及标准要求。</w:t>
      </w:r>
    </w:p>
    <w:p>
      <w:pPr>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顾客财产</w:t>
      </w:r>
    </w:p>
    <w:p>
      <w:pPr>
        <w:bidi w:val="0"/>
        <w:rPr>
          <w:rFonts w:hint="default"/>
          <w:color w:val="auto"/>
        </w:rPr>
      </w:pPr>
      <w:r>
        <w:rPr>
          <w:rFonts w:hint="default"/>
          <w:color w:val="auto"/>
        </w:rPr>
        <w:t>公司应爱护在公司控制下或在公司使用的顾客财产，应确定顾客财产得到识别、验证、保护和维护，防止其损坏、丢失或发现不适用。对任何丢失、损坏或不适当使用顾客财产的行为，都应记录并向顾客报告。顾客财产包括：</w:t>
      </w:r>
    </w:p>
    <w:p>
      <w:pPr>
        <w:pageBreakBefore w:val="0"/>
        <w:numPr>
          <w:ilvl w:val="0"/>
          <w:numId w:val="3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顾客提供用于顾客产品上的材料、元器件、来料加工。</w:t>
      </w:r>
    </w:p>
    <w:p>
      <w:pPr>
        <w:pageBreakBefore w:val="0"/>
        <w:numPr>
          <w:ilvl w:val="0"/>
          <w:numId w:val="3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顾客提供用于顾客产品上的包装、标签、商标等。</w:t>
      </w:r>
    </w:p>
    <w:p>
      <w:pPr>
        <w:pageBreakBefore w:val="0"/>
        <w:numPr>
          <w:ilvl w:val="0"/>
          <w:numId w:val="3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顾客提供的用于维修、维护或升级的产品</w:t>
      </w:r>
    </w:p>
    <w:p>
      <w:pPr>
        <w:pageBreakBefore w:val="0"/>
        <w:numPr>
          <w:ilvl w:val="0"/>
          <w:numId w:val="38"/>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顾客的知识产权和保密的健康信息。</w:t>
      </w:r>
    </w:p>
    <w:p>
      <w:pPr>
        <w:numPr>
          <w:ilvl w:val="2"/>
          <w:numId w:val="2"/>
        </w:numPr>
        <w:bidi w:val="0"/>
        <w:ind w:left="0" w:leftChars="0" w:firstLine="0" w:firstLineChars="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产品防护</w:t>
      </w:r>
    </w:p>
    <w:p>
      <w:pPr>
        <w:bidi w:val="0"/>
        <w:rPr>
          <w:rFonts w:hint="eastAsia" w:ascii="Times New Roman" w:hAnsi="Times New Roman" w:eastAsia="宋体" w:cs="Times New Roman"/>
          <w:color w:val="auto"/>
          <w:sz w:val="21"/>
          <w:szCs w:val="21"/>
          <w:highlight w:val="none"/>
          <w:lang w:val="en-US" w:eastAsia="zh-CN"/>
        </w:rPr>
      </w:pPr>
      <w:r>
        <w:rPr>
          <w:rFonts w:hint="eastAsia"/>
          <w:color w:val="auto"/>
          <w:lang w:val="en-US" w:eastAsia="zh-CN"/>
        </w:rPr>
        <w:t>质量部编制</w:t>
      </w:r>
      <w:r>
        <w:rPr>
          <w:rFonts w:hint="eastAsia"/>
          <w:color w:val="auto"/>
        </w:rPr>
        <w:t>《</w:t>
      </w:r>
      <w:r>
        <w:rPr>
          <w:rFonts w:hint="eastAsia"/>
          <w:color w:val="auto"/>
          <w:lang w:val="en-US" w:eastAsia="zh-CN"/>
        </w:rPr>
        <w:t>产品防护</w:t>
      </w:r>
      <w:r>
        <w:rPr>
          <w:rFonts w:hint="eastAsia"/>
          <w:color w:val="auto"/>
        </w:rPr>
        <w:t>控制程序》，规定对</w:t>
      </w:r>
      <w:r>
        <w:rPr>
          <w:rFonts w:hint="eastAsia"/>
          <w:color w:val="auto"/>
          <w:lang w:val="en-US" w:eastAsia="zh-CN"/>
        </w:rPr>
        <w:t>医疗器械产品</w:t>
      </w:r>
      <w:r>
        <w:rPr>
          <w:rFonts w:hint="eastAsia"/>
          <w:color w:val="auto"/>
        </w:rPr>
        <w:t>及其组成部分</w:t>
      </w:r>
      <w:r>
        <w:rPr>
          <w:rFonts w:hint="eastAsia"/>
          <w:color w:val="auto"/>
          <w:lang w:eastAsia="zh-CN"/>
        </w:rPr>
        <w:t>的</w:t>
      </w:r>
      <w:r>
        <w:rPr>
          <w:rFonts w:hint="eastAsia"/>
          <w:color w:val="auto"/>
          <w:lang w:val="en-US" w:eastAsia="zh-CN"/>
        </w:rPr>
        <w:t>防护要求</w:t>
      </w:r>
      <w:r>
        <w:rPr>
          <w:rFonts w:hint="eastAsia"/>
          <w:color w:val="auto"/>
          <w:lang w:eastAsia="zh-CN"/>
        </w:rPr>
        <w:t>，</w:t>
      </w:r>
      <w:r>
        <w:rPr>
          <w:rFonts w:hint="eastAsia"/>
          <w:color w:val="auto"/>
          <w:lang w:val="en-US" w:eastAsia="zh-CN"/>
        </w:rPr>
        <w:t>包</w:t>
      </w:r>
      <w:r>
        <w:rPr>
          <w:rFonts w:hint="eastAsia"/>
          <w:color w:val="auto"/>
        </w:rPr>
        <w:t>括污染防护、静电防护、粉尘防护、腐蚀防护、运输防护等要求，防护应当包括标识、搬运、包装、贮存和保护等</w:t>
      </w:r>
      <w:r>
        <w:rPr>
          <w:rFonts w:hint="eastAsia"/>
          <w:color w:val="auto"/>
          <w:lang w:eastAsia="zh-CN"/>
        </w:rPr>
        <w:t>，</w:t>
      </w:r>
      <w:r>
        <w:rPr>
          <w:rFonts w:hint="eastAsia"/>
          <w:color w:val="auto"/>
        </w:rPr>
        <w:t>以便对生产和服务提供全过程进行有效控制。在产品的有效期内按规定的贮存温度进行贮存，并定期记录贮存温度，防止产品的变质、损坏，确保产品质量符合规定要求。</w:t>
      </w:r>
    </w:p>
    <w:p>
      <w:pPr>
        <w:pStyle w:val="3"/>
        <w:numPr>
          <w:ilvl w:val="1"/>
          <w:numId w:val="2"/>
        </w:numPr>
        <w:bidi w:val="0"/>
        <w:ind w:left="0" w:leftChars="0" w:firstLine="0" w:firstLineChars="0"/>
        <w:rPr>
          <w:rFonts w:hint="default"/>
          <w:color w:val="auto"/>
          <w:highlight w:val="none"/>
          <w:lang w:val="en-US" w:eastAsia="zh-CN"/>
        </w:rPr>
      </w:pPr>
      <w:r>
        <w:rPr>
          <w:rFonts w:hint="eastAsia"/>
          <w:color w:val="auto"/>
          <w:highlight w:val="none"/>
          <w:lang w:val="en-US" w:eastAsia="zh-CN"/>
        </w:rPr>
        <w:t>检验仪器和</w:t>
      </w:r>
      <w:r>
        <w:rPr>
          <w:rFonts w:hint="eastAsia" w:cs="Times New Roman"/>
          <w:color w:val="auto"/>
          <w:sz w:val="21"/>
          <w:szCs w:val="21"/>
          <w:highlight w:val="none"/>
          <w:lang w:val="en-US" w:eastAsia="zh-CN"/>
        </w:rPr>
        <w:t>设备</w:t>
      </w:r>
      <w:r>
        <w:rPr>
          <w:rFonts w:hint="default"/>
          <w:color w:val="auto"/>
          <w:highlight w:val="none"/>
          <w:lang w:val="en-US" w:eastAsia="zh-CN"/>
        </w:rPr>
        <w:t>的控制</w:t>
      </w:r>
    </w:p>
    <w:p>
      <w:pPr>
        <w:numPr>
          <w:ilvl w:val="2"/>
          <w:numId w:val="2"/>
        </w:numPr>
        <w:bidi w:val="0"/>
        <w:rPr>
          <w:rFonts w:hint="eastAsia"/>
          <w:color w:val="auto"/>
          <w:lang w:val="en-US" w:eastAsia="zh-CN"/>
        </w:rPr>
      </w:pPr>
      <w:r>
        <w:rPr>
          <w:rFonts w:hint="eastAsia"/>
          <w:color w:val="auto"/>
          <w:lang w:val="en-US" w:eastAsia="zh-CN"/>
        </w:rPr>
        <w:t>质量部编制《检验仪器和设备控制程序》。对检验仪器和设备、计量器具的选择、验收、使用、校准、检定、防护等要求，以及产品放行的程序等进行规定。</w:t>
      </w:r>
    </w:p>
    <w:p>
      <w:pPr>
        <w:numPr>
          <w:ilvl w:val="2"/>
          <w:numId w:val="2"/>
        </w:numPr>
        <w:bidi w:val="0"/>
        <w:rPr>
          <w:rFonts w:hint="eastAsia"/>
          <w:color w:val="auto"/>
          <w:lang w:val="en-US" w:eastAsia="zh-CN"/>
        </w:rPr>
      </w:pPr>
      <w:r>
        <w:rPr>
          <w:rFonts w:hint="eastAsia"/>
          <w:color w:val="auto"/>
          <w:lang w:val="en-US" w:eastAsia="zh-CN"/>
        </w:rPr>
        <w:t>质量部根据产品的检验要求和检验方法，选择和配置与产品生产规模、品种、检验要求相适应的检验场所和检验仪器、设备、计量器具，包括但不限于计量器具、检验仪器、设备和检测工装等。计量器具的量程和精度应当满足使用要求，计量器具应当标明其校准有效期，保存相应记录。</w:t>
      </w:r>
    </w:p>
    <w:p>
      <w:pPr>
        <w:numPr>
          <w:ilvl w:val="2"/>
          <w:numId w:val="2"/>
        </w:numPr>
        <w:bidi w:val="0"/>
        <w:rPr>
          <w:rFonts w:hint="eastAsia"/>
          <w:color w:val="auto"/>
          <w:lang w:val="en-US" w:eastAsia="zh-CN"/>
        </w:rPr>
      </w:pPr>
      <w:r>
        <w:rPr>
          <w:rFonts w:hint="eastAsia"/>
          <w:color w:val="auto"/>
          <w:lang w:val="en-US" w:eastAsia="zh-CN"/>
        </w:rPr>
        <w:t>主要的检验仪器和设备、计量器具由质量部编制操作规程，对检验仪器和设备的使用步骤及方法、维护及保养的要求、注意事项等进行规定。</w:t>
      </w:r>
    </w:p>
    <w:p>
      <w:pPr>
        <w:numPr>
          <w:ilvl w:val="2"/>
          <w:numId w:val="2"/>
        </w:numPr>
        <w:bidi w:val="0"/>
        <w:rPr>
          <w:rFonts w:hint="eastAsia"/>
          <w:color w:val="auto"/>
          <w:lang w:val="en-US" w:eastAsia="zh-CN"/>
        </w:rPr>
      </w:pPr>
      <w:r>
        <w:rPr>
          <w:rFonts w:hint="eastAsia"/>
          <w:color w:val="auto"/>
          <w:lang w:val="en-US" w:eastAsia="zh-CN"/>
        </w:rPr>
        <w:t>为确保结果有效，检验仪器和设备、计量器具须满足以下要求：</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量程和精度满足使用要求，在投入使用前校准，确认其准确度和精确度合格，标明其校准有效期，并保留相应校准记录。</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在其校准有效期内使用，建立检验仪器和设备的使用记录，记录内容应当包括使用、校准、维护和维修等情况。</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定期对检验仪器和设备进行校准或检定，并予以标识，以使校准状态得到确定。校准周期可追溯到国际或国家标准，当不存在上述标准时，应制定内部的校准周期。</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质量部制定检验仪器和设备的搬运、维护、保养和贮存期间的防护要求，并监控所有的检验和试验设备的有效状态，以防止其在搬运、使用、维护和贮存期间损坏或导致检验结果失准。</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当发现检验仪器和设备不符合要求时，使用部门需立即停止使用，并送质量部校验或处理，并对以往的检验结果的有效性进行评价，并保存验证记录。必要时须采取相应纠正和预防措施。</w:t>
      </w:r>
    </w:p>
    <w:p>
      <w:pPr>
        <w:pageBreakBefore w:val="0"/>
        <w:numPr>
          <w:ilvl w:val="0"/>
          <w:numId w:val="39"/>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对用于监视和检验要求的计算机软件应用，应当在首次使用前进行确认，适当时，此类软件或其应用更改后也应予确认。有关软件确认和再确认的特定方法和活动应与软件使用有关的风险(包括对产品符合规范的能力的影响)相适应。</w:t>
      </w:r>
    </w:p>
    <w:p>
      <w:pPr>
        <w:bidi w:val="0"/>
        <w:rPr>
          <w:rFonts w:hint="eastAsia"/>
          <w:color w:val="auto"/>
        </w:rPr>
      </w:pPr>
      <w:r>
        <w:rPr>
          <w:rFonts w:hint="eastAsia"/>
          <w:color w:val="auto"/>
          <w:lang w:eastAsia="zh-CN"/>
        </w:rPr>
        <w:t>检验仪器和设备、</w:t>
      </w:r>
      <w:r>
        <w:rPr>
          <w:rFonts w:hint="eastAsia"/>
          <w:color w:val="auto"/>
        </w:rPr>
        <w:t>计量器具</w:t>
      </w:r>
      <w:r>
        <w:rPr>
          <w:rFonts w:hint="eastAsia"/>
          <w:color w:val="auto"/>
          <w:lang w:val="en-US" w:eastAsia="zh-CN"/>
        </w:rPr>
        <w:t>等的</w:t>
      </w:r>
      <w:r>
        <w:rPr>
          <w:rFonts w:hint="eastAsia"/>
          <w:color w:val="auto"/>
        </w:rPr>
        <w:t>校准和检定(验证)结果的记录</w:t>
      </w:r>
      <w:r>
        <w:rPr>
          <w:rFonts w:hint="eastAsia"/>
          <w:color w:val="auto"/>
          <w:lang w:eastAsia="zh-CN"/>
        </w:rPr>
        <w:t>，</w:t>
      </w:r>
      <w:r>
        <w:rPr>
          <w:rFonts w:hint="eastAsia"/>
          <w:color w:val="auto"/>
          <w:lang w:val="en-US" w:eastAsia="zh-CN"/>
        </w:rPr>
        <w:t>以及计算机软件确认的结果和结论以及</w:t>
      </w:r>
      <w:r>
        <w:rPr>
          <w:rFonts w:hint="eastAsia"/>
          <w:color w:val="auto"/>
        </w:rPr>
        <w:t>确认所采取的必要措施的记录</w:t>
      </w:r>
      <w:r>
        <w:rPr>
          <w:rFonts w:hint="eastAsia"/>
          <w:color w:val="auto"/>
          <w:lang w:val="en-US" w:eastAsia="zh-CN"/>
        </w:rPr>
        <w:t>由质量部统一归档保存</w:t>
      </w:r>
      <w:r>
        <w:rPr>
          <w:rFonts w:hint="eastAsia"/>
          <w:color w:val="auto"/>
        </w:rPr>
        <w:t>。</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引用文件</w:t>
      </w:r>
    </w:p>
    <w:p>
      <w:pPr>
        <w:numPr>
          <w:ilvl w:val="2"/>
          <w:numId w:val="2"/>
        </w:numPr>
        <w:bidi w:val="0"/>
        <w:rPr>
          <w:rFonts w:hint="default"/>
          <w:color w:val="auto"/>
          <w:lang w:val="en-US" w:eastAsia="zh-CN"/>
        </w:rPr>
      </w:pPr>
      <w:r>
        <w:rPr>
          <w:rFonts w:hint="default"/>
          <w:color w:val="auto"/>
          <w:lang w:val="en-US" w:eastAsia="zh-CN"/>
        </w:rPr>
        <w:t>《工作环境与产品清洁控制程序》       (XX-QP-006)</w:t>
      </w:r>
    </w:p>
    <w:p>
      <w:pPr>
        <w:numPr>
          <w:ilvl w:val="2"/>
          <w:numId w:val="2"/>
        </w:numPr>
        <w:bidi w:val="0"/>
        <w:rPr>
          <w:rFonts w:hint="default"/>
          <w:color w:val="auto"/>
          <w:lang w:val="en-US" w:eastAsia="zh-CN"/>
        </w:rPr>
      </w:pPr>
      <w:r>
        <w:rPr>
          <w:rFonts w:hint="default"/>
          <w:color w:val="auto"/>
          <w:lang w:val="en-US" w:eastAsia="zh-CN"/>
        </w:rPr>
        <w:t>《风险管理控制程序》                 (XX-QP-007)</w:t>
      </w:r>
    </w:p>
    <w:p>
      <w:pPr>
        <w:numPr>
          <w:ilvl w:val="2"/>
          <w:numId w:val="2"/>
        </w:numPr>
        <w:bidi w:val="0"/>
        <w:rPr>
          <w:rFonts w:hint="default"/>
          <w:color w:val="auto"/>
          <w:lang w:val="en-US" w:eastAsia="zh-CN"/>
        </w:rPr>
      </w:pPr>
      <w:r>
        <w:rPr>
          <w:rFonts w:hint="default"/>
          <w:color w:val="auto"/>
          <w:lang w:val="en-US" w:eastAsia="zh-CN"/>
        </w:rPr>
        <w:t>《与顾客有关的过程控制程序》         (XX-QP-008)</w:t>
      </w:r>
    </w:p>
    <w:p>
      <w:pPr>
        <w:numPr>
          <w:ilvl w:val="2"/>
          <w:numId w:val="2"/>
        </w:numPr>
        <w:bidi w:val="0"/>
        <w:rPr>
          <w:rFonts w:hint="default"/>
          <w:color w:val="auto"/>
          <w:lang w:val="en-US" w:eastAsia="zh-CN"/>
        </w:rPr>
      </w:pPr>
      <w:r>
        <w:rPr>
          <w:rFonts w:hint="default"/>
          <w:color w:val="auto"/>
          <w:lang w:val="en-US" w:eastAsia="zh-CN"/>
        </w:rPr>
        <w:t>《设计开发控制程序》                 (XX-QP-009)</w:t>
      </w:r>
    </w:p>
    <w:p>
      <w:pPr>
        <w:numPr>
          <w:ilvl w:val="2"/>
          <w:numId w:val="2"/>
        </w:numPr>
        <w:bidi w:val="0"/>
        <w:rPr>
          <w:rFonts w:hint="default"/>
          <w:color w:val="auto"/>
          <w:lang w:val="en-US" w:eastAsia="zh-CN"/>
        </w:rPr>
      </w:pPr>
      <w:r>
        <w:rPr>
          <w:rFonts w:hint="default"/>
          <w:color w:val="auto"/>
          <w:lang w:val="en-US" w:eastAsia="zh-CN"/>
        </w:rPr>
        <w:t>《采购控制程序》                     (XX-QP-010)</w:t>
      </w:r>
    </w:p>
    <w:p>
      <w:pPr>
        <w:numPr>
          <w:ilvl w:val="2"/>
          <w:numId w:val="2"/>
        </w:numPr>
        <w:bidi w:val="0"/>
        <w:rPr>
          <w:rFonts w:hint="default"/>
          <w:color w:val="auto"/>
          <w:lang w:val="en-US" w:eastAsia="zh-CN"/>
        </w:rPr>
      </w:pPr>
      <w:r>
        <w:rPr>
          <w:rFonts w:hint="default"/>
          <w:color w:val="auto"/>
          <w:lang w:val="en-US" w:eastAsia="zh-CN"/>
        </w:rPr>
        <w:t>《生产过程控制程序》                 (XX-QP-011)</w:t>
      </w:r>
    </w:p>
    <w:p>
      <w:pPr>
        <w:numPr>
          <w:ilvl w:val="2"/>
          <w:numId w:val="2"/>
        </w:numPr>
        <w:bidi w:val="0"/>
        <w:rPr>
          <w:rFonts w:hint="default"/>
          <w:color w:val="auto"/>
          <w:lang w:val="en-US" w:eastAsia="zh-CN"/>
        </w:rPr>
      </w:pPr>
      <w:r>
        <w:rPr>
          <w:rFonts w:hint="default"/>
          <w:color w:val="auto"/>
          <w:lang w:val="en-US" w:eastAsia="zh-CN"/>
        </w:rPr>
        <w:t>《过程确认控制程序》                 (XX-QP-012)</w:t>
      </w:r>
    </w:p>
    <w:p>
      <w:pPr>
        <w:numPr>
          <w:ilvl w:val="2"/>
          <w:numId w:val="2"/>
        </w:numPr>
        <w:bidi w:val="0"/>
        <w:rPr>
          <w:rFonts w:hint="default"/>
          <w:color w:val="auto"/>
          <w:lang w:val="en-US" w:eastAsia="zh-CN"/>
        </w:rPr>
      </w:pPr>
      <w:r>
        <w:rPr>
          <w:rFonts w:hint="default"/>
          <w:color w:val="auto"/>
          <w:lang w:val="en-US" w:eastAsia="zh-CN"/>
        </w:rPr>
        <w:t>《标识与可追溯性控制程序》           (XX-QP-013)</w:t>
      </w:r>
    </w:p>
    <w:p>
      <w:pPr>
        <w:numPr>
          <w:ilvl w:val="2"/>
          <w:numId w:val="2"/>
        </w:numPr>
        <w:bidi w:val="0"/>
        <w:rPr>
          <w:rFonts w:hint="default"/>
          <w:color w:val="auto"/>
          <w:lang w:val="en-US" w:eastAsia="zh-CN"/>
        </w:rPr>
      </w:pPr>
      <w:r>
        <w:rPr>
          <w:rFonts w:hint="default"/>
          <w:color w:val="auto"/>
          <w:lang w:val="en-US" w:eastAsia="zh-CN"/>
        </w:rPr>
        <w:t xml:space="preserve">《产品防护控制程序》                 (XX-QP-014) </w:t>
      </w:r>
    </w:p>
    <w:p>
      <w:pPr>
        <w:numPr>
          <w:ilvl w:val="2"/>
          <w:numId w:val="2"/>
        </w:numPr>
        <w:bidi w:val="0"/>
        <w:rPr>
          <w:rFonts w:hint="default"/>
          <w:color w:val="auto"/>
          <w:lang w:val="en-US" w:eastAsia="zh-CN"/>
        </w:rPr>
      </w:pPr>
      <w:r>
        <w:rPr>
          <w:rFonts w:hint="default"/>
          <w:color w:val="auto"/>
          <w:lang w:val="en-US" w:eastAsia="zh-CN"/>
        </w:rPr>
        <w:t>《</w:t>
      </w:r>
      <w:r>
        <w:rPr>
          <w:rFonts w:hint="eastAsia"/>
          <w:color w:val="auto"/>
          <w:lang w:val="en-US" w:eastAsia="zh-CN"/>
        </w:rPr>
        <w:t>检验仪器和设备</w:t>
      </w:r>
      <w:r>
        <w:rPr>
          <w:rFonts w:hint="default"/>
          <w:color w:val="auto"/>
          <w:lang w:val="en-US" w:eastAsia="zh-CN"/>
        </w:rPr>
        <w:t>控制程序》           (XX-QP-015)</w:t>
      </w:r>
    </w:p>
    <w:p>
      <w:pPr>
        <w:numPr>
          <w:ilvl w:val="2"/>
          <w:numId w:val="2"/>
        </w:numPr>
        <w:bidi w:val="0"/>
        <w:rPr>
          <w:rFonts w:hint="default" w:cs="Times New Roman"/>
          <w:color w:val="auto"/>
          <w:sz w:val="21"/>
          <w:szCs w:val="21"/>
          <w:highlight w:val="none"/>
          <w:lang w:val="en-US" w:eastAsia="zh-CN"/>
        </w:rPr>
      </w:pPr>
      <w:r>
        <w:rPr>
          <w:rFonts w:hint="default"/>
          <w:color w:val="auto"/>
          <w:lang w:val="en-US" w:eastAsia="zh-CN"/>
        </w:rPr>
        <w:t xml:space="preserve">《检验和试验控制程序》               (XX-QP-017) </w:t>
      </w:r>
    </w:p>
    <w:p>
      <w:pPr>
        <w:rPr>
          <w:rFonts w:hint="default"/>
          <w:color w:val="auto"/>
          <w:highlight w:val="none"/>
        </w:rPr>
      </w:pPr>
      <w:r>
        <w:rPr>
          <w:rFonts w:hint="default"/>
          <w:color w:val="auto"/>
          <w:highlight w:val="none"/>
        </w:rPr>
        <w:br w:type="page"/>
      </w:r>
    </w:p>
    <w:p>
      <w:pPr>
        <w:pStyle w:val="2"/>
        <w:numPr>
          <w:ilvl w:val="0"/>
          <w:numId w:val="2"/>
        </w:numPr>
        <w:bidi w:val="0"/>
        <w:ind w:left="0" w:leftChars="0" w:firstLine="0" w:firstLineChars="0"/>
        <w:rPr>
          <w:rFonts w:hint="default"/>
          <w:color w:val="auto"/>
          <w:highlight w:val="none"/>
        </w:rPr>
      </w:pPr>
      <w:r>
        <w:rPr>
          <w:rFonts w:hint="default"/>
          <w:color w:val="auto"/>
          <w:highlight w:val="none"/>
        </w:rPr>
        <w:t>测量、分析和改进</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总则</w:t>
      </w:r>
    </w:p>
    <w:p>
      <w:pPr>
        <w:bidi w:val="0"/>
        <w:rPr>
          <w:rFonts w:hint="default"/>
          <w:color w:val="auto"/>
        </w:rPr>
      </w:pPr>
      <w:r>
        <w:rPr>
          <w:rFonts w:hint="default"/>
          <w:color w:val="auto"/>
        </w:rPr>
        <w:t>公司策划并实施以下方面所需的监视、测量、分析和改进过程：</w:t>
      </w:r>
    </w:p>
    <w:p>
      <w:pPr>
        <w:pageBreakBefore w:val="0"/>
        <w:numPr>
          <w:ilvl w:val="0"/>
          <w:numId w:val="4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证实产品的符合性（包括产品监视和测量）。</w:t>
      </w:r>
    </w:p>
    <w:p>
      <w:pPr>
        <w:pageBreakBefore w:val="0"/>
        <w:numPr>
          <w:ilvl w:val="0"/>
          <w:numId w:val="4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确保质量管理体系的符合性（包括过程监视和测量、顾客反馈、内部审核）。</w:t>
      </w:r>
    </w:p>
    <w:p>
      <w:pPr>
        <w:pageBreakBefore w:val="0"/>
        <w:numPr>
          <w:ilvl w:val="0"/>
          <w:numId w:val="40"/>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保持质量管理体系的有效性（包括过程监视和测量、数据分析、纠正措施、预防措施、改进措施）。</w:t>
      </w:r>
    </w:p>
    <w:p>
      <w:pPr>
        <w:pStyle w:val="3"/>
        <w:numPr>
          <w:ilvl w:val="1"/>
          <w:numId w:val="2"/>
        </w:numPr>
        <w:bidi w:val="0"/>
        <w:ind w:left="0" w:leftChars="0" w:firstLine="0" w:firstLineChars="0"/>
        <w:rPr>
          <w:rFonts w:hint="default" w:cs="Times New Roman"/>
          <w:color w:val="auto"/>
          <w:sz w:val="21"/>
          <w:szCs w:val="21"/>
          <w:highlight w:val="none"/>
          <w:lang w:val="en-US" w:eastAsia="zh-CN"/>
        </w:rPr>
      </w:pPr>
      <w:r>
        <w:rPr>
          <w:rFonts w:hint="default"/>
          <w:color w:val="auto"/>
          <w:highlight w:val="none"/>
          <w:lang w:val="en-US" w:eastAsia="zh-CN"/>
        </w:rPr>
        <w:t>监视和测量</w:t>
      </w:r>
    </w:p>
    <w:p>
      <w:pPr>
        <w:pStyle w:val="3"/>
        <w:numPr>
          <w:ilvl w:val="2"/>
          <w:numId w:val="2"/>
        </w:numPr>
        <w:bidi w:val="0"/>
        <w:ind w:left="0" w:leftChars="0" w:firstLine="0" w:firstLineChars="0"/>
        <w:rPr>
          <w:rFonts w:hint="default"/>
          <w:color w:val="auto"/>
          <w:highlight w:val="none"/>
          <w:lang w:val="en-US" w:eastAsia="zh-CN"/>
        </w:rPr>
      </w:pPr>
      <w:r>
        <w:rPr>
          <w:rFonts w:hint="default" w:cs="Times New Roman"/>
          <w:color w:val="auto"/>
          <w:sz w:val="21"/>
          <w:szCs w:val="21"/>
          <w:highlight w:val="none"/>
          <w:lang w:val="en-US" w:eastAsia="zh-CN"/>
        </w:rPr>
        <w:t>反馈/顾客满意</w:t>
      </w:r>
    </w:p>
    <w:p>
      <w:pPr>
        <w:numPr>
          <w:ilvl w:val="3"/>
          <w:numId w:val="2"/>
        </w:numPr>
        <w:bidi w:val="0"/>
        <w:rPr>
          <w:rFonts w:hint="eastAsia"/>
          <w:color w:val="auto"/>
          <w:highlight w:val="none"/>
          <w:lang w:val="en-US" w:eastAsia="zh-CN"/>
        </w:rPr>
      </w:pPr>
      <w:r>
        <w:rPr>
          <w:rFonts w:hint="eastAsia"/>
          <w:color w:val="auto"/>
          <w:lang w:val="en-US" w:eastAsia="zh-CN"/>
        </w:rPr>
        <w:t>销售部建立《</w:t>
      </w:r>
      <w:r>
        <w:rPr>
          <w:rFonts w:hint="default"/>
          <w:color w:val="auto"/>
          <w:highlight w:val="none"/>
          <w:lang w:val="en-US" w:eastAsia="zh-CN"/>
        </w:rPr>
        <w:t>客户反馈管理规范</w:t>
      </w:r>
      <w:r>
        <w:rPr>
          <w:rFonts w:hint="eastAsia"/>
          <w:color w:val="auto"/>
          <w:lang w:val="en-US" w:eastAsia="zh-CN"/>
        </w:rPr>
        <w:t>》，规定顾客反馈处理程序，对顾客反馈信息、数据进行收集、跟踪分析与处理。</w:t>
      </w:r>
      <w:r>
        <w:rPr>
          <w:rFonts w:hint="default"/>
          <w:color w:val="auto"/>
          <w:highlight w:val="none"/>
          <w:lang w:val="en-US" w:eastAsia="zh-CN"/>
        </w:rPr>
        <w:t>规范</w:t>
      </w:r>
      <w:r>
        <w:rPr>
          <w:rFonts w:hint="eastAsia"/>
          <w:color w:val="auto"/>
          <w:highlight w:val="none"/>
          <w:lang w:val="en-US" w:eastAsia="zh-CN"/>
        </w:rPr>
        <w:t>应包括对以下方面的最低要求和职责；</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接收和记录信息；</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评价信息以确定反馈是否构成投诉；</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调查投诉；</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确定是否需要向适当的监管机构报告信息；</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处置与投诉有关的产品；</w:t>
      </w:r>
    </w:p>
    <w:p>
      <w:pPr>
        <w:pageBreakBefore w:val="0"/>
        <w:numPr>
          <w:ilvl w:val="0"/>
          <w:numId w:val="41"/>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eastAsia"/>
          <w:color w:val="auto"/>
        </w:rPr>
        <w:t>采取措施</w:t>
      </w:r>
      <w:r>
        <w:rPr>
          <w:rFonts w:hint="eastAsia"/>
          <w:color w:val="auto"/>
          <w:lang w:eastAsia="zh-CN"/>
        </w:rPr>
        <w:t>，</w:t>
      </w:r>
      <w:r>
        <w:rPr>
          <w:rFonts w:hint="eastAsia"/>
          <w:color w:val="auto"/>
          <w:lang w:val="en-US" w:eastAsia="zh-CN"/>
        </w:rPr>
        <w:t>包括</w:t>
      </w:r>
      <w:r>
        <w:rPr>
          <w:rFonts w:hint="default" w:ascii="Times New Roman" w:hAnsi="Times New Roman" w:eastAsia="宋体" w:cs="Times New Roman"/>
          <w:color w:val="auto"/>
          <w:sz w:val="21"/>
          <w:szCs w:val="21"/>
          <w:highlight w:val="none"/>
          <w:lang w:val="en-US" w:eastAsia="zh-CN"/>
        </w:rPr>
        <w:t>与投诉有关的产品</w:t>
      </w:r>
      <w:r>
        <w:rPr>
          <w:rFonts w:hint="eastAsia" w:ascii="Times New Roman" w:hAnsi="Times New Roman" w:eastAsia="宋体" w:cs="Times New Roman"/>
          <w:color w:val="auto"/>
          <w:sz w:val="21"/>
          <w:szCs w:val="21"/>
          <w:highlight w:val="none"/>
          <w:lang w:val="en-US" w:eastAsia="zh-CN"/>
        </w:rPr>
        <w:t>的处置</w:t>
      </w:r>
      <w:r>
        <w:rPr>
          <w:rFonts w:hint="default" w:ascii="Times New Roman" w:hAnsi="Times New Roman" w:eastAsia="宋体" w:cs="Times New Roman"/>
          <w:color w:val="auto"/>
          <w:sz w:val="21"/>
          <w:szCs w:val="21"/>
          <w:highlight w:val="none"/>
          <w:lang w:val="en-US" w:eastAsia="zh-CN"/>
        </w:rPr>
        <w:t>。</w:t>
      </w:r>
    </w:p>
    <w:p>
      <w:pPr>
        <w:numPr>
          <w:ilvl w:val="3"/>
          <w:numId w:val="2"/>
        </w:numPr>
        <w:bidi w:val="0"/>
        <w:rPr>
          <w:rFonts w:hint="default"/>
          <w:color w:val="auto"/>
          <w:highlight w:val="none"/>
          <w:lang w:val="en-US" w:eastAsia="zh-CN"/>
        </w:rPr>
      </w:pPr>
      <w:r>
        <w:rPr>
          <w:rFonts w:hint="default"/>
          <w:color w:val="auto"/>
          <w:highlight w:val="none"/>
          <w:lang w:val="en-US" w:eastAsia="zh-CN"/>
        </w:rPr>
        <w:t>投诉处置记录由质量部统一归档保留。</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向监管机构报告</w:t>
      </w:r>
    </w:p>
    <w:p>
      <w:pPr>
        <w:numPr>
          <w:ilvl w:val="3"/>
          <w:numId w:val="2"/>
        </w:numPr>
        <w:bidi w:val="0"/>
        <w:rPr>
          <w:rFonts w:hint="eastAsia"/>
          <w:color w:val="auto"/>
          <w:highlight w:val="none"/>
          <w:lang w:val="en-US" w:eastAsia="zh-CN"/>
        </w:rPr>
      </w:pPr>
      <w:r>
        <w:rPr>
          <w:rFonts w:hint="eastAsia"/>
          <w:color w:val="auto"/>
          <w:highlight w:val="none"/>
          <w:lang w:val="en-US" w:eastAsia="zh-CN"/>
        </w:rPr>
        <w:t>质量部编制《忠告性通知控制程序》，根据适用的法规要求，当投诉符合不良事件报告准则或需要发布忠告性通知报告时，管理者代表应将投诉向有关的监管机构报告或</w:t>
      </w:r>
      <w:r>
        <w:rPr>
          <w:rFonts w:hint="default"/>
          <w:color w:val="auto"/>
          <w:highlight w:val="none"/>
          <w:lang w:val="en-US" w:eastAsia="zh-CN"/>
        </w:rPr>
        <w:t>与监管机构进行沟通</w:t>
      </w:r>
      <w:r>
        <w:rPr>
          <w:rFonts w:hint="eastAsia"/>
          <w:color w:val="auto"/>
          <w:highlight w:val="none"/>
          <w:lang w:val="en-US" w:eastAsia="zh-CN"/>
        </w:rPr>
        <w:t>。</w:t>
      </w:r>
    </w:p>
    <w:p>
      <w:pPr>
        <w:numPr>
          <w:ilvl w:val="3"/>
          <w:numId w:val="2"/>
        </w:numPr>
        <w:bidi w:val="0"/>
        <w:rPr>
          <w:rFonts w:hint="eastAsia"/>
          <w:color w:val="auto"/>
          <w:highlight w:val="none"/>
          <w:lang w:val="en-US" w:eastAsia="zh-CN"/>
        </w:rPr>
      </w:pPr>
      <w:r>
        <w:rPr>
          <w:rFonts w:hint="eastAsia"/>
          <w:color w:val="auto"/>
          <w:highlight w:val="none"/>
          <w:lang w:val="en-US" w:eastAsia="zh-CN"/>
        </w:rPr>
        <w:t>应保留向监管机构报告的记录。</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内部审核</w:t>
      </w:r>
    </w:p>
    <w:p>
      <w:pPr>
        <w:numPr>
          <w:ilvl w:val="3"/>
          <w:numId w:val="2"/>
        </w:numPr>
        <w:bidi w:val="0"/>
        <w:rPr>
          <w:rFonts w:hint="default"/>
          <w:color w:val="auto"/>
          <w:highlight w:val="none"/>
          <w:lang w:val="en-US" w:eastAsia="zh-CN"/>
        </w:rPr>
      </w:pPr>
      <w:r>
        <w:rPr>
          <w:rFonts w:hint="default"/>
          <w:color w:val="auto"/>
          <w:highlight w:val="none"/>
          <w:lang w:val="en-US" w:eastAsia="zh-CN"/>
        </w:rPr>
        <w:t>质量部制定并实施《内部审核控制程序》</w:t>
      </w:r>
      <w:r>
        <w:rPr>
          <w:rFonts w:hint="eastAsia"/>
          <w:color w:val="auto"/>
          <w:highlight w:val="none"/>
          <w:lang w:val="en-US" w:eastAsia="zh-CN"/>
        </w:rPr>
        <w:t>，规定审核的准则、范围、频次、参加人员、方法、记录要求、纠正预防措施有效性的评定等内容，以确保质量管理体系符合本规范的要求</w:t>
      </w:r>
      <w:r>
        <w:rPr>
          <w:rFonts w:hint="default"/>
          <w:color w:val="auto"/>
          <w:highlight w:val="none"/>
          <w:lang w:val="en-US" w:eastAsia="zh-CN"/>
        </w:rPr>
        <w:t>。</w:t>
      </w:r>
    </w:p>
    <w:p>
      <w:pPr>
        <w:numPr>
          <w:ilvl w:val="3"/>
          <w:numId w:val="2"/>
        </w:numPr>
        <w:bidi w:val="0"/>
        <w:rPr>
          <w:rFonts w:hint="default"/>
          <w:color w:val="auto"/>
          <w:highlight w:val="none"/>
          <w:lang w:val="en-US" w:eastAsia="zh-CN"/>
        </w:rPr>
      </w:pPr>
      <w:r>
        <w:rPr>
          <w:rFonts w:hint="default"/>
          <w:color w:val="auto"/>
          <w:highlight w:val="none"/>
          <w:lang w:val="en-US" w:eastAsia="zh-CN"/>
        </w:rPr>
        <w:t>实施</w:t>
      </w:r>
      <w:r>
        <w:rPr>
          <w:rFonts w:hint="eastAsia"/>
          <w:color w:val="auto"/>
          <w:highlight w:val="none"/>
          <w:lang w:val="en-US" w:eastAsia="zh-CN"/>
        </w:rPr>
        <w:t>内审</w:t>
      </w:r>
      <w:r>
        <w:rPr>
          <w:rFonts w:hint="default"/>
          <w:color w:val="auto"/>
          <w:highlight w:val="none"/>
          <w:lang w:val="en-US" w:eastAsia="zh-CN"/>
        </w:rPr>
        <w:t>以及形成记录和报告的职责、要求</w:t>
      </w:r>
      <w:r>
        <w:rPr>
          <w:rFonts w:hint="eastAsia"/>
          <w:color w:val="auto"/>
          <w:highlight w:val="none"/>
          <w:lang w:val="en-US" w:eastAsia="zh-CN"/>
        </w:rPr>
        <w:t>等</w:t>
      </w:r>
      <w:r>
        <w:rPr>
          <w:rFonts w:hint="default"/>
          <w:color w:val="auto"/>
          <w:highlight w:val="none"/>
          <w:lang w:val="en-US" w:eastAsia="zh-CN"/>
        </w:rPr>
        <w:t>如下：</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内部审核方案进行策划的要求</w:t>
      </w:r>
      <w:r>
        <w:rPr>
          <w:rFonts w:hint="eastAsia" w:ascii="Times New Roman" w:hAnsi="Times New Roman" w:eastAsia="宋体" w:cs="Times New Roman"/>
          <w:color w:val="auto"/>
          <w:sz w:val="21"/>
          <w:szCs w:val="21"/>
          <w:highlight w:val="none"/>
          <w:lang w:val="en-US" w:eastAsia="zh-CN"/>
        </w:rPr>
        <w:t>，包括</w:t>
      </w:r>
      <w:r>
        <w:rPr>
          <w:rFonts w:hint="default" w:ascii="Times New Roman" w:hAnsi="Times New Roman" w:eastAsia="宋体" w:cs="Times New Roman"/>
          <w:color w:val="auto"/>
          <w:sz w:val="21"/>
          <w:szCs w:val="21"/>
          <w:highlight w:val="none"/>
          <w:lang w:val="en-US" w:eastAsia="zh-CN"/>
        </w:rPr>
        <w:t>审核的准则、范围、频次、参加人员、方法、记录要求、纠正预防措施有效性的评定</w:t>
      </w:r>
      <w:r>
        <w:rPr>
          <w:rFonts w:hint="eastAsia" w:ascii="Times New Roman" w:hAnsi="Times New Roman" w:eastAsia="宋体"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lang w:val="en-US" w:eastAsia="zh-CN"/>
        </w:rPr>
        <w:t>，</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实施审核、记录审核结果并向管理者报告的职责和要求。</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全面、真实地记录审核发现的问题，必要时从多方面加以验证，确保审核的客观性。</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受审区域的负责人须对审核发现的问题及时采取措施，以消除不合格及其产生的原因。</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采取跟进措施，对所采取措施的进行验证并报告验证结果。</w:t>
      </w:r>
    </w:p>
    <w:p>
      <w:pPr>
        <w:pageBreakBefore w:val="0"/>
        <w:numPr>
          <w:ilvl w:val="0"/>
          <w:numId w:val="42"/>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对纠正措施的效果进行评审。</w:t>
      </w:r>
    </w:p>
    <w:p>
      <w:pPr>
        <w:numPr>
          <w:ilvl w:val="3"/>
          <w:numId w:val="2"/>
        </w:numPr>
        <w:bidi w:val="0"/>
        <w:rPr>
          <w:rFonts w:hint="default"/>
          <w:color w:val="auto"/>
          <w:highlight w:val="none"/>
          <w:lang w:val="en-US" w:eastAsia="zh-CN"/>
        </w:rPr>
      </w:pPr>
      <w:r>
        <w:rPr>
          <w:rFonts w:hint="default"/>
          <w:color w:val="auto"/>
          <w:highlight w:val="none"/>
          <w:lang w:val="en-US" w:eastAsia="zh-CN"/>
        </w:rPr>
        <w:t>选择有资质的审核</w:t>
      </w:r>
      <w:r>
        <w:rPr>
          <w:rFonts w:hint="eastAsia"/>
          <w:color w:val="auto"/>
          <w:highlight w:val="none"/>
          <w:lang w:val="en-US" w:eastAsia="zh-CN"/>
        </w:rPr>
        <w:t>员</w:t>
      </w:r>
      <w:r>
        <w:rPr>
          <w:rFonts w:hint="default"/>
          <w:color w:val="auto"/>
          <w:highlight w:val="none"/>
          <w:lang w:val="en-US" w:eastAsia="zh-CN"/>
        </w:rPr>
        <w:t>进行内部审核，同时要求审核员不得审核自己的工作，确保审核过程的客观性和公正性。</w:t>
      </w:r>
    </w:p>
    <w:p>
      <w:pPr>
        <w:numPr>
          <w:ilvl w:val="3"/>
          <w:numId w:val="2"/>
        </w:numPr>
        <w:bidi w:val="0"/>
        <w:rPr>
          <w:rFonts w:hint="default"/>
          <w:color w:val="auto"/>
          <w:highlight w:val="none"/>
          <w:lang w:val="en-US" w:eastAsia="zh-CN"/>
        </w:rPr>
      </w:pPr>
      <w:r>
        <w:rPr>
          <w:rFonts w:hint="default"/>
          <w:color w:val="auto"/>
          <w:highlight w:val="none"/>
          <w:lang w:val="en-US" w:eastAsia="zh-CN"/>
        </w:rPr>
        <w:t>质量部对所有内审过程产生的记录进行保存</w:t>
      </w:r>
      <w:r>
        <w:rPr>
          <w:rFonts w:hint="eastAsia"/>
          <w:color w:val="auto"/>
          <w:highlight w:val="none"/>
          <w:lang w:val="en-US" w:eastAsia="zh-CN"/>
        </w:rPr>
        <w:t>。</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过程的监视和测量</w:t>
      </w:r>
    </w:p>
    <w:p>
      <w:pPr>
        <w:numPr>
          <w:ilvl w:val="3"/>
          <w:numId w:val="2"/>
        </w:numPr>
        <w:bidi w:val="0"/>
        <w:rPr>
          <w:rFonts w:hint="default"/>
          <w:color w:val="auto"/>
          <w:highlight w:val="none"/>
          <w:lang w:val="en-US" w:eastAsia="zh-CN"/>
        </w:rPr>
      </w:pPr>
      <w:r>
        <w:rPr>
          <w:rFonts w:hint="default"/>
          <w:color w:val="auto"/>
          <w:highlight w:val="none"/>
          <w:lang w:val="en-US" w:eastAsia="zh-CN"/>
        </w:rPr>
        <w:t>各部门根据质量管理体系文件要求对部门的工作进行监督和检查，以及对各阶段记录进行统计分析等方法实现对质量管理体系过程的监视和测量。</w:t>
      </w:r>
    </w:p>
    <w:p>
      <w:pPr>
        <w:numPr>
          <w:ilvl w:val="3"/>
          <w:numId w:val="2"/>
        </w:numPr>
        <w:bidi w:val="0"/>
        <w:rPr>
          <w:rFonts w:hint="default"/>
          <w:color w:val="auto"/>
          <w:highlight w:val="none"/>
          <w:lang w:val="en-US" w:eastAsia="zh-CN"/>
        </w:rPr>
      </w:pPr>
      <w:r>
        <w:rPr>
          <w:rFonts w:hint="default"/>
          <w:color w:val="auto"/>
          <w:highlight w:val="none"/>
          <w:lang w:val="en-US" w:eastAsia="zh-CN"/>
        </w:rPr>
        <w:t>对质量管理体系过程的监视和测量，可用内审、管理评审、日常监督检查、每月数据分析报表、质量目标达成情况统计、内部沟通会议等方式进行。</w:t>
      </w:r>
    </w:p>
    <w:p>
      <w:pPr>
        <w:numPr>
          <w:ilvl w:val="3"/>
          <w:numId w:val="2"/>
        </w:numPr>
        <w:bidi w:val="0"/>
        <w:rPr>
          <w:rFonts w:hint="default"/>
          <w:color w:val="auto"/>
          <w:highlight w:val="none"/>
          <w:lang w:val="en-US" w:eastAsia="zh-CN"/>
        </w:rPr>
      </w:pPr>
      <w:r>
        <w:rPr>
          <w:rFonts w:hint="default"/>
          <w:color w:val="auto"/>
          <w:highlight w:val="none"/>
          <w:lang w:val="en-US" w:eastAsia="zh-CN"/>
        </w:rPr>
        <w:t>对过程监视和测量的结果进行分析，如需要制定措施以改进的过程，按《纠正及预防措施控制程序》执行。</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产品的监视和测量</w:t>
      </w:r>
    </w:p>
    <w:p>
      <w:pPr>
        <w:numPr>
          <w:ilvl w:val="3"/>
          <w:numId w:val="2"/>
        </w:numPr>
        <w:bidi w:val="0"/>
        <w:rPr>
          <w:rFonts w:hint="default"/>
          <w:color w:val="auto"/>
          <w:highlight w:val="none"/>
          <w:lang w:val="en-US" w:eastAsia="zh-CN"/>
        </w:rPr>
      </w:pPr>
      <w:r>
        <w:rPr>
          <w:rFonts w:hint="eastAsia"/>
          <w:color w:val="auto"/>
          <w:highlight w:val="none"/>
          <w:lang w:val="en-US" w:eastAsia="zh-CN"/>
        </w:rPr>
        <w:t>质量部建立《检验和试验控制程序》，规定产品检验部门职责、人员资质、检验操作规程等要求。</w:t>
      </w:r>
    </w:p>
    <w:p>
      <w:pPr>
        <w:numPr>
          <w:ilvl w:val="3"/>
          <w:numId w:val="2"/>
        </w:numPr>
        <w:bidi w:val="0"/>
        <w:rPr>
          <w:rFonts w:hint="default"/>
          <w:color w:val="auto"/>
          <w:highlight w:val="none"/>
          <w:lang w:val="en-US" w:eastAsia="zh-CN"/>
        </w:rPr>
      </w:pPr>
      <w:r>
        <w:rPr>
          <w:rFonts w:hint="eastAsia"/>
          <w:color w:val="auto"/>
          <w:highlight w:val="none"/>
          <w:lang w:val="en-US" w:eastAsia="zh-CN"/>
        </w:rPr>
        <w:t>质量部</w:t>
      </w:r>
      <w:r>
        <w:rPr>
          <w:rFonts w:hint="default"/>
          <w:color w:val="auto"/>
          <w:highlight w:val="none"/>
          <w:lang w:val="en-US" w:eastAsia="zh-CN"/>
        </w:rPr>
        <w:t>依据所策划的安排在产品实现过程的适当阶段进行验证</w:t>
      </w:r>
      <w:r>
        <w:rPr>
          <w:rFonts w:hint="eastAsia"/>
          <w:color w:val="auto"/>
          <w:highlight w:val="none"/>
          <w:lang w:val="en-US" w:eastAsia="zh-CN"/>
        </w:rPr>
        <w:t>，</w:t>
      </w:r>
      <w:r>
        <w:rPr>
          <w:rFonts w:hint="default"/>
          <w:color w:val="auto"/>
          <w:highlight w:val="none"/>
          <w:lang w:val="en-US" w:eastAsia="zh-CN"/>
        </w:rPr>
        <w:t>对验证、监控、检查的结果进行记录，表明是否符合规定验收准则。并保持符合</w:t>
      </w:r>
      <w:r>
        <w:rPr>
          <w:rFonts w:hint="eastAsia"/>
          <w:color w:val="auto"/>
          <w:highlight w:val="none"/>
          <w:lang w:val="en-US" w:eastAsia="zh-CN"/>
        </w:rPr>
        <w:t>验收</w:t>
      </w:r>
      <w:r>
        <w:rPr>
          <w:rFonts w:hint="default"/>
          <w:color w:val="auto"/>
          <w:highlight w:val="none"/>
          <w:lang w:val="en-US" w:eastAsia="zh-CN"/>
        </w:rPr>
        <w:t>准则的证据</w:t>
      </w:r>
      <w:r>
        <w:rPr>
          <w:rFonts w:hint="eastAsia"/>
          <w:color w:val="auto"/>
          <w:highlight w:val="none"/>
          <w:lang w:val="en-US" w:eastAsia="zh-CN"/>
        </w:rPr>
        <w:t>，</w:t>
      </w:r>
      <w:r>
        <w:rPr>
          <w:rFonts w:hint="default"/>
          <w:color w:val="auto"/>
          <w:highlight w:val="none"/>
          <w:lang w:val="en-US" w:eastAsia="zh-CN"/>
        </w:rPr>
        <w:t>记录须有检查人签名。</w:t>
      </w:r>
      <w:r>
        <w:rPr>
          <w:rFonts w:hint="eastAsia"/>
          <w:color w:val="auto"/>
          <w:highlight w:val="none"/>
          <w:lang w:val="en-US" w:eastAsia="zh-CN"/>
        </w:rPr>
        <w:t>对成品的检验应出具相应的检验报告或证书，检验报告或证书应能够证实产品符合要求。</w:t>
      </w:r>
    </w:p>
    <w:p>
      <w:pPr>
        <w:numPr>
          <w:ilvl w:val="3"/>
          <w:numId w:val="2"/>
        </w:numPr>
        <w:bidi w:val="0"/>
        <w:rPr>
          <w:rFonts w:hint="eastAsia"/>
          <w:color w:val="auto"/>
          <w:highlight w:val="none"/>
          <w:lang w:val="en-US" w:eastAsia="zh-CN"/>
        </w:rPr>
      </w:pPr>
      <w:r>
        <w:rPr>
          <w:rFonts w:hint="eastAsia"/>
          <w:color w:val="auto"/>
          <w:highlight w:val="none"/>
          <w:lang w:val="en-US" w:eastAsia="zh-C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p>
      <w:pPr>
        <w:numPr>
          <w:ilvl w:val="3"/>
          <w:numId w:val="2"/>
        </w:numPr>
        <w:bidi w:val="0"/>
        <w:rPr>
          <w:rFonts w:hint="eastAsia"/>
          <w:color w:val="auto"/>
          <w:highlight w:val="none"/>
          <w:lang w:val="en-US" w:eastAsia="zh-CN"/>
        </w:rPr>
      </w:pPr>
      <w:r>
        <w:rPr>
          <w:rFonts w:hint="eastAsia"/>
          <w:color w:val="auto"/>
          <w:highlight w:val="none"/>
          <w:lang w:val="en-US" w:eastAsia="zh-CN"/>
        </w:rPr>
        <w:t>需要使用校准品、参考品的，由质量部建立校准品、参考品量值溯源程序。对每批生产的校准品、参考品进行赋值。</w:t>
      </w:r>
    </w:p>
    <w:p>
      <w:pPr>
        <w:numPr>
          <w:ilvl w:val="3"/>
          <w:numId w:val="2"/>
        </w:numPr>
        <w:bidi w:val="0"/>
        <w:rPr>
          <w:rFonts w:hint="eastAsia"/>
          <w:color w:val="auto"/>
          <w:highlight w:val="none"/>
          <w:lang w:val="en-US" w:eastAsia="zh-CN"/>
        </w:rPr>
      </w:pPr>
      <w:r>
        <w:rPr>
          <w:rFonts w:hint="eastAsia"/>
          <w:color w:val="auto"/>
          <w:highlight w:val="none"/>
          <w:lang w:val="en-US" w:eastAsia="zh-CN"/>
        </w:rPr>
        <w:t>生产和检验用的菌毒种应当标明来源，验收、储存、保管、使用、销毁应执行国家有关医学微生物菌种保管的规定和病原微生物实验室生物安全管理条例。应当建立生产用菌毒种的原始种子批、主代种子批和工作种子批系统。</w:t>
      </w:r>
    </w:p>
    <w:p>
      <w:pPr>
        <w:numPr>
          <w:ilvl w:val="3"/>
          <w:numId w:val="2"/>
        </w:numPr>
        <w:bidi w:val="0"/>
        <w:rPr>
          <w:rFonts w:hint="eastAsia"/>
          <w:color w:val="auto"/>
          <w:highlight w:val="none"/>
          <w:lang w:val="en-US" w:eastAsia="zh-CN"/>
        </w:rPr>
      </w:pPr>
      <w:r>
        <w:rPr>
          <w:rFonts w:hint="eastAsia"/>
          <w:color w:val="auto"/>
          <w:highlight w:val="none"/>
          <w:lang w:val="en-US" w:eastAsia="zh-CN"/>
        </w:rPr>
        <w:t>生产用细胞应当建立原始细胞库、主代细胞库、工作细胞库。应当建立细胞库档案资料和细胞操作日志。自行制备抗原或抗体，应当对所用原料的来源和性质有详细的记录并可追溯。</w:t>
      </w:r>
    </w:p>
    <w:p>
      <w:pPr>
        <w:numPr>
          <w:ilvl w:val="3"/>
          <w:numId w:val="2"/>
        </w:numPr>
        <w:bidi w:val="0"/>
        <w:rPr>
          <w:rFonts w:hint="eastAsia"/>
          <w:color w:val="auto"/>
          <w:highlight w:val="none"/>
          <w:lang w:val="en-US" w:eastAsia="zh-CN"/>
        </w:rPr>
      </w:pPr>
      <w:r>
        <w:rPr>
          <w:rFonts w:hint="eastAsia"/>
          <w:color w:val="auto"/>
          <w:highlight w:val="none"/>
          <w:lang w:val="en-US" w:eastAsia="zh-CN"/>
        </w:rPr>
        <w:t>每批（台）产品均应当有批检验记录，并满足可追溯要求。检验记录应当包括进货检验、过程检验和成品检验的检验记录、检验报告或证书等。</w:t>
      </w:r>
    </w:p>
    <w:p>
      <w:pPr>
        <w:numPr>
          <w:ilvl w:val="3"/>
          <w:numId w:val="2"/>
        </w:numPr>
        <w:bidi w:val="0"/>
        <w:rPr>
          <w:rFonts w:hint="eastAsia"/>
          <w:color w:val="auto"/>
          <w:highlight w:val="none"/>
          <w:lang w:val="en-US" w:eastAsia="zh-CN"/>
        </w:rPr>
      </w:pPr>
      <w:r>
        <w:rPr>
          <w:rFonts w:hint="eastAsia"/>
          <w:color w:val="auto"/>
          <w:highlight w:val="none"/>
          <w:lang w:val="en-US" w:eastAsia="zh-CN"/>
        </w:rPr>
        <w:t>成品检验合格入库后，管理者代表或其授权人员，对生产记录及检验记录进行审核，证实已符合规定的工艺流程的要求后，审核人员</w:t>
      </w:r>
      <w:r>
        <w:rPr>
          <w:rFonts w:hint="default"/>
          <w:color w:val="auto"/>
          <w:highlight w:val="none"/>
          <w:lang w:val="en-US" w:eastAsia="zh-CN"/>
        </w:rPr>
        <w:t>签名批准</w:t>
      </w:r>
      <w:r>
        <w:rPr>
          <w:rFonts w:hint="eastAsia"/>
          <w:color w:val="auto"/>
          <w:highlight w:val="none"/>
          <w:lang w:val="en-US" w:eastAsia="zh-CN"/>
        </w:rPr>
        <w:t>产品的放行，</w:t>
      </w:r>
      <w:r>
        <w:rPr>
          <w:rFonts w:hint="default"/>
          <w:color w:val="auto"/>
          <w:highlight w:val="none"/>
          <w:lang w:val="en-US" w:eastAsia="zh-CN"/>
        </w:rPr>
        <w:t>否则不得进行产品放行和服务活动。</w:t>
      </w:r>
      <w:r>
        <w:rPr>
          <w:rFonts w:hint="eastAsia"/>
          <w:color w:val="auto"/>
          <w:highlight w:val="none"/>
          <w:lang w:val="en-US" w:eastAsia="zh-CN"/>
        </w:rPr>
        <w:t>质量部保留医疗器械产品放行的记录。</w:t>
      </w:r>
    </w:p>
    <w:p>
      <w:pPr>
        <w:numPr>
          <w:ilvl w:val="3"/>
          <w:numId w:val="2"/>
        </w:numPr>
        <w:bidi w:val="0"/>
        <w:rPr>
          <w:rFonts w:hint="eastAsia"/>
          <w:color w:val="auto"/>
          <w:highlight w:val="none"/>
          <w:lang w:val="en-US" w:eastAsia="zh-CN"/>
        </w:rPr>
      </w:pPr>
      <w:r>
        <w:rPr>
          <w:rFonts w:hint="eastAsia"/>
          <w:color w:val="auto"/>
          <w:highlight w:val="none"/>
          <w:lang w:val="en-US" w:eastAsia="zh-CN"/>
        </w:rPr>
        <w:t>放行的产品应当附有合格证明。</w:t>
      </w:r>
    </w:p>
    <w:p>
      <w:pPr>
        <w:numPr>
          <w:ilvl w:val="3"/>
          <w:numId w:val="2"/>
        </w:numPr>
        <w:bidi w:val="0"/>
        <w:rPr>
          <w:rFonts w:hint="eastAsia"/>
          <w:color w:val="auto"/>
          <w:highlight w:val="none"/>
          <w:lang w:val="en-US" w:eastAsia="zh-CN"/>
        </w:rPr>
      </w:pPr>
      <w:r>
        <w:rPr>
          <w:rFonts w:hint="eastAsia"/>
          <w:color w:val="auto"/>
          <w:highlight w:val="none"/>
          <w:lang w:val="en-US" w:eastAsia="zh-CN"/>
        </w:rPr>
        <w:t>质量部应对检验过程中使用的标准品、校准品、质控品建立台帐及使用记录。应当记录其来源、批号、效期、溯源途径、主要技术指标、保存状态等信息。按照规定进行标准品、校准品、质控品复验并保存记录。</w:t>
      </w:r>
    </w:p>
    <w:p>
      <w:pPr>
        <w:numPr>
          <w:ilvl w:val="3"/>
          <w:numId w:val="2"/>
        </w:numPr>
        <w:bidi w:val="0"/>
        <w:rPr>
          <w:rFonts w:hint="eastAsia"/>
          <w:color w:val="auto"/>
          <w:highlight w:val="none"/>
          <w:lang w:val="en-US" w:eastAsia="zh-CN"/>
        </w:rPr>
      </w:pPr>
      <w:r>
        <w:rPr>
          <w:rFonts w:hint="eastAsia"/>
          <w:color w:val="auto"/>
          <w:highlight w:val="none"/>
          <w:lang w:val="en-US" w:eastAsia="zh-CN"/>
        </w:rPr>
        <w:t>体外诊断试剂产品应当根据产品和工艺特点制定留样管理制度，明确留样的数量、规格、储存条件、检验要求等，并按规定进行留样，并在规定条件下储存留样产品，保持留样观察记录。</w:t>
      </w:r>
    </w:p>
    <w:p>
      <w:pPr>
        <w:numPr>
          <w:ilvl w:val="3"/>
          <w:numId w:val="2"/>
        </w:numPr>
        <w:bidi w:val="0"/>
        <w:rPr>
          <w:rFonts w:hint="eastAsia"/>
          <w:color w:val="auto"/>
          <w:highlight w:val="none"/>
          <w:lang w:val="en-US" w:eastAsia="zh-CN"/>
        </w:rPr>
      </w:pPr>
      <w:r>
        <w:rPr>
          <w:rFonts w:hint="eastAsia"/>
          <w:color w:val="auto"/>
          <w:highlight w:val="none"/>
          <w:lang w:val="en-US" w:eastAsia="zh-CN"/>
        </w:rPr>
        <w:t>质量部建立留样台帐，及时记录留样检验信息，留样检验报告应当注明留样批号、效期、检验日期、检验人、检验结果等。留样期满后应当对留样检验报告进行汇总、分析并归档。</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不合格品控制</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总则</w:t>
      </w:r>
    </w:p>
    <w:p>
      <w:pPr>
        <w:numPr>
          <w:ilvl w:val="3"/>
          <w:numId w:val="2"/>
        </w:numPr>
        <w:bidi w:val="0"/>
        <w:rPr>
          <w:rFonts w:hint="eastAsia"/>
          <w:color w:val="auto"/>
          <w:highlight w:val="none"/>
          <w:lang w:val="en-US" w:eastAsia="zh-CN"/>
        </w:rPr>
      </w:pPr>
      <w:r>
        <w:rPr>
          <w:rFonts w:hint="eastAsia"/>
          <w:color w:val="auto"/>
          <w:highlight w:val="none"/>
          <w:lang w:val="en-US" w:eastAsia="zh-CN"/>
        </w:rPr>
        <w:t>质量部制定《不合格品控制程序》规定对不合格品进行评审和处置的人员的职责和权限，阐明评审和处置的过程，并对不合格品进行识别和控制，防止不合格品的非预期使用或交付。</w:t>
      </w:r>
    </w:p>
    <w:p>
      <w:pPr>
        <w:numPr>
          <w:ilvl w:val="3"/>
          <w:numId w:val="2"/>
        </w:numPr>
        <w:bidi w:val="0"/>
        <w:rPr>
          <w:rFonts w:hint="default"/>
          <w:color w:val="auto"/>
          <w:highlight w:val="none"/>
          <w:lang w:val="en-US" w:eastAsia="zh-CN"/>
        </w:rPr>
      </w:pPr>
      <w:r>
        <w:rPr>
          <w:rFonts w:hint="eastAsia"/>
          <w:color w:val="auto"/>
          <w:highlight w:val="none"/>
          <w:lang w:val="en-US" w:eastAsia="zh-CN"/>
        </w:rPr>
        <w:t>各部门发现不合格品，按照《</w:t>
      </w:r>
      <w:r>
        <w:rPr>
          <w:rFonts w:hint="default"/>
          <w:color w:val="auto"/>
          <w:highlight w:val="none"/>
          <w:lang w:val="en-US" w:eastAsia="zh-CN"/>
        </w:rPr>
        <w:t>不合格品控制程序》对不合格品进行标识、记录、隔离、评审，根据评审结果，对不合格品采取相应的处置措施。</w:t>
      </w:r>
    </w:p>
    <w:p>
      <w:pPr>
        <w:numPr>
          <w:ilvl w:val="3"/>
          <w:numId w:val="2"/>
        </w:numPr>
        <w:bidi w:val="0"/>
        <w:rPr>
          <w:rFonts w:hint="eastAsia"/>
          <w:color w:val="auto"/>
          <w:highlight w:val="none"/>
          <w:lang w:val="en-US" w:eastAsia="zh-CN"/>
        </w:rPr>
      </w:pPr>
      <w:r>
        <w:rPr>
          <w:rFonts w:hint="default"/>
          <w:color w:val="auto"/>
          <w:highlight w:val="none"/>
          <w:lang w:val="en-US" w:eastAsia="zh-CN"/>
        </w:rPr>
        <w:t>只有在满足法规要求的情况下才能让步接受不合格品，并且要记录批准让步接收的人员身</w:t>
      </w:r>
      <w:r>
        <w:rPr>
          <w:rFonts w:hint="eastAsia"/>
          <w:color w:val="auto"/>
          <w:highlight w:val="none"/>
          <w:lang w:val="en-US" w:eastAsia="zh-CN"/>
        </w:rPr>
        <w:t>份。</w:t>
      </w:r>
    </w:p>
    <w:p>
      <w:pPr>
        <w:numPr>
          <w:ilvl w:val="3"/>
          <w:numId w:val="2"/>
        </w:numPr>
        <w:bidi w:val="0"/>
        <w:rPr>
          <w:rFonts w:hint="eastAsia"/>
          <w:color w:val="auto"/>
          <w:highlight w:val="none"/>
          <w:lang w:val="en-US" w:eastAsia="zh-CN"/>
        </w:rPr>
      </w:pPr>
      <w:r>
        <w:rPr>
          <w:rFonts w:hint="eastAsia"/>
          <w:color w:val="auto"/>
          <w:highlight w:val="none"/>
          <w:lang w:val="en-US" w:eastAsia="zh-CN"/>
        </w:rPr>
        <w:t>要保持不合品的性质以及随后采取的任何措施记录。</w:t>
      </w:r>
    </w:p>
    <w:p>
      <w:pPr>
        <w:pStyle w:val="3"/>
        <w:numPr>
          <w:ilvl w:val="2"/>
          <w:numId w:val="2"/>
        </w:numPr>
        <w:bidi w:val="0"/>
        <w:ind w:left="0" w:leftChars="0" w:firstLine="0" w:firstLineChars="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交付前发现不合格品的响应措施</w:t>
      </w:r>
    </w:p>
    <w:p>
      <w:pPr>
        <w:bidi w:val="0"/>
        <w:rPr>
          <w:rFonts w:hint="eastAsia"/>
          <w:color w:val="auto"/>
        </w:rPr>
      </w:pPr>
      <w:r>
        <w:rPr>
          <w:rFonts w:hint="eastAsia"/>
          <w:color w:val="auto"/>
        </w:rPr>
        <w:t>应通过下列一种或几种途径处置不合格品：</w:t>
      </w:r>
    </w:p>
    <w:p>
      <w:pPr>
        <w:pageBreakBefore w:val="0"/>
        <w:numPr>
          <w:ilvl w:val="0"/>
          <w:numId w:val="4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采取措施以消除已发现的不合格；</w:t>
      </w:r>
    </w:p>
    <w:p>
      <w:pPr>
        <w:pageBreakBefore w:val="0"/>
        <w:numPr>
          <w:ilvl w:val="0"/>
          <w:numId w:val="4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采取措施以防止其原预期的使用或应用；</w:t>
      </w:r>
    </w:p>
    <w:p>
      <w:pPr>
        <w:pageBreakBefore w:val="0"/>
        <w:numPr>
          <w:ilvl w:val="0"/>
          <w:numId w:val="43"/>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授权让步使用、放行或接收。</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交付后发现不合格品的响应措施</w:t>
      </w:r>
    </w:p>
    <w:p>
      <w:pPr>
        <w:bidi w:val="0"/>
        <w:rPr>
          <w:rFonts w:hint="default"/>
          <w:color w:val="auto"/>
          <w:lang w:val="en-US" w:eastAsia="zh-CN"/>
        </w:rPr>
      </w:pPr>
      <w:r>
        <w:rPr>
          <w:rFonts w:hint="eastAsia"/>
          <w:color w:val="auto"/>
        </w:rPr>
        <w:t>当交付后或开始使用后发现不合格品时，</w:t>
      </w:r>
      <w:r>
        <w:rPr>
          <w:rFonts w:hint="eastAsia"/>
          <w:color w:val="auto"/>
          <w:lang w:val="en-US" w:eastAsia="zh-CN"/>
        </w:rPr>
        <w:t>质量部</w:t>
      </w:r>
      <w:r>
        <w:rPr>
          <w:rFonts w:hint="eastAsia"/>
          <w:color w:val="auto"/>
        </w:rPr>
        <w:t>组织</w:t>
      </w:r>
      <w:r>
        <w:rPr>
          <w:rFonts w:hint="eastAsia"/>
          <w:color w:val="auto"/>
          <w:lang w:val="en-US" w:eastAsia="zh-CN"/>
        </w:rPr>
        <w:t>相关部门</w:t>
      </w:r>
      <w:r>
        <w:rPr>
          <w:rFonts w:hint="eastAsia"/>
          <w:color w:val="auto"/>
        </w:rPr>
        <w:t>采取与不合格的影响或潜在影响的程度相适应的措施</w:t>
      </w:r>
      <w:r>
        <w:rPr>
          <w:rFonts w:hint="eastAsia"/>
          <w:color w:val="auto"/>
          <w:lang w:eastAsia="zh-CN"/>
        </w:rPr>
        <w:t>，</w:t>
      </w:r>
      <w:r>
        <w:rPr>
          <w:rFonts w:hint="eastAsia"/>
          <w:color w:val="auto"/>
          <w:lang w:val="en-US" w:eastAsia="zh-CN"/>
        </w:rPr>
        <w:t>需要对不合格品采取产品信息告知的医疗器械，质量部制定《忠告性通知控制程序》，组织销售部等部门，及时将产品变动、使用等补充信息通知使用单位、相关企业或消费者。</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返工</w:t>
      </w:r>
    </w:p>
    <w:p>
      <w:pPr>
        <w:numPr>
          <w:ilvl w:val="3"/>
          <w:numId w:val="2"/>
        </w:numPr>
        <w:bidi w:val="0"/>
        <w:rPr>
          <w:rFonts w:hint="eastAsia"/>
          <w:color w:val="auto"/>
          <w:highlight w:val="none"/>
          <w:lang w:val="en-US" w:eastAsia="zh-CN"/>
        </w:rPr>
      </w:pPr>
      <w:r>
        <w:rPr>
          <w:rFonts w:hint="eastAsia"/>
          <w:color w:val="auto"/>
          <w:highlight w:val="none"/>
          <w:lang w:val="en-US" w:eastAsia="zh-CN"/>
        </w:rPr>
        <w:t>经评审，不合格品可以返工的，由研发部根据产品特性编制返工控制文件。返工控制文件应当包括作业指导书、重新检验和重新验证等内容。经评审不合格品不能返工的，评审人员应当提出不合格品的处置措施，如报废、销毁、退货等。</w:t>
      </w:r>
    </w:p>
    <w:p>
      <w:pPr>
        <w:numPr>
          <w:ilvl w:val="3"/>
          <w:numId w:val="2"/>
        </w:numPr>
        <w:bidi w:val="0"/>
        <w:rPr>
          <w:rFonts w:hint="default"/>
          <w:color w:val="auto"/>
          <w:highlight w:val="none"/>
          <w:lang w:val="en-US" w:eastAsia="zh-CN"/>
        </w:rPr>
      </w:pPr>
      <w:r>
        <w:rPr>
          <w:rFonts w:hint="default"/>
          <w:color w:val="auto"/>
          <w:highlight w:val="none"/>
          <w:lang w:val="en-US" w:eastAsia="zh-CN"/>
        </w:rPr>
        <w:t>当在交付或开始使用后发现产品不合格时，</w:t>
      </w:r>
      <w:r>
        <w:rPr>
          <w:rFonts w:hint="eastAsia"/>
          <w:color w:val="auto"/>
          <w:highlight w:val="none"/>
          <w:lang w:val="en-US" w:eastAsia="zh-CN"/>
        </w:rPr>
        <w:t>发现部门应第一时间通知管理者代表，管理者代表组织相关部门</w:t>
      </w:r>
      <w:r>
        <w:rPr>
          <w:rFonts w:hint="default"/>
          <w:color w:val="auto"/>
          <w:highlight w:val="none"/>
          <w:lang w:val="en-US" w:eastAsia="zh-CN"/>
        </w:rPr>
        <w:t>对不合</w:t>
      </w:r>
      <w:r>
        <w:rPr>
          <w:rFonts w:hint="eastAsia"/>
          <w:color w:val="auto"/>
          <w:highlight w:val="none"/>
          <w:lang w:val="en-US" w:eastAsia="zh-CN"/>
        </w:rPr>
        <w:t>格所产生的原因进行分析并及时采取相应措施，如召回、销毁等措施。存在安全隐患的医疗器械，管理者代表应当按照有关法规要求采取召回等措施，并按规定向有关部门报告。</w:t>
      </w:r>
    </w:p>
    <w:p>
      <w:pPr>
        <w:pStyle w:val="3"/>
        <w:numPr>
          <w:ilvl w:val="1"/>
          <w:numId w:val="2"/>
        </w:numPr>
        <w:bidi w:val="0"/>
        <w:ind w:left="0" w:leftChars="0" w:firstLine="0" w:firstLineChars="0"/>
        <w:rPr>
          <w:rFonts w:hint="default" w:cs="Times New Roman"/>
          <w:color w:val="auto"/>
          <w:sz w:val="21"/>
          <w:szCs w:val="21"/>
          <w:highlight w:val="none"/>
          <w:lang w:val="en-US" w:eastAsia="zh-CN"/>
        </w:rPr>
      </w:pPr>
      <w:r>
        <w:rPr>
          <w:rFonts w:hint="default"/>
          <w:color w:val="auto"/>
          <w:highlight w:val="none"/>
          <w:lang w:val="en-US" w:eastAsia="zh-CN"/>
        </w:rPr>
        <w:t>数据分析</w:t>
      </w:r>
    </w:p>
    <w:p>
      <w:pPr>
        <w:numPr>
          <w:ilvl w:val="2"/>
          <w:numId w:val="2"/>
        </w:numPr>
        <w:bidi w:val="0"/>
        <w:rPr>
          <w:rFonts w:hint="default"/>
          <w:color w:val="auto"/>
          <w:lang w:val="en-US" w:eastAsia="zh-CN"/>
        </w:rPr>
      </w:pPr>
      <w:r>
        <w:rPr>
          <w:rFonts w:hint="default"/>
          <w:color w:val="auto"/>
          <w:lang w:val="en-US" w:eastAsia="zh-CN"/>
        </w:rPr>
        <w:t>质量部编制《数据分析控制程序》，收集分析与产品质量控制、成品放行、不良事件、顾客反馈</w:t>
      </w:r>
      <w:r>
        <w:rPr>
          <w:rFonts w:hint="eastAsia"/>
          <w:color w:val="auto"/>
          <w:lang w:val="en-US" w:eastAsia="zh-CN"/>
        </w:rPr>
        <w:t>和质量管理体系运行有关的</w:t>
      </w:r>
      <w:r>
        <w:rPr>
          <w:rFonts w:hint="default"/>
          <w:color w:val="auto"/>
          <w:lang w:val="en-US" w:eastAsia="zh-CN"/>
        </w:rPr>
        <w:t>数据，</w:t>
      </w:r>
      <w:r>
        <w:rPr>
          <w:rFonts w:hint="eastAsia"/>
          <w:color w:val="auto"/>
          <w:lang w:val="en-US" w:eastAsia="zh-CN"/>
        </w:rPr>
        <w:t>验证产品安全性和有效性，保持相关记录。</w:t>
      </w:r>
      <w:r>
        <w:rPr>
          <w:rFonts w:hint="default"/>
          <w:color w:val="auto"/>
          <w:lang w:val="en-US" w:eastAsia="zh-CN"/>
        </w:rPr>
        <w:t>采用适当的统计技术，定期对相关数据进行趋势分析，警戒可能产生的偏离，按规定处置偏离或超限事件，必要时及时采取纠正预防措施。</w:t>
      </w:r>
    </w:p>
    <w:p>
      <w:pPr>
        <w:numPr>
          <w:ilvl w:val="2"/>
          <w:numId w:val="2"/>
        </w:numPr>
        <w:bidi w:val="0"/>
        <w:rPr>
          <w:rFonts w:hint="default"/>
          <w:color w:val="auto"/>
          <w:lang w:val="en-US" w:eastAsia="zh-CN"/>
        </w:rPr>
      </w:pPr>
      <w:r>
        <w:rPr>
          <w:rFonts w:hint="default"/>
          <w:color w:val="auto"/>
          <w:lang w:val="en-US" w:eastAsia="zh-CN"/>
        </w:rPr>
        <w:t>质量部定期对产品质量控制、成品放行控制的适宜性、充分性、有效性进行评审，并实施必要的后续措施。</w:t>
      </w:r>
    </w:p>
    <w:p>
      <w:pPr>
        <w:numPr>
          <w:ilvl w:val="2"/>
          <w:numId w:val="2"/>
        </w:numPr>
        <w:bidi w:val="0"/>
        <w:rPr>
          <w:rFonts w:hint="default"/>
          <w:color w:val="auto"/>
        </w:rPr>
      </w:pPr>
      <w:r>
        <w:rPr>
          <w:rFonts w:hint="eastAsia"/>
          <w:color w:val="auto"/>
          <w:lang w:val="en-US" w:eastAsia="zh-CN"/>
        </w:rPr>
        <w:t>各部门</w:t>
      </w:r>
      <w:r>
        <w:rPr>
          <w:rFonts w:hint="default"/>
          <w:color w:val="auto"/>
          <w:lang w:val="en-US" w:eastAsia="zh-CN"/>
        </w:rPr>
        <w:t>收集和分析数据以便提供有关以下方面的信息：</w:t>
      </w:r>
    </w:p>
    <w:p>
      <w:pPr>
        <w:pageBreakBefore w:val="0"/>
        <w:numPr>
          <w:ilvl w:val="0"/>
          <w:numId w:val="4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顾客反馈。（满意、不满意等）</w:t>
      </w:r>
    </w:p>
    <w:p>
      <w:pPr>
        <w:pageBreakBefore w:val="0"/>
        <w:numPr>
          <w:ilvl w:val="0"/>
          <w:numId w:val="4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过程，产品的特性的满足及发展趋势</w:t>
      </w:r>
      <w:r>
        <w:rPr>
          <w:rFonts w:hint="eastAsia" w:ascii="Times New Roman" w:hAnsi="Times New Roman" w:eastAsia="宋体" w:cs="Times New Roman"/>
          <w:color w:val="auto"/>
          <w:sz w:val="21"/>
          <w:szCs w:val="21"/>
          <w:highlight w:val="none"/>
          <w:lang w:val="en-US" w:eastAsia="zh-CN"/>
        </w:rPr>
        <w:t>。（合格率、不合格率）</w:t>
      </w:r>
    </w:p>
    <w:p>
      <w:pPr>
        <w:pageBreakBefore w:val="0"/>
        <w:numPr>
          <w:ilvl w:val="0"/>
          <w:numId w:val="4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质量管理体系运行有关的数据</w:t>
      </w:r>
      <w:r>
        <w:rPr>
          <w:rFonts w:hint="eastAsia" w:ascii="Times New Roman" w:hAnsi="Times New Roman" w:eastAsia="宋体" w:cs="Times New Roman"/>
          <w:color w:val="auto"/>
          <w:sz w:val="21"/>
          <w:szCs w:val="21"/>
          <w:highlight w:val="none"/>
          <w:lang w:val="en-US" w:eastAsia="zh-CN"/>
        </w:rPr>
        <w:t>，包括采取预防措施的机会。</w:t>
      </w:r>
    </w:p>
    <w:p>
      <w:pPr>
        <w:pageBreakBefore w:val="0"/>
        <w:numPr>
          <w:ilvl w:val="0"/>
          <w:numId w:val="44"/>
        </w:numPr>
        <w:tabs>
          <w:tab w:val="left" w:pos="1060"/>
        </w:tabs>
        <w:kinsoku/>
        <w:wordWrap/>
        <w:overflowPunct/>
        <w:topLinePunct w:val="0"/>
        <w:bidi w:val="0"/>
        <w:spacing w:line="360" w:lineRule="auto"/>
        <w:ind w:left="1058" w:leftChars="304" w:right="105" w:rightChars="50" w:hanging="420" w:hanging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供方物料质量状况及发展趋势。（合格率、不合格率</w:t>
      </w:r>
      <w:r>
        <w:rPr>
          <w:rFonts w:hint="eastAsia" w:cs="Times New Roman"/>
          <w:color w:val="auto"/>
          <w:sz w:val="21"/>
          <w:szCs w:val="21"/>
          <w:highlight w:val="none"/>
          <w:lang w:val="en-US" w:eastAsia="zh-CN"/>
        </w:rPr>
        <w:t>、供货及时率等</w:t>
      </w:r>
      <w:r>
        <w:rPr>
          <w:rFonts w:hint="eastAsia" w:ascii="Times New Roman" w:hAnsi="Times New Roman" w:eastAsia="宋体" w:cs="Times New Roman"/>
          <w:color w:val="auto"/>
          <w:sz w:val="21"/>
          <w:szCs w:val="21"/>
          <w:highlight w:val="none"/>
          <w:lang w:val="en-US" w:eastAsia="zh-CN"/>
        </w:rPr>
        <w:t>）</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改进/持续改进</w:t>
      </w:r>
    </w:p>
    <w:p>
      <w:pPr>
        <w:pStyle w:val="3"/>
        <w:numPr>
          <w:ilvl w:val="2"/>
          <w:numId w:val="2"/>
        </w:numPr>
        <w:bidi w:val="0"/>
        <w:ind w:left="0" w:leftChars="0" w:firstLine="0" w:firstLineChars="0"/>
        <w:rPr>
          <w:rFonts w:hint="eastAsia"/>
          <w:color w:val="auto"/>
          <w:highlight w:val="none"/>
          <w:lang w:val="en-US" w:eastAsia="zh-CN"/>
        </w:rPr>
      </w:pPr>
      <w:r>
        <w:rPr>
          <w:rFonts w:hint="default" w:cs="Times New Roman"/>
          <w:color w:val="auto"/>
          <w:sz w:val="21"/>
          <w:szCs w:val="21"/>
          <w:highlight w:val="none"/>
          <w:lang w:val="en-US" w:eastAsia="zh-CN"/>
        </w:rPr>
        <w:t>总则</w:t>
      </w:r>
    </w:p>
    <w:p>
      <w:pPr>
        <w:numPr>
          <w:ilvl w:val="3"/>
          <w:numId w:val="2"/>
        </w:numPr>
        <w:bidi w:val="0"/>
        <w:rPr>
          <w:rFonts w:hint="eastAsia"/>
          <w:color w:val="auto"/>
          <w:lang w:val="en-US" w:eastAsia="zh-CN"/>
        </w:rPr>
      </w:pPr>
      <w:r>
        <w:rPr>
          <w:rFonts w:hint="eastAsia"/>
          <w:color w:val="auto"/>
          <w:lang w:val="en-US" w:eastAsia="zh-CN"/>
        </w:rPr>
        <w:t>公司利用质量方针、质量目标、审核结果、数据分析、纠正和预防措施以及管理评审，来识别和实施任何必要的更改，以确保和保持质量管理体系的适宜性和有效性。</w:t>
      </w:r>
    </w:p>
    <w:p>
      <w:pPr>
        <w:numPr>
          <w:ilvl w:val="3"/>
          <w:numId w:val="2"/>
        </w:numPr>
        <w:bidi w:val="0"/>
        <w:rPr>
          <w:rFonts w:hint="eastAsia"/>
          <w:color w:val="auto"/>
          <w:lang w:val="en-US" w:eastAsia="zh-CN"/>
        </w:rPr>
      </w:pPr>
      <w:r>
        <w:rPr>
          <w:rFonts w:hint="eastAsia"/>
          <w:color w:val="auto"/>
          <w:lang w:val="en-US" w:eastAsia="zh-CN"/>
        </w:rPr>
        <w:t>质量部按照有关法规要求建立《不良事件监测及再评价控制程序》，规定可疑不良事件管理人员的职责、报告原则、上报程序、上报时限，制定启动实施医疗器械再评价的程序和文件等要求，对产品主动开展不良事件监测和再评价工作，保持相关记录。并按规定直接报告医疗器械不良事件。</w:t>
      </w:r>
    </w:p>
    <w:p>
      <w:pPr>
        <w:numPr>
          <w:ilvl w:val="3"/>
          <w:numId w:val="2"/>
        </w:numPr>
        <w:bidi w:val="0"/>
        <w:rPr>
          <w:rFonts w:hint="eastAsia"/>
          <w:color w:val="auto"/>
          <w:lang w:val="en-US" w:eastAsia="zh-CN"/>
        </w:rPr>
      </w:pPr>
      <w:r>
        <w:rPr>
          <w:rFonts w:hint="eastAsia"/>
          <w:color w:val="auto"/>
          <w:lang w:val="en-US" w:eastAsia="zh-CN"/>
        </w:rPr>
        <w:t>国家对不良事件上报的相应规定，一并纳入《不良事件监测及再评价控制程序》，发现医疗器械不良事件或者可疑不良事件的，应当按照规定直接向医疗器械不良事件监测技术机构报告，及时开展调查、分析、评价，主动控制产品风险，并报告评价结果。按要求向主管部门上报。主动开展已上市医疗器械再评价，根据再评价结果，采取相应控制措施，对已上市医疗器械进行持续改进，并按规定进行注册变更。再评价结果表明已注册的医疗器械不能保证安全、有效的，主动申请注销医疗器械注册证。</w:t>
      </w:r>
    </w:p>
    <w:p>
      <w:pPr>
        <w:numPr>
          <w:ilvl w:val="3"/>
          <w:numId w:val="2"/>
        </w:numPr>
        <w:bidi w:val="0"/>
        <w:rPr>
          <w:rFonts w:hint="eastAsia"/>
          <w:color w:val="auto"/>
          <w:lang w:val="en-US" w:eastAsia="zh-CN"/>
        </w:rPr>
      </w:pPr>
      <w:r>
        <w:rPr>
          <w:rFonts w:hint="eastAsia"/>
          <w:color w:val="auto"/>
          <w:lang w:val="en-US" w:eastAsia="zh-CN"/>
        </w:rPr>
        <w:t>《客户反馈管理规范》规定了调查顾客反馈的要求，并保存顾客反馈调查的记录，当顾客反馈的调查表明是在供应商开展的活动导致了顾客反馈，则相关资料应在传递给供应商，并监督供应商采取措施。如果顾客反馈没有采取预防和纠正措施，则其理由应经过管理者代表予以批准并记录。</w:t>
      </w:r>
    </w:p>
    <w:p>
      <w:pPr>
        <w:numPr>
          <w:ilvl w:val="3"/>
          <w:numId w:val="2"/>
        </w:numPr>
        <w:bidi w:val="0"/>
        <w:rPr>
          <w:rFonts w:hint="eastAsia"/>
          <w:color w:val="auto"/>
          <w:lang w:val="en-US" w:eastAsia="zh-CN"/>
        </w:rPr>
      </w:pPr>
      <w:r>
        <w:rPr>
          <w:rFonts w:hint="eastAsia"/>
          <w:color w:val="auto"/>
          <w:lang w:val="en-US" w:eastAsia="zh-CN"/>
        </w:rPr>
        <w:t>质量部应当对供应商采取的与法规符合性有关的纠正与预防措施进行审核并批准。纠正与预防措施体系应当包括作为数据输入以及质量指标的不合格品报告、偏差和投诉调查，以符合法规要求。</w:t>
      </w:r>
    </w:p>
    <w:p>
      <w:pPr>
        <w:numPr>
          <w:ilvl w:val="3"/>
          <w:numId w:val="2"/>
        </w:numPr>
        <w:bidi w:val="0"/>
        <w:rPr>
          <w:rFonts w:hint="eastAsia"/>
          <w:color w:val="auto"/>
          <w:lang w:val="en-US" w:eastAsia="zh-CN"/>
        </w:rPr>
      </w:pPr>
      <w:r>
        <w:rPr>
          <w:rFonts w:hint="eastAsia"/>
          <w:color w:val="auto"/>
          <w:lang w:val="en-US" w:eastAsia="zh-CN"/>
        </w:rPr>
        <w:t>持续改进的重点是改进产品的特性，提高质量管理体系过程的有效性。实现质量管理体系的持续改进，可通过以下途径：</w:t>
      </w:r>
    </w:p>
    <w:p>
      <w:pPr>
        <w:pageBreakBefore w:val="0"/>
        <w:numPr>
          <w:ilvl w:val="0"/>
          <w:numId w:val="4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通过质量方针的建立与实施，营造一个改进氛围与环境。</w:t>
      </w:r>
    </w:p>
    <w:p>
      <w:pPr>
        <w:pageBreakBefore w:val="0"/>
        <w:numPr>
          <w:ilvl w:val="0"/>
          <w:numId w:val="4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确立质量目标以明确改进的方向。</w:t>
      </w:r>
    </w:p>
    <w:p>
      <w:pPr>
        <w:pageBreakBefore w:val="0"/>
        <w:numPr>
          <w:ilvl w:val="0"/>
          <w:numId w:val="4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通过数据分析、内部审核不断寻求改进的机会，并做出适当的改进活动。</w:t>
      </w:r>
    </w:p>
    <w:p>
      <w:pPr>
        <w:pageBreakBefore w:val="0"/>
        <w:numPr>
          <w:ilvl w:val="0"/>
          <w:numId w:val="4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实施纠正和预防措施以及其他适用的措施实现改进。</w:t>
      </w:r>
    </w:p>
    <w:p>
      <w:pPr>
        <w:pageBreakBefore w:val="0"/>
        <w:numPr>
          <w:ilvl w:val="0"/>
          <w:numId w:val="45"/>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在管理评审中评价改进效果，确定新的改进目标和改进决定。</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纠正措施</w:t>
      </w:r>
    </w:p>
    <w:p>
      <w:pPr>
        <w:pageBreakBefore w:val="0"/>
        <w:kinsoku/>
        <w:wordWrap/>
        <w:overflowPunct/>
        <w:topLinePunct w:val="0"/>
        <w:bidi w:val="0"/>
        <w:adjustRightIn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质量部建立</w:t>
      </w:r>
      <w:r>
        <w:rPr>
          <w:rFonts w:hint="default" w:ascii="Times New Roman" w:hAnsi="Times New Roman" w:eastAsia="宋体" w:cs="Times New Roman"/>
          <w:color w:val="auto"/>
          <w:kern w:val="0"/>
          <w:sz w:val="21"/>
          <w:szCs w:val="21"/>
          <w:highlight w:val="none"/>
        </w:rPr>
        <w:t>《纠正及预防措施控制程序》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 w:val="0"/>
          <w:bCs w:val="0"/>
          <w:color w:val="auto"/>
          <w:sz w:val="21"/>
          <w:szCs w:val="21"/>
          <w:highlight w:val="none"/>
        </w:rPr>
        <w:t>确定产生问题的原因</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采取有效措施</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color w:val="auto"/>
          <w:kern w:val="0"/>
          <w:sz w:val="21"/>
          <w:szCs w:val="21"/>
          <w:highlight w:val="none"/>
        </w:rPr>
        <w:t>以消除不合格的原因，防止</w:t>
      </w:r>
      <w:r>
        <w:rPr>
          <w:rFonts w:hint="default" w:ascii="Times New Roman" w:hAnsi="Times New Roman" w:eastAsia="宋体" w:cs="Times New Roman"/>
          <w:b w:val="0"/>
          <w:bCs w:val="0"/>
          <w:color w:val="auto"/>
          <w:sz w:val="21"/>
          <w:szCs w:val="21"/>
          <w:highlight w:val="none"/>
        </w:rPr>
        <w:t>相关问题再次发生。</w:t>
      </w:r>
      <w:r>
        <w:rPr>
          <w:rFonts w:hint="default" w:ascii="Times New Roman" w:hAnsi="Times New Roman" w:eastAsia="宋体" w:cs="Times New Roman"/>
          <w:color w:val="auto"/>
          <w:kern w:val="0"/>
          <w:sz w:val="21"/>
          <w:szCs w:val="21"/>
          <w:highlight w:val="none"/>
        </w:rPr>
        <w:t>纠正措施应与所遇到不合格的影响程度相适应。《纠正及预防措施控制程序》规定以下方面的要求：</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评审不合格（包括质量管理体系运作方面的不合格，产品质量方面的不合格，</w:t>
      </w:r>
      <w:r>
        <w:rPr>
          <w:rFonts w:hint="eastAsia" w:ascii="Times New Roman" w:hAnsi="Times New Roman" w:eastAsia="宋体" w:cs="Times New Roman"/>
          <w:color w:val="auto"/>
          <w:sz w:val="21"/>
          <w:szCs w:val="21"/>
          <w:highlight w:val="none"/>
          <w:lang w:val="en-US" w:eastAsia="zh-CN"/>
        </w:rPr>
        <w:t>顾客反馈</w:t>
      </w:r>
      <w:r>
        <w:rPr>
          <w:rFonts w:hint="default" w:ascii="Times New Roman" w:hAnsi="Times New Roman" w:eastAsia="宋体" w:cs="Times New Roman"/>
          <w:color w:val="auto"/>
          <w:sz w:val="21"/>
          <w:szCs w:val="21"/>
          <w:highlight w:val="none"/>
          <w:lang w:val="en-US" w:eastAsia="zh-CN"/>
        </w:rPr>
        <w:t>投诉所引发的不合格的评审）。</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确定不合格的原因。</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评价确保不合格不再发生的措施的需求。</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确定和实施所需的措施。</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记录所采取措施的结果。</w:t>
      </w:r>
    </w:p>
    <w:p>
      <w:pPr>
        <w:pageBreakBefore w:val="0"/>
        <w:numPr>
          <w:ilvl w:val="0"/>
          <w:numId w:val="46"/>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评审所采取的纠正措施和其有效性。</w:t>
      </w:r>
    </w:p>
    <w:p>
      <w:pPr>
        <w:pStyle w:val="3"/>
        <w:numPr>
          <w:ilvl w:val="2"/>
          <w:numId w:val="2"/>
        </w:numPr>
        <w:bidi w:val="0"/>
        <w:ind w:left="0" w:leftChars="0" w:firstLine="0" w:firstLineChars="0"/>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预防措施</w:t>
      </w:r>
    </w:p>
    <w:p>
      <w:pPr>
        <w:pageBreakBefore w:val="0"/>
        <w:tabs>
          <w:tab w:val="left" w:pos="1197"/>
        </w:tabs>
        <w:kinsoku/>
        <w:wordWrap/>
        <w:overflowPunct/>
        <w:topLinePunct w:val="0"/>
        <w:bidi w:val="0"/>
        <w:adjustRightIn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质量部建立</w:t>
      </w:r>
      <w:r>
        <w:rPr>
          <w:rFonts w:hint="default" w:ascii="Times New Roman" w:hAnsi="Times New Roman" w:eastAsia="宋体" w:cs="Times New Roman"/>
          <w:color w:val="auto"/>
          <w:kern w:val="0"/>
          <w:sz w:val="21"/>
          <w:szCs w:val="21"/>
          <w:highlight w:val="none"/>
        </w:rPr>
        <w:t>《纠正及预防措施控制程序》，</w:t>
      </w:r>
      <w:r>
        <w:rPr>
          <w:rFonts w:hint="default" w:ascii="Times New Roman" w:hAnsi="Times New Roman" w:eastAsia="宋体" w:cs="Times New Roman"/>
          <w:b w:val="0"/>
          <w:bCs w:val="0"/>
          <w:color w:val="auto"/>
          <w:sz w:val="21"/>
          <w:szCs w:val="21"/>
          <w:highlight w:val="none"/>
        </w:rPr>
        <w:t>确定潜在问题的原因，采取有效措施，防止问题发生。</w:t>
      </w:r>
      <w:r>
        <w:rPr>
          <w:rFonts w:hint="default" w:ascii="Times New Roman" w:hAnsi="Times New Roman" w:eastAsia="宋体" w:cs="Times New Roman"/>
          <w:color w:val="auto"/>
          <w:kern w:val="0"/>
          <w:sz w:val="21"/>
          <w:szCs w:val="21"/>
          <w:highlight w:val="none"/>
        </w:rPr>
        <w:t>预防措施应与潜在问题的影响程度相适应。《纠正及预防措施控制程序》规定以下方面的要求：</w:t>
      </w:r>
    </w:p>
    <w:p>
      <w:pPr>
        <w:pageBreakBefore w:val="0"/>
        <w:numPr>
          <w:ilvl w:val="0"/>
          <w:numId w:val="4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确定潜在不合格及其原因。</w:t>
      </w:r>
    </w:p>
    <w:p>
      <w:pPr>
        <w:pageBreakBefore w:val="0"/>
        <w:numPr>
          <w:ilvl w:val="0"/>
          <w:numId w:val="4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评价防止不合格发生的措施的需求。</w:t>
      </w:r>
    </w:p>
    <w:p>
      <w:pPr>
        <w:pageBreakBefore w:val="0"/>
        <w:numPr>
          <w:ilvl w:val="0"/>
          <w:numId w:val="4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确定和实施所需的措施。</w:t>
      </w:r>
    </w:p>
    <w:p>
      <w:pPr>
        <w:pageBreakBefore w:val="0"/>
        <w:numPr>
          <w:ilvl w:val="0"/>
          <w:numId w:val="4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记录所采取措施的结果。</w:t>
      </w:r>
    </w:p>
    <w:p>
      <w:pPr>
        <w:pageBreakBefore w:val="0"/>
        <w:numPr>
          <w:ilvl w:val="0"/>
          <w:numId w:val="47"/>
        </w:numPr>
        <w:tabs>
          <w:tab w:val="left" w:pos="1060"/>
        </w:tabs>
        <w:kinsoku/>
        <w:wordWrap/>
        <w:overflowPunct/>
        <w:topLinePunct w:val="0"/>
        <w:bidi w:val="0"/>
        <w:spacing w:line="360" w:lineRule="auto"/>
        <w:ind w:left="1058" w:leftChars="304" w:right="105" w:rightChars="50" w:hanging="420" w:hangingChars="2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评审所采取的预防措施及其有效性。</w:t>
      </w:r>
    </w:p>
    <w:p>
      <w:pPr>
        <w:pStyle w:val="3"/>
        <w:numPr>
          <w:ilvl w:val="1"/>
          <w:numId w:val="2"/>
        </w:numPr>
        <w:bidi w:val="0"/>
        <w:ind w:left="0" w:leftChars="0" w:firstLine="0" w:firstLineChars="0"/>
        <w:rPr>
          <w:rFonts w:hint="default"/>
          <w:color w:val="auto"/>
          <w:highlight w:val="none"/>
          <w:lang w:val="en-US" w:eastAsia="zh-CN"/>
        </w:rPr>
      </w:pPr>
      <w:r>
        <w:rPr>
          <w:rFonts w:hint="default"/>
          <w:color w:val="auto"/>
          <w:highlight w:val="none"/>
          <w:lang w:val="en-US" w:eastAsia="zh-CN"/>
        </w:rPr>
        <w:t>引用文件</w:t>
      </w:r>
    </w:p>
    <w:p>
      <w:pPr>
        <w:numPr>
          <w:ilvl w:val="2"/>
          <w:numId w:val="2"/>
        </w:numPr>
        <w:bidi w:val="0"/>
        <w:rPr>
          <w:rFonts w:hint="default"/>
          <w:color w:val="auto"/>
          <w:lang w:val="en-US" w:eastAsia="zh-CN"/>
        </w:rPr>
      </w:pPr>
      <w:r>
        <w:rPr>
          <w:rFonts w:hint="default"/>
          <w:color w:val="auto"/>
          <w:lang w:val="en-US" w:eastAsia="zh-CN"/>
        </w:rPr>
        <w:t>《与顾客有关的过程控制程序》       (XX-QP-008)</w:t>
      </w:r>
    </w:p>
    <w:p>
      <w:pPr>
        <w:numPr>
          <w:ilvl w:val="2"/>
          <w:numId w:val="2"/>
        </w:numPr>
        <w:bidi w:val="0"/>
        <w:rPr>
          <w:rFonts w:hint="default"/>
          <w:color w:val="auto"/>
          <w:lang w:val="en-US" w:eastAsia="zh-CN"/>
        </w:rPr>
      </w:pPr>
      <w:r>
        <w:rPr>
          <w:rFonts w:hint="default"/>
          <w:color w:val="auto"/>
          <w:lang w:val="en-US" w:eastAsia="zh-CN"/>
        </w:rPr>
        <w:t>《内部审核控制程序》               (XX-QP-016)</w:t>
      </w:r>
    </w:p>
    <w:p>
      <w:pPr>
        <w:numPr>
          <w:ilvl w:val="2"/>
          <w:numId w:val="2"/>
        </w:numPr>
        <w:bidi w:val="0"/>
        <w:rPr>
          <w:rFonts w:hint="default"/>
          <w:color w:val="auto"/>
          <w:lang w:val="en-US" w:eastAsia="zh-CN"/>
        </w:rPr>
      </w:pPr>
      <w:r>
        <w:rPr>
          <w:rFonts w:hint="default"/>
          <w:color w:val="auto"/>
          <w:lang w:val="en-US" w:eastAsia="zh-CN"/>
        </w:rPr>
        <w:t>《检验和试验控制程序》             (XX-QP-017)</w:t>
      </w:r>
    </w:p>
    <w:p>
      <w:pPr>
        <w:numPr>
          <w:ilvl w:val="2"/>
          <w:numId w:val="2"/>
        </w:numPr>
        <w:bidi w:val="0"/>
        <w:rPr>
          <w:rFonts w:hint="default"/>
          <w:color w:val="auto"/>
          <w:lang w:val="en-US" w:eastAsia="zh-CN"/>
        </w:rPr>
      </w:pPr>
      <w:r>
        <w:rPr>
          <w:rFonts w:hint="default"/>
          <w:color w:val="auto"/>
          <w:lang w:val="en-US" w:eastAsia="zh-CN"/>
        </w:rPr>
        <w:t>《不合格品控制程序》               (XX-QP-018)</w:t>
      </w:r>
    </w:p>
    <w:p>
      <w:pPr>
        <w:numPr>
          <w:ilvl w:val="2"/>
          <w:numId w:val="2"/>
        </w:numPr>
        <w:bidi w:val="0"/>
        <w:rPr>
          <w:rFonts w:hint="default"/>
          <w:color w:val="auto"/>
          <w:lang w:val="en-US" w:eastAsia="zh-CN"/>
        </w:rPr>
      </w:pPr>
      <w:r>
        <w:rPr>
          <w:rFonts w:hint="default"/>
          <w:color w:val="auto"/>
          <w:lang w:val="en-US" w:eastAsia="zh-CN"/>
        </w:rPr>
        <w:t>《纠正及预防措施控制程序》         (XX-QP-019)</w:t>
      </w:r>
    </w:p>
    <w:p>
      <w:pPr>
        <w:numPr>
          <w:ilvl w:val="2"/>
          <w:numId w:val="2"/>
        </w:numPr>
        <w:bidi w:val="0"/>
        <w:rPr>
          <w:rFonts w:hint="default"/>
          <w:color w:val="auto"/>
          <w:lang w:val="en-US" w:eastAsia="zh-CN"/>
        </w:rPr>
      </w:pPr>
      <w:r>
        <w:rPr>
          <w:rFonts w:hint="default"/>
          <w:color w:val="auto"/>
          <w:lang w:val="en-US" w:eastAsia="zh-CN"/>
        </w:rPr>
        <w:t>《数据分析控制程序》               (XX-QP-020)</w:t>
      </w:r>
    </w:p>
    <w:p>
      <w:pPr>
        <w:numPr>
          <w:ilvl w:val="2"/>
          <w:numId w:val="2"/>
        </w:numPr>
        <w:bidi w:val="0"/>
        <w:rPr>
          <w:rFonts w:hint="default"/>
          <w:color w:val="auto"/>
          <w:lang w:val="en-US" w:eastAsia="zh-CN"/>
        </w:rPr>
      </w:pPr>
      <w:r>
        <w:rPr>
          <w:rFonts w:hint="default"/>
          <w:color w:val="auto"/>
          <w:lang w:val="en-US" w:eastAsia="zh-CN"/>
        </w:rPr>
        <w:t xml:space="preserve">《忠告性能知控制程序》             (XX-QP-021) </w:t>
      </w:r>
    </w:p>
    <w:p>
      <w:pPr>
        <w:numPr>
          <w:ilvl w:val="2"/>
          <w:numId w:val="2"/>
        </w:numPr>
        <w:bidi w:val="0"/>
        <w:rPr>
          <w:rFonts w:hint="default"/>
          <w:color w:val="auto"/>
          <w:lang w:val="en-US" w:eastAsia="zh-CN"/>
        </w:rPr>
      </w:pPr>
      <w:r>
        <w:rPr>
          <w:rFonts w:hint="default"/>
          <w:color w:val="auto"/>
          <w:lang w:val="en-US" w:eastAsia="zh-CN"/>
        </w:rPr>
        <w:t>《不良事件报告控制程序》           (XX-QP-022)</w:t>
      </w: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pPr>
        <w:pStyle w:val="2"/>
        <w:numPr>
          <w:ilvl w:val="0"/>
          <w:numId w:val="0"/>
        </w:numPr>
        <w:bidi w:val="0"/>
        <w:ind w:leftChars="0"/>
        <w:rPr>
          <w:rFonts w:hint="default"/>
          <w:color w:val="auto"/>
        </w:rPr>
      </w:pPr>
      <w:r>
        <w:rPr>
          <w:rFonts w:hint="default"/>
          <w:color w:val="auto"/>
        </w:rPr>
        <w:t xml:space="preserve">附录A  </w:t>
      </w:r>
      <w:r>
        <w:rPr>
          <w:rFonts w:hint="eastAsia"/>
          <w:color w:val="auto"/>
          <w:lang w:val="en-US" w:eastAsia="zh-CN"/>
        </w:rPr>
        <w:t>质量管理体系</w:t>
      </w:r>
      <w:r>
        <w:rPr>
          <w:rFonts w:hint="default"/>
          <w:color w:val="auto"/>
        </w:rPr>
        <w:t>要素在各职能部门的分布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983"/>
        <w:gridCol w:w="711"/>
        <w:gridCol w:w="712"/>
        <w:gridCol w:w="677"/>
        <w:gridCol w:w="660"/>
        <w:gridCol w:w="677"/>
        <w:gridCol w:w="634"/>
        <w:gridCol w:w="626"/>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4429" w:type="dxa"/>
            <w:gridSpan w:val="2"/>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cs="Times New Roman"/>
                <w:b w:val="0"/>
                <w:color w:val="auto"/>
                <w:sz w:val="21"/>
                <w:szCs w:val="21"/>
                <w:highlight w:val="none"/>
                <w:lang w:val="en-US" w:eastAsia="zh-CN"/>
              </w:rPr>
              <w:t>质量管理体系</w:t>
            </w:r>
            <w:r>
              <w:rPr>
                <w:rFonts w:hint="default" w:ascii="Times New Roman" w:hAnsi="Times New Roman" w:eastAsia="宋体" w:cs="Times New Roman"/>
                <w:color w:val="auto"/>
                <w:sz w:val="21"/>
                <w:szCs w:val="21"/>
                <w:highlight w:val="none"/>
              </w:rPr>
              <w:t>要素</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F</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4.1</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质量管理体系</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4.2</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文件控制</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5.1</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管理承诺</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5.2</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以顾客为关注焦点</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5.3</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质量方针</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5.4</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策划</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5.5</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职责、权限和沟通</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5.6</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管理评审</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6.1</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资源管理</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6.2</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人力资源</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6.4</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工作环境控制</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7.1</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产品实现的策划</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7.2</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与顾客有关的过程</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7.3</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设计与开发</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7.4</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采购</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7.5</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生产和服务提供控制</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7.6</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监视和试验装置控制</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8.1</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监视、测量和改进</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8.2</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反馈/顾客满意</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8.3</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不合格品控制</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8.4</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数据分析</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8.5</w:t>
            </w:r>
          </w:p>
        </w:tc>
        <w:tc>
          <w:tcPr>
            <w:tcW w:w="2983"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改进/持续改进</w:t>
            </w:r>
          </w:p>
        </w:tc>
        <w:tc>
          <w:tcPr>
            <w:tcW w:w="711"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712"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0"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7"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34"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26"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665" w:type="dxa"/>
            <w:vAlign w:val="center"/>
          </w:tcPr>
          <w:p>
            <w:pPr>
              <w:pageBreakBefore w:val="0"/>
              <w:kinsoku/>
              <w:wordWrap/>
              <w:overflowPunct/>
              <w:topLinePunct w:val="0"/>
              <w:bidi w:val="0"/>
              <w:spacing w:line="240" w:lineRule="auto"/>
              <w:ind w:left="0" w:leftChars="0" w:right="105" w:rightChars="5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791" w:type="dxa"/>
            <w:gridSpan w:val="10"/>
            <w:vAlign w:val="center"/>
          </w:tcPr>
          <w:p>
            <w:pPr>
              <w:pageBreakBefore w:val="0"/>
              <w:kinsoku/>
              <w:wordWrap/>
              <w:overflowPunct/>
              <w:topLinePunct w:val="0"/>
              <w:bidi w:val="0"/>
              <w:spacing w:line="240" w:lineRule="auto"/>
              <w:ind w:right="105" w:rightChars="5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注1．符号表示：★ 主要职能要素        Δ辅助职能要素</w:t>
            </w:r>
          </w:p>
          <w:p>
            <w:pPr>
              <w:pageBreakBefore w:val="0"/>
              <w:kinsoku/>
              <w:wordWrap/>
              <w:overflowPunct/>
              <w:topLinePunct w:val="0"/>
              <w:bidi w:val="0"/>
              <w:spacing w:line="240" w:lineRule="auto"/>
              <w:ind w:right="105" w:rightChars="5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注2．编号表示：A—总经理。B—管理者代表。C—</w:t>
            </w:r>
            <w:r>
              <w:rPr>
                <w:rFonts w:hint="default" w:ascii="Times New Roman" w:hAnsi="Times New Roman" w:eastAsia="宋体" w:cs="Times New Roman"/>
                <w:color w:val="auto"/>
                <w:sz w:val="21"/>
                <w:szCs w:val="21"/>
                <w:highlight w:val="none"/>
                <w:lang w:eastAsia="zh-CN"/>
              </w:rPr>
              <w:t>销售部</w:t>
            </w:r>
            <w:r>
              <w:rPr>
                <w:rFonts w:hint="default" w:ascii="Times New Roman" w:hAnsi="Times New Roman" w:eastAsia="宋体" w:cs="Times New Roman"/>
                <w:color w:val="auto"/>
                <w:sz w:val="21"/>
                <w:szCs w:val="21"/>
                <w:highlight w:val="none"/>
              </w:rPr>
              <w:t>。D—质量部。</w:t>
            </w:r>
          </w:p>
          <w:p>
            <w:pPr>
              <w:pageBreakBefore w:val="0"/>
              <w:kinsoku/>
              <w:wordWrap/>
              <w:overflowPunct/>
              <w:topLinePunct w:val="0"/>
              <w:bidi w:val="0"/>
              <w:spacing w:line="240" w:lineRule="auto"/>
              <w:ind w:right="105" w:rightChars="50" w:firstLine="1680" w:firstLineChars="8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E—生产部。 F—</w:t>
            </w:r>
            <w:r>
              <w:rPr>
                <w:rFonts w:hint="default" w:ascii="Times New Roman" w:hAnsi="Times New Roman" w:eastAsia="宋体" w:cs="Times New Roman"/>
                <w:color w:val="auto"/>
                <w:sz w:val="21"/>
                <w:szCs w:val="21"/>
                <w:highlight w:val="none"/>
                <w:lang w:eastAsia="zh-CN"/>
              </w:rPr>
              <w:t>人事部</w:t>
            </w:r>
            <w:r>
              <w:rPr>
                <w:rFonts w:hint="default" w:ascii="Times New Roman" w:hAnsi="Times New Roman" w:eastAsia="宋体" w:cs="Times New Roman"/>
                <w:color w:val="auto"/>
                <w:sz w:val="21"/>
                <w:szCs w:val="21"/>
                <w:highlight w:val="none"/>
              </w:rPr>
              <w:t>。G—研发部。H—采购部。</w:t>
            </w:r>
          </w:p>
        </w:tc>
      </w:tr>
    </w:tbl>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pPr>
        <w:pStyle w:val="2"/>
        <w:numPr>
          <w:ilvl w:val="0"/>
          <w:numId w:val="0"/>
        </w:numPr>
        <w:bidi w:val="0"/>
        <w:ind w:leftChars="0"/>
        <w:rPr>
          <w:rFonts w:hint="eastAsia" w:eastAsia="宋体"/>
          <w:color w:val="auto"/>
          <w:lang w:eastAsia="zh-CN"/>
        </w:rPr>
      </w:pPr>
      <w:r>
        <w:rPr>
          <w:rFonts w:hint="default"/>
          <w:color w:val="auto"/>
        </w:rPr>
        <w:t xml:space="preserve">附录B  </w:t>
      </w:r>
      <w:r>
        <w:rPr>
          <w:rFonts w:hint="eastAsia"/>
          <w:color w:val="auto"/>
          <w:lang w:val="en-US" w:eastAsia="zh-CN"/>
        </w:rPr>
        <w:t xml:space="preserve">                    </w:t>
      </w:r>
      <w:r>
        <w:rPr>
          <w:rFonts w:hint="eastAsia"/>
          <w:color w:val="auto"/>
          <w:lang w:eastAsia="zh-CN"/>
        </w:rPr>
        <w:t>医疗器械</w:t>
      </w:r>
      <w:r>
        <w:rPr>
          <w:rFonts w:hint="default"/>
          <w:color w:val="auto"/>
        </w:rPr>
        <w:t>企业管理者代表授权书</w:t>
      </w:r>
    </w:p>
    <w:p>
      <w:pPr>
        <w:pStyle w:val="13"/>
        <w:spacing w:line="240" w:lineRule="auto"/>
        <w:jc w:val="center"/>
        <w:rPr>
          <w:rFonts w:hint="eastAsia" w:ascii="Times New Roman" w:hAnsi="Times New Roman" w:eastAsia="宋体" w:cs="Times New Roman"/>
          <w:i/>
          <w:iCs/>
          <w:color w:val="auto"/>
          <w:sz w:val="24"/>
          <w:szCs w:val="24"/>
          <w:highlight w:val="none"/>
          <w:lang w:eastAsia="zh-CN"/>
        </w:rPr>
      </w:pPr>
      <w:r>
        <w:rPr>
          <w:rFonts w:hint="eastAsia" w:cs="Times New Roman"/>
          <w:i/>
          <w:iCs/>
          <w:color w:val="auto"/>
          <w:sz w:val="24"/>
          <w:szCs w:val="24"/>
          <w:highlight w:val="none"/>
          <w:lang w:eastAsia="zh-CN"/>
        </w:rPr>
        <w:t>【</w:t>
      </w:r>
      <w:r>
        <w:rPr>
          <w:rFonts w:hint="eastAsia"/>
          <w:i/>
          <w:iCs/>
          <w:color w:val="auto"/>
          <w:sz w:val="24"/>
          <w:szCs w:val="24"/>
          <w:highlight w:val="none"/>
          <w:lang w:val="en-US" w:eastAsia="zh-CN"/>
        </w:rPr>
        <w:t>以广东省要求为例</w:t>
      </w:r>
      <w:r>
        <w:rPr>
          <w:rFonts w:hint="eastAsia" w:cs="Times New Roman"/>
          <w:i/>
          <w:iCs/>
          <w:color w:val="auto"/>
          <w:sz w:val="24"/>
          <w:szCs w:val="24"/>
          <w:highlight w:val="none"/>
          <w:lang w:eastAsia="zh-CN"/>
        </w:rPr>
        <w:t>】</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p>
      <w:pPr>
        <w:bidi w:val="0"/>
        <w:rPr>
          <w:rFonts w:hint="default"/>
          <w:color w:val="auto"/>
        </w:rPr>
      </w:pPr>
      <w:r>
        <w:rPr>
          <w:rFonts w:hint="default"/>
          <w:color w:val="auto"/>
          <w:u w:val="single"/>
        </w:rPr>
        <w:t xml:space="preserve">     </w:t>
      </w:r>
      <w:r>
        <w:rPr>
          <w:rFonts w:hint="default"/>
          <w:color w:val="auto"/>
        </w:rPr>
        <w:t>（以下简称授权人）现代表</w:t>
      </w:r>
      <w:r>
        <w:rPr>
          <w:rFonts w:hint="default"/>
          <w:color w:val="auto"/>
          <w:u w:val="single"/>
        </w:rPr>
        <w:t xml:space="preserve">                     </w:t>
      </w:r>
      <w:r>
        <w:rPr>
          <w:rFonts w:hint="default"/>
          <w:color w:val="auto"/>
        </w:rPr>
        <w:t>公司委任</w:t>
      </w:r>
      <w:r>
        <w:rPr>
          <w:rFonts w:hint="default"/>
          <w:color w:val="auto"/>
          <w:u w:val="single"/>
        </w:rPr>
        <w:t xml:space="preserve">      </w:t>
      </w:r>
      <w:r>
        <w:rPr>
          <w:rFonts w:hint="default"/>
          <w:color w:val="auto"/>
        </w:rPr>
        <w:t>为企业管理者代表（以下简称管理者代表），任期自</w:t>
      </w:r>
      <w:r>
        <w:rPr>
          <w:rFonts w:hint="default"/>
          <w:color w:val="auto"/>
          <w:u w:val="single"/>
        </w:rPr>
        <w:t xml:space="preserve">           年    月   日至   年   月   日止</w:t>
      </w:r>
      <w:r>
        <w:rPr>
          <w:rFonts w:hint="default"/>
          <w:color w:val="auto"/>
        </w:rPr>
        <w:t>。授权人根据《广东省食品药品监督管理局关于</w:t>
      </w:r>
      <w:r>
        <w:rPr>
          <w:rFonts w:hint="eastAsia"/>
          <w:color w:val="auto"/>
          <w:lang w:eastAsia="zh-CN"/>
        </w:rPr>
        <w:t>医疗器械</w:t>
      </w:r>
      <w:r>
        <w:rPr>
          <w:rFonts w:hint="default"/>
          <w:color w:val="auto"/>
        </w:rPr>
        <w:t>企业管理者代表的管理办法》制定本授权书。</w:t>
      </w:r>
    </w:p>
    <w:p>
      <w:pPr>
        <w:bidi w:val="0"/>
        <w:rPr>
          <w:rFonts w:hint="default"/>
          <w:color w:val="auto"/>
        </w:rPr>
      </w:pPr>
      <w:r>
        <w:rPr>
          <w:rFonts w:hint="default"/>
          <w:color w:val="auto"/>
        </w:rPr>
        <w:t>第一条   管理者代表应树立</w:t>
      </w:r>
      <w:r>
        <w:rPr>
          <w:rFonts w:hint="eastAsia"/>
          <w:color w:val="auto"/>
          <w:lang w:eastAsia="zh-CN"/>
        </w:rPr>
        <w:t>医疗器械</w:t>
      </w:r>
      <w:r>
        <w:rPr>
          <w:rFonts w:hint="default"/>
          <w:color w:val="auto"/>
        </w:rPr>
        <w:t>质量意识和责任意识，以实事求是、坚持原则的态度，在履行相关职责时把公众利益放在首位，以保证本企业生产的</w:t>
      </w:r>
      <w:r>
        <w:rPr>
          <w:rFonts w:hint="eastAsia"/>
          <w:color w:val="auto"/>
          <w:lang w:eastAsia="zh-CN"/>
        </w:rPr>
        <w:t>医疗器械</w:t>
      </w:r>
      <w:r>
        <w:rPr>
          <w:rFonts w:hint="default"/>
          <w:color w:val="auto"/>
        </w:rPr>
        <w:t>的安全、有效为最高准则。</w:t>
      </w:r>
    </w:p>
    <w:p>
      <w:pPr>
        <w:bidi w:val="0"/>
        <w:rPr>
          <w:rFonts w:hint="default"/>
          <w:color w:val="auto"/>
        </w:rPr>
      </w:pPr>
      <w:r>
        <w:rPr>
          <w:rFonts w:hint="default"/>
          <w:color w:val="auto"/>
        </w:rPr>
        <w:t>第二条  管理者代表应贯彻执行</w:t>
      </w:r>
      <w:r>
        <w:rPr>
          <w:rFonts w:hint="eastAsia"/>
          <w:color w:val="auto"/>
          <w:lang w:eastAsia="zh-CN"/>
        </w:rPr>
        <w:t>医疗器械</w:t>
      </w:r>
      <w:r>
        <w:rPr>
          <w:rFonts w:hint="default"/>
          <w:color w:val="auto"/>
        </w:rPr>
        <w:t>质量管理的法律法规，组织建立、实施和保持本企业</w:t>
      </w:r>
      <w:r>
        <w:rPr>
          <w:rFonts w:hint="eastAsia"/>
          <w:color w:val="auto"/>
          <w:lang w:eastAsia="zh-CN"/>
        </w:rPr>
        <w:t>医疗器械</w:t>
      </w:r>
      <w:r>
        <w:rPr>
          <w:rFonts w:hint="default"/>
          <w:color w:val="auto"/>
        </w:rPr>
        <w:t>生产质量管理体系，具体包括：</w:t>
      </w:r>
    </w:p>
    <w:p>
      <w:pPr>
        <w:bidi w:val="0"/>
        <w:rPr>
          <w:rFonts w:hint="default"/>
          <w:color w:val="auto"/>
        </w:rPr>
      </w:pPr>
      <w:r>
        <w:rPr>
          <w:rFonts w:hint="default"/>
          <w:color w:val="auto"/>
        </w:rPr>
        <w:t xml:space="preserve">1．质量管理体系文件的批准； </w:t>
      </w:r>
    </w:p>
    <w:p>
      <w:pPr>
        <w:bidi w:val="0"/>
        <w:rPr>
          <w:rFonts w:hint="default"/>
          <w:color w:val="auto"/>
        </w:rPr>
      </w:pPr>
      <w:r>
        <w:rPr>
          <w:rFonts w:hint="default"/>
          <w:color w:val="auto"/>
        </w:rPr>
        <w:t xml:space="preserve">2．风险管理报告的批准； </w:t>
      </w:r>
    </w:p>
    <w:p>
      <w:pPr>
        <w:bidi w:val="0"/>
        <w:rPr>
          <w:rFonts w:hint="default"/>
          <w:color w:val="auto"/>
        </w:rPr>
      </w:pPr>
      <w:r>
        <w:rPr>
          <w:rFonts w:hint="default"/>
          <w:color w:val="auto"/>
        </w:rPr>
        <w:t>3．过程确认方案和过程确认报告的批准；</w:t>
      </w:r>
    </w:p>
    <w:p>
      <w:pPr>
        <w:bidi w:val="0"/>
        <w:rPr>
          <w:rFonts w:hint="default"/>
          <w:color w:val="auto"/>
        </w:rPr>
      </w:pPr>
      <w:r>
        <w:rPr>
          <w:rFonts w:hint="default"/>
          <w:color w:val="auto"/>
        </w:rPr>
        <w:t xml:space="preserve">4．工艺验证、关键工序和特殊过程参数的批准； </w:t>
      </w:r>
    </w:p>
    <w:p>
      <w:pPr>
        <w:bidi w:val="0"/>
        <w:rPr>
          <w:rFonts w:hint="default"/>
          <w:color w:val="auto"/>
        </w:rPr>
      </w:pPr>
      <w:r>
        <w:rPr>
          <w:rFonts w:hint="default"/>
          <w:color w:val="auto"/>
        </w:rPr>
        <w:t>5．原材料、半成品及成品质量控制标准的批准；</w:t>
      </w:r>
    </w:p>
    <w:p>
      <w:pPr>
        <w:bidi w:val="0"/>
        <w:rPr>
          <w:rFonts w:hint="default"/>
          <w:color w:val="auto"/>
        </w:rPr>
      </w:pPr>
      <w:r>
        <w:rPr>
          <w:rFonts w:hint="default"/>
          <w:color w:val="auto"/>
        </w:rPr>
        <w:t>6．每批次原材料及成品放行的批准；</w:t>
      </w:r>
    </w:p>
    <w:p>
      <w:pPr>
        <w:bidi w:val="0"/>
        <w:rPr>
          <w:rFonts w:hint="default"/>
          <w:color w:val="auto"/>
        </w:rPr>
      </w:pPr>
      <w:r>
        <w:rPr>
          <w:rFonts w:hint="default"/>
          <w:color w:val="auto"/>
        </w:rPr>
        <w:t>7．不合格品处理的批准。</w:t>
      </w:r>
    </w:p>
    <w:p>
      <w:pPr>
        <w:bidi w:val="0"/>
        <w:rPr>
          <w:rFonts w:hint="default"/>
          <w:color w:val="auto"/>
        </w:rPr>
      </w:pPr>
      <w:r>
        <w:rPr>
          <w:rFonts w:hint="default"/>
          <w:color w:val="auto"/>
        </w:rPr>
        <w:t>8．关键原材料供应商的选取；</w:t>
      </w:r>
    </w:p>
    <w:p>
      <w:pPr>
        <w:bidi w:val="0"/>
        <w:rPr>
          <w:rFonts w:hint="default"/>
          <w:color w:val="auto"/>
        </w:rPr>
      </w:pPr>
      <w:r>
        <w:rPr>
          <w:rFonts w:hint="default"/>
          <w:color w:val="auto"/>
        </w:rPr>
        <w:t>9．关键生产和检测设备的选取；</w:t>
      </w:r>
    </w:p>
    <w:p>
      <w:pPr>
        <w:bidi w:val="0"/>
        <w:rPr>
          <w:rFonts w:hint="default"/>
          <w:color w:val="auto"/>
        </w:rPr>
      </w:pPr>
      <w:r>
        <w:rPr>
          <w:rFonts w:hint="default"/>
          <w:color w:val="auto"/>
        </w:rPr>
        <w:t>10．生产、质量、采购、设备和工程等部门的关键岗位人员的选用；</w:t>
      </w:r>
    </w:p>
    <w:p>
      <w:pPr>
        <w:bidi w:val="0"/>
        <w:rPr>
          <w:rFonts w:hint="default"/>
          <w:color w:val="auto"/>
        </w:rPr>
      </w:pPr>
      <w:r>
        <w:rPr>
          <w:rFonts w:hint="default"/>
          <w:color w:val="auto"/>
        </w:rPr>
        <w:t>11．其他对产品质量有关键影响的活动。</w:t>
      </w:r>
    </w:p>
    <w:p>
      <w:pPr>
        <w:bidi w:val="0"/>
        <w:rPr>
          <w:rFonts w:hint="default"/>
          <w:color w:val="auto"/>
        </w:rPr>
      </w:pPr>
      <w:r>
        <w:rPr>
          <w:rFonts w:hint="default"/>
          <w:color w:val="auto"/>
        </w:rPr>
        <w:t>第三条 成品放行前，管理者代表应确保产品符合以下要求：</w:t>
      </w:r>
    </w:p>
    <w:p>
      <w:pPr>
        <w:bidi w:val="0"/>
        <w:rPr>
          <w:rFonts w:hint="default"/>
          <w:color w:val="auto"/>
        </w:rPr>
      </w:pPr>
      <w:r>
        <w:rPr>
          <w:rFonts w:hint="default"/>
          <w:color w:val="auto"/>
        </w:rPr>
        <w:t>1．该产品已取得</w:t>
      </w:r>
      <w:r>
        <w:rPr>
          <w:rFonts w:hint="eastAsia"/>
          <w:color w:val="auto"/>
          <w:lang w:eastAsia="zh-CN"/>
        </w:rPr>
        <w:t>医疗器械</w:t>
      </w:r>
      <w:r>
        <w:rPr>
          <w:rFonts w:hint="default"/>
          <w:color w:val="auto"/>
        </w:rPr>
        <w:t>注册证书，并与《</w:t>
      </w:r>
      <w:r>
        <w:rPr>
          <w:rFonts w:hint="eastAsia"/>
          <w:color w:val="auto"/>
          <w:lang w:eastAsia="zh-CN"/>
        </w:rPr>
        <w:t>医疗器械</w:t>
      </w:r>
      <w:r>
        <w:rPr>
          <w:rFonts w:hint="default"/>
          <w:color w:val="auto"/>
        </w:rPr>
        <w:t>生产企业许可证》生产范围相一致；</w:t>
      </w:r>
    </w:p>
    <w:p>
      <w:pPr>
        <w:bidi w:val="0"/>
        <w:rPr>
          <w:rFonts w:hint="default"/>
          <w:color w:val="auto"/>
        </w:rPr>
      </w:pPr>
      <w:r>
        <w:rPr>
          <w:rFonts w:hint="default"/>
          <w:color w:val="auto"/>
        </w:rPr>
        <w:t>2．生产和质量控制文件齐全；</w:t>
      </w:r>
    </w:p>
    <w:p>
      <w:pPr>
        <w:bidi w:val="0"/>
        <w:rPr>
          <w:rFonts w:hint="default"/>
          <w:color w:val="auto"/>
        </w:rPr>
      </w:pPr>
      <w:r>
        <w:rPr>
          <w:rFonts w:hint="default"/>
          <w:color w:val="auto"/>
        </w:rPr>
        <w:t>3．生产条件受控，按有关各类（包括设备和工艺等）验证和确认参数组织生产，生产记录完整；</w:t>
      </w:r>
    </w:p>
    <w:p>
      <w:pPr>
        <w:bidi w:val="0"/>
        <w:rPr>
          <w:rFonts w:hint="default"/>
          <w:color w:val="auto"/>
        </w:rPr>
      </w:pPr>
      <w:r>
        <w:rPr>
          <w:rFonts w:hint="default"/>
          <w:color w:val="auto"/>
        </w:rPr>
        <w:t>4．所有必要的检验和试验均已完成，记录真实完整，成品检验合格。</w:t>
      </w:r>
    </w:p>
    <w:p>
      <w:pPr>
        <w:bidi w:val="0"/>
        <w:rPr>
          <w:rFonts w:hint="default"/>
          <w:color w:val="auto"/>
        </w:rPr>
      </w:pPr>
      <w:r>
        <w:rPr>
          <w:rFonts w:hint="default"/>
          <w:color w:val="auto"/>
        </w:rPr>
        <w:t>第四条 在</w:t>
      </w:r>
      <w:r>
        <w:rPr>
          <w:rFonts w:hint="eastAsia"/>
          <w:color w:val="auto"/>
          <w:lang w:eastAsia="zh-CN"/>
        </w:rPr>
        <w:t>医疗器械</w:t>
      </w:r>
      <w:r>
        <w:rPr>
          <w:rFonts w:hint="default"/>
          <w:color w:val="auto"/>
        </w:rPr>
        <w:t>生产质量管理过程中，管理者代表应主动与所在地市食品药品监督管理局进行沟通和协调，具体为：</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1．在企业接受</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质量体系考核或</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质量体系跟踪检查的现场检查期间，管理者代表应作为企业的陪同人员，协助检查组开展检查；在现场检查结束后10个工作日内，督促企业将缺陷项目的整改情况上报所在地市食品药品监督管理局；</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2．每年1月份和7月份，通过广东省食品药品监管系统网上办事平台上报企业的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质量管理体系运行情况，1月份同时上报产品年度质量回顾分析情况；</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3．督促企业有关部门履行</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不良事件的监测和报告的职责；</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4．其他应与所在地市食品药品监督管理局进行沟通和协调的情形。</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第五条   管理者代表应对授权人负责，严格执行本授权书的授权事项，根据本授权书确定的职责和权限开展各项工作，对超出授权权限的，无权自行办理，需上报授权人审批决定。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第六条   因工作需要，管理者代表可以将质量管理职责转授给相关专业人员，但管理者代表须对接受其转授权的人员的相应</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质量管理行为承担责任。应当以书面文件形式明确转授权双方的职责，必须保留转授权文件。</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第七条   授权人应为管理者代表履行职责提供必要的条件，同时确保管理者代表在履行职责时不受到企业内部因素的干扰。</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第八条   本授权书自授权人、管理者代表签署之日起生效。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第九条   本授权书一式 2 份，授权人执有 1 份备查，管理者代表执有 1 份备查。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公司（公章）</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法定代表人（授权人）：</w:t>
      </w:r>
      <w:r>
        <w:rPr>
          <w:rFonts w:hint="eastAsia"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 xml:space="preserve">（签名）           </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管理者代表：</w:t>
      </w:r>
      <w:r>
        <w:rPr>
          <w:rFonts w:hint="eastAsia"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（签名）</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pPr>
        <w:pStyle w:val="2"/>
        <w:numPr>
          <w:ilvl w:val="0"/>
          <w:numId w:val="0"/>
        </w:numPr>
        <w:bidi w:val="0"/>
        <w:ind w:leftChars="0"/>
        <w:rPr>
          <w:rFonts w:hint="default"/>
          <w:color w:val="auto"/>
        </w:rPr>
      </w:pPr>
      <w:r>
        <w:rPr>
          <w:rFonts w:hint="default"/>
          <w:color w:val="auto"/>
        </w:rPr>
        <w:t>附录</w:t>
      </w:r>
      <w:r>
        <w:rPr>
          <w:rFonts w:hint="eastAsia"/>
          <w:color w:val="auto"/>
          <w:lang w:val="en-US" w:eastAsia="zh-CN"/>
        </w:rPr>
        <w:t>C</w:t>
      </w:r>
      <w:r>
        <w:rPr>
          <w:rFonts w:hint="default"/>
          <w:color w:val="auto"/>
        </w:rPr>
        <w:t xml:space="preserve">  文件及相关资料对照表</w:t>
      </w:r>
    </w:p>
    <w:tbl>
      <w:tblPr>
        <w:tblStyle w:val="28"/>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2397"/>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标准要素</w:t>
            </w:r>
          </w:p>
        </w:tc>
        <w:tc>
          <w:tcPr>
            <w:tcW w:w="2397"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一级文件（QM）</w:t>
            </w:r>
          </w:p>
        </w:tc>
        <w:tc>
          <w:tcPr>
            <w:tcW w:w="553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二级文件（QP）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4.2.1</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4.2.2</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质量手册XX-QM-001</w:t>
            </w: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4.2.3</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文件和资料控制程序 XX-QP-001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4.2.4</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记录控制程序       XX-QP-002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管理评审控制程序   XX-QP-003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6.2.2</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人力资源控制程序   XX-QP-004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6.3</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基础设施控制程序   XX-QP-005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6.4</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工作环境与产品清洁控制程序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风险管理控制程序   XX-QP-007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与顾客有关的过程控制程序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设计开发控制程序   XX-QP-009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采购控制程序       XX-QP-010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生产过程控制程序   XX-QP-011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过程确认控制程序   XX-QP-012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7.5.3</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标识和可追溯性控制程序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7.5.5</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产品防护控制程序   XX-QP-014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监视和测量装置</w:t>
            </w:r>
            <w:r>
              <w:rPr>
                <w:rFonts w:hint="default" w:ascii="Times New Roman" w:hAnsi="Times New Roman" w:eastAsia="宋体" w:cs="Times New Roman"/>
                <w:color w:val="auto"/>
                <w:sz w:val="21"/>
                <w:szCs w:val="21"/>
                <w:highlight w:val="none"/>
              </w:rPr>
              <w:t>控制程序</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8.2.2</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内部审核控制程序   XX-QP-016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8.2.4</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检验和试验控制程序 XX-QP-017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不合格品控制程序   XX-QP-018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数据分析控制程序   XX-QP-020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59" w:type="dxa"/>
            <w:vAlign w:val="center"/>
          </w:tcPr>
          <w:p>
            <w:pPr>
              <w:pageBreakBefore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2397" w:type="dxa"/>
            <w:vAlign w:val="center"/>
          </w:tcPr>
          <w:p>
            <w:pPr>
              <w:pageBreakBefore w:val="0"/>
              <w:kinsoku/>
              <w:wordWrap/>
              <w:overflowPunct/>
              <w:topLinePunct w:val="0"/>
              <w:bidi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2024" w:hanging="2024" w:hangingChars="96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纠正及预防措施控制</w:t>
            </w:r>
            <w:r>
              <w:rPr>
                <w:rFonts w:hint="eastAsia" w:cs="Times New Roman"/>
                <w:color w:val="auto"/>
                <w:sz w:val="21"/>
                <w:szCs w:val="21"/>
                <w:highlight w:val="none"/>
                <w:lang w:val="en-US" w:eastAsia="zh-CN"/>
              </w:rPr>
              <w:t xml:space="preserve">程序  </w:t>
            </w:r>
            <w:r>
              <w:rPr>
                <w:rFonts w:hint="default" w:ascii="Times New Roman" w:hAnsi="Times New Roman" w:eastAsia="宋体" w:cs="Times New Roman"/>
                <w:color w:val="auto"/>
                <w:sz w:val="21"/>
                <w:szCs w:val="21"/>
                <w:highlight w:val="none"/>
              </w:rPr>
              <w:t>XX-QP-019</w:t>
            </w:r>
          </w:p>
          <w:p>
            <w:pPr>
              <w:pageBreakBefore w:val="0"/>
              <w:kinsoku/>
              <w:wordWrap/>
              <w:overflowPunct/>
              <w:topLinePunct w:val="0"/>
              <w:bidi w:val="0"/>
              <w:spacing w:line="240" w:lineRule="auto"/>
              <w:ind w:left="2205" w:hanging="2205" w:hangingChars="10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忠告性通知控制程序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XX-QP-021</w:t>
            </w:r>
          </w:p>
          <w:p>
            <w:pPr>
              <w:pageBreakBefore w:val="0"/>
              <w:kinsoku/>
              <w:wordWrap/>
              <w:overflowPunct/>
              <w:topLinePunct w:val="0"/>
              <w:bidi w:val="0"/>
              <w:spacing w:line="240" w:lineRule="auto"/>
              <w:ind w:left="40" w:hanging="39" w:hangingChars="19"/>
              <w:jc w:val="left"/>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不良事件监测及再评价控制程序</w:t>
            </w:r>
            <w:r>
              <w:rPr>
                <w:rFonts w:hint="default" w:ascii="Times New Roman" w:hAnsi="Times New Roman" w:eastAsia="宋体" w:cs="Times New Roman"/>
                <w:color w:val="auto"/>
                <w:sz w:val="21"/>
                <w:szCs w:val="21"/>
                <w:highlight w:val="none"/>
              </w:rPr>
              <w:t xml:space="preserve">  XX-QP-022        </w:t>
            </w:r>
          </w:p>
        </w:tc>
      </w:tr>
    </w:tbl>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pPr>
        <w:pStyle w:val="2"/>
        <w:numPr>
          <w:ilvl w:val="0"/>
          <w:numId w:val="0"/>
        </w:numPr>
        <w:bidi w:val="0"/>
        <w:ind w:leftChars="0"/>
        <w:rPr>
          <w:rFonts w:hint="default"/>
          <w:color w:val="auto"/>
        </w:rPr>
      </w:pPr>
      <w:r>
        <w:rPr>
          <w:rFonts w:hint="default"/>
          <w:color w:val="auto"/>
        </w:rPr>
        <w:t>附录</w:t>
      </w:r>
      <w:r>
        <w:rPr>
          <w:rFonts w:hint="eastAsia"/>
          <w:color w:val="auto"/>
          <w:lang w:val="en-US" w:eastAsia="zh-CN"/>
        </w:rPr>
        <w:t>D</w:t>
      </w:r>
      <w:r>
        <w:rPr>
          <w:rFonts w:hint="default"/>
          <w:color w:val="auto"/>
        </w:rPr>
        <w:t xml:space="preserve">  质量</w:t>
      </w:r>
      <w:r>
        <w:rPr>
          <w:rFonts w:hint="eastAsia"/>
          <w:color w:val="auto"/>
          <w:lang w:val="en-US" w:eastAsia="zh-CN"/>
        </w:rPr>
        <w:t>方针及质量</w:t>
      </w:r>
      <w:r>
        <w:rPr>
          <w:rFonts w:hint="default"/>
          <w:color w:val="auto"/>
        </w:rPr>
        <w:t>目标</w:t>
      </w:r>
    </w:p>
    <w:p>
      <w:pPr>
        <w:bidi w:val="0"/>
        <w:rPr>
          <w:rFonts w:hint="default"/>
          <w:color w:val="auto"/>
          <w:highlight w:val="none"/>
        </w:rPr>
      </w:pPr>
    </w:p>
    <w:p>
      <w:pPr>
        <w:bidi w:val="0"/>
        <w:rPr>
          <w:rFonts w:hint="eastAsia"/>
          <w:color w:val="auto"/>
          <w:highlight w:val="none"/>
          <w:lang w:val="en-US" w:eastAsia="zh-CN"/>
        </w:rPr>
      </w:pPr>
      <w:r>
        <w:rPr>
          <w:rFonts w:hint="eastAsia"/>
          <w:color w:val="auto"/>
          <w:highlight w:val="none"/>
          <w:lang w:val="en-US" w:eastAsia="zh-CN"/>
        </w:rPr>
        <w:t>公司的质量方针为：</w:t>
      </w:r>
    </w:p>
    <w:p>
      <w:pPr>
        <w:bidi w:val="0"/>
        <w:ind w:firstLine="420"/>
        <w:rPr>
          <w:rFonts w:hint="default"/>
          <w:i/>
          <w:iCs/>
          <w:color w:val="auto"/>
          <w:highlight w:val="none"/>
          <w:lang w:val="en-US" w:eastAsia="zh-CN"/>
        </w:rPr>
      </w:pPr>
      <w:r>
        <w:rPr>
          <w:rFonts w:hint="eastAsia"/>
          <w:i/>
          <w:iCs/>
          <w:color w:val="auto"/>
          <w:highlight w:val="none"/>
          <w:lang w:val="en-US" w:eastAsia="zh-CN"/>
        </w:rPr>
        <w:t>{质量方针}</w:t>
      </w:r>
    </w:p>
    <w:p>
      <w:pPr>
        <w:bidi w:val="0"/>
        <w:rPr>
          <w:rFonts w:hint="default"/>
          <w:color w:val="auto"/>
          <w:highlight w:val="none"/>
        </w:rPr>
      </w:pPr>
      <w:r>
        <w:rPr>
          <w:rFonts w:hint="default"/>
          <w:color w:val="auto"/>
          <w:highlight w:val="none"/>
        </w:rPr>
        <w:t>质量方针内涵：</w:t>
      </w:r>
    </w:p>
    <w:p>
      <w:pPr>
        <w:bidi w:val="0"/>
        <w:ind w:firstLine="420"/>
        <w:rPr>
          <w:rFonts w:hint="default"/>
          <w:i/>
          <w:iCs/>
          <w:color w:val="auto"/>
          <w:highlight w:val="none"/>
          <w:lang w:val="en-US" w:eastAsia="zh-CN"/>
        </w:rPr>
      </w:pPr>
      <w:r>
        <w:rPr>
          <w:rFonts w:hint="eastAsia"/>
          <w:i/>
          <w:iCs/>
          <w:color w:val="auto"/>
          <w:highlight w:val="none"/>
          <w:lang w:val="en-US" w:eastAsia="zh-CN"/>
        </w:rPr>
        <w:t>{质量方针内涵}</w:t>
      </w: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公司级质量目标：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i/>
          <w:iCs/>
          <w:color w:val="auto"/>
          <w:sz w:val="21"/>
          <w:szCs w:val="21"/>
          <w:highlight w:val="none"/>
          <w:lang w:val="en-US" w:eastAsia="zh-CN"/>
        </w:rPr>
      </w:pPr>
      <w:r>
        <w:rPr>
          <w:rFonts w:hint="eastAsia" w:cs="Times New Roman"/>
          <w:i/>
          <w:iCs/>
          <w:color w:val="auto"/>
          <w:sz w:val="21"/>
          <w:szCs w:val="21"/>
          <w:highlight w:val="none"/>
          <w:lang w:val="en-US" w:eastAsia="zh-CN"/>
        </w:rPr>
        <w:t>{公司级质量目标}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部门级质量目标：</w:t>
      </w:r>
    </w:p>
    <w:p>
      <w:pPr>
        <w:pageBreakBefore w:val="0"/>
        <w:kinsoku/>
        <w:wordWrap/>
        <w:overflowPunct/>
        <w:topLinePunct w:val="0"/>
        <w:bidi w:val="0"/>
        <w:spacing w:before="156" w:beforeLines="50" w:after="156" w:afterLines="50" w:line="240" w:lineRule="auto"/>
        <w:ind w:right="105" w:rightChars="50" w:firstLine="420"/>
        <w:textAlignment w:val="auto"/>
        <w:rPr>
          <w:rFonts w:hint="eastAsia" w:cs="Times New Roman"/>
          <w:i/>
          <w:iCs/>
          <w:color w:val="auto"/>
          <w:sz w:val="21"/>
          <w:szCs w:val="21"/>
          <w:highlight w:val="none"/>
          <w:lang w:val="en-US" w:eastAsia="zh-CN"/>
        </w:rPr>
      </w:pPr>
      <w:r>
        <w:rPr>
          <w:rFonts w:hint="eastAsia" w:cs="Times New Roman"/>
          <w:i/>
          <w:iCs/>
          <w:color w:val="auto"/>
          <w:sz w:val="21"/>
          <w:szCs w:val="21"/>
          <w:highlight w:val="none"/>
          <w:lang w:val="en-US" w:eastAsia="zh-CN"/>
        </w:rPr>
        <w:t>{结合公司级质量目标分解到各部门的质量目标}</w:t>
      </w:r>
    </w:p>
    <w:p>
      <w:pPr>
        <w:bidi w:val="0"/>
        <w:rPr>
          <w:rFonts w:hint="default"/>
          <w:color w:val="auto"/>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9"/>
        <w:pageBreakBefore w:val="0"/>
        <w:kinsoku/>
        <w:wordWrap/>
        <w:overflowPunct/>
        <w:topLinePunct w:val="0"/>
        <w:bidi w:val="0"/>
        <w:spacing w:line="360" w:lineRule="auto"/>
        <w:ind w:left="5250"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358" w:firstLineChars="3504"/>
        <w:jc w:val="both"/>
        <w:textAlignment w:val="auto"/>
        <w:rPr>
          <w:rFonts w:ascii="宋体" w:hAnsi="宋体" w:cs="Arial"/>
          <w:color w:val="auto"/>
          <w:szCs w:val="21"/>
          <w:highlight w:val="none"/>
          <w:u w:val="single"/>
        </w:rPr>
      </w:pPr>
      <w:r>
        <w:rPr>
          <w:rFonts w:hint="eastAsia" w:ascii="宋体" w:hAnsi="宋体" w:cs="Arial"/>
          <w:color w:val="auto"/>
          <w:szCs w:val="21"/>
          <w:highlight w:val="none"/>
        </w:rPr>
        <w:t>总经理：</w:t>
      </w:r>
      <w:r>
        <w:rPr>
          <w:rFonts w:hint="eastAsia" w:ascii="宋体" w:hAnsi="宋体" w:cs="Arial"/>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right="0" w:rightChars="0" w:firstLine="7358" w:firstLineChars="3504"/>
        <w:jc w:val="left"/>
        <w:textAlignment w:val="auto"/>
        <w:rPr>
          <w:rFonts w:ascii="宋体" w:hAnsi="宋体" w:cs="Arial"/>
          <w:color w:val="auto"/>
          <w:szCs w:val="21"/>
          <w:highlight w:val="none"/>
          <w:u w:val="single"/>
        </w:rPr>
      </w:pPr>
      <w:r>
        <w:rPr>
          <w:rFonts w:hint="eastAsia" w:ascii="宋体" w:hAnsi="宋体" w:cs="Arial"/>
          <w:color w:val="auto"/>
          <w:szCs w:val="21"/>
          <w:highlight w:val="none"/>
        </w:rPr>
        <w:t xml:space="preserve">日 </w:t>
      </w:r>
      <w:r>
        <w:rPr>
          <w:rFonts w:hint="eastAsia" w:ascii="宋体" w:hAnsi="宋体" w:cs="Arial"/>
          <w:color w:val="auto"/>
          <w:szCs w:val="21"/>
          <w:highlight w:val="none"/>
          <w:lang w:val="en-US" w:eastAsia="zh-CN"/>
        </w:rPr>
        <w:t xml:space="preserve"> </w:t>
      </w:r>
      <w:r>
        <w:rPr>
          <w:rFonts w:hint="eastAsia" w:ascii="宋体" w:hAnsi="宋体" w:cs="Arial"/>
          <w:color w:val="auto"/>
          <w:szCs w:val="21"/>
          <w:highlight w:val="none"/>
        </w:rPr>
        <w:t>期：</w:t>
      </w:r>
      <w:r>
        <w:rPr>
          <w:rFonts w:hint="eastAsia" w:ascii="宋体" w:hAnsi="宋体" w:cs="Arial"/>
          <w:color w:val="auto"/>
          <w:szCs w:val="21"/>
          <w:highlight w:val="none"/>
          <w:u w:val="single"/>
        </w:rPr>
        <w:t xml:space="preserve">             </w:t>
      </w:r>
    </w:p>
    <w:p>
      <w:pPr>
        <w:pageBreakBefore w:val="0"/>
        <w:kinsoku/>
        <w:wordWrap/>
        <w:overflowPunct/>
        <w:topLinePunct w:val="0"/>
        <w:bidi w:val="0"/>
        <w:spacing w:before="156" w:beforeLines="50" w:after="156" w:afterLines="50" w:line="240" w:lineRule="auto"/>
        <w:ind w:right="105" w:rightChars="50" w:firstLine="420"/>
        <w:textAlignment w:val="auto"/>
        <w:rPr>
          <w:rFonts w:hint="eastAsia" w:cs="Times New Roman"/>
          <w:i/>
          <w:iCs/>
          <w:color w:val="auto"/>
          <w:sz w:val="21"/>
          <w:szCs w:val="21"/>
          <w:highlight w:val="none"/>
          <w:lang w:val="en-US" w:eastAsia="zh-CN"/>
        </w:rPr>
      </w:pPr>
    </w:p>
    <w:sectPr>
      <w:headerReference r:id="rId10" w:type="first"/>
      <w:footerReference r:id="rId12" w:type="first"/>
      <w:headerReference r:id="rId9" w:type="default"/>
      <w:footerReference r:id="rId11" w:type="default"/>
      <w:pgSz w:w="11906" w:h="16838"/>
      <w:pgMar w:top="296" w:right="1080" w:bottom="1440" w:left="1080" w:header="700" w:footer="115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87BE94-DC88-4E39-B047-24EC15346BC2}"/>
  </w:font>
  <w:font w:name="黑体">
    <w:panose1 w:val="02010609060101010101"/>
    <w:charset w:val="86"/>
    <w:family w:val="auto"/>
    <w:pitch w:val="default"/>
    <w:sig w:usb0="800002BF" w:usb1="38CF7CFA" w:usb2="00000016" w:usb3="00000000" w:csb0="00040001" w:csb1="00000000"/>
    <w:embedRegular r:id="rId2" w:fontKey="{66DC8F10-AA22-4D84-900D-BF16D23017A4}"/>
  </w:font>
  <w:font w:name="Courier New">
    <w:panose1 w:val="02070309020205020404"/>
    <w:charset w:val="01"/>
    <w:family w:val="modern"/>
    <w:pitch w:val="default"/>
    <w:sig w:usb0="E0002EFF" w:usb1="C0007843" w:usb2="00000009" w:usb3="00000000" w:csb0="400001FF" w:csb1="FFFF0000"/>
    <w:embedRegular r:id="rId3" w:fontKey="{2BB93FC6-A543-437F-86E6-7487C0A7965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1B0E3A8-879E-4E06-83D2-0F6C9AA94893}"/>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embedRegular r:id="rId5" w:fontKey="{8AC7E8F0-8390-4F98-A315-ACB314D2EB6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r>
      <w:rPr>
        <w:rFonts w:hint="eastAsia"/>
      </w:rPr>
      <w:t xml:space="preserve">专业带去价值，服务赢来美誉!                  </w:t>
    </w:r>
    <w:r>
      <w:rPr>
        <w:rFonts w:hint="eastAsia"/>
        <w:lang w:val="en-US" w:eastAsia="zh-CN"/>
      </w:rPr>
      <w:t xml:space="preserve">                          </w:t>
    </w:r>
    <w:r>
      <w:rPr>
        <w:rFonts w:hint="eastAsia"/>
      </w:rPr>
      <w:t xml:space="preserve">       模板仅供参考，请以法规要求为准。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XXX有限公司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ind w:left="0" w:leftChars="0" w:firstLine="0" w:firstLineChars="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742950" cy="571500"/>
                  </a:xfrm>
                  <a:prstGeom prst="rect">
                    <a:avLst/>
                  </a:prstGeom>
                  <a:noFill/>
                  <a:ln>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ind w:left="0" w:leftChars="0" w:firstLine="0" w:firstLineChars="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742950" cy="571500"/>
                  </a:xfrm>
                  <a:prstGeom prst="rect">
                    <a:avLst/>
                  </a:prstGeom>
                  <a:noFill/>
                  <a:ln>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ind w:left="0" w:leftChars="0" w:firstLine="0" w:firstLineChars="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
                  <a:stretch>
                    <a:fillRect/>
                  </a:stretch>
                </pic:blipFill>
                <pic:spPr>
                  <a:xfrm>
                    <a:off x="0" y="0"/>
                    <a:ext cx="742950" cy="571500"/>
                  </a:xfrm>
                  <a:prstGeom prst="rect">
                    <a:avLst/>
                  </a:prstGeom>
                  <a:noFill/>
                  <a:ln>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20" w:type="dxa"/>
        </w:tcPr>
        <w:p>
          <w:pPr>
            <w:pStyle w:val="23"/>
            <w:pBdr>
              <w:bottom w:val="none" w:color="auto" w:sz="0" w:space="0"/>
            </w:pBdr>
            <w:ind w:left="0" w:leftChars="0" w:firstLine="0" w:firstLineChars="0"/>
            <w:jc w:val="center"/>
            <w:rPr>
              <w:vertAlign w:val="baseline"/>
            </w:rPr>
          </w:pPr>
          <w:r>
            <w:rPr>
              <w:rFonts w:hint="default" w:ascii="Times New Roman" w:hAnsi="Times New Roman" w:eastAsia="宋体" w:cs="Times New Roman"/>
              <w:bCs/>
              <w:i w:val="0"/>
              <w:iCs w:val="0"/>
              <w:color w:val="0A10F6"/>
              <w:spacing w:val="100"/>
              <w:sz w:val="28"/>
              <w:szCs w:val="28"/>
              <w:lang w:val="en-US" w:eastAsia="zh-CN"/>
            </w:rPr>
            <w:t>{</w:t>
          </w:r>
          <w:r>
            <w:rPr>
              <w:rFonts w:hint="default" w:ascii="Times New Roman" w:hAnsi="Times New Roman" w:eastAsia="宋体" w:cs="Times New Roman"/>
              <w:bCs/>
              <w:i w:val="0"/>
              <w:iCs w:val="0"/>
              <w:color w:val="0A10F6"/>
              <w:spacing w:val="100"/>
              <w:sz w:val="28"/>
              <w:szCs w:val="28"/>
              <w:lang w:eastAsia="zh-CN"/>
            </w:rPr>
            <w:t>公司名称</w:t>
          </w:r>
          <w:r>
            <w:rPr>
              <w:rFonts w:hint="default" w:ascii="Times New Roman" w:hAnsi="Times New Roman" w:eastAsia="宋体" w:cs="Times New Roman"/>
              <w:bCs/>
              <w:i w:val="0"/>
              <w:iCs w:val="0"/>
              <w:color w:val="0A10F6"/>
              <w:spacing w:val="100"/>
              <w:sz w:val="28"/>
              <w:szCs w:val="28"/>
              <w:lang w:val="en-US" w:eastAsia="zh-CN"/>
            </w:rPr>
            <w:t>}</w:t>
          </w:r>
        </w:p>
      </w:tc>
      <w:tc>
        <w:tcPr>
          <w:tcW w:w="3321"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before="0" w:beforeLines="0" w:line="240" w:lineRule="auto"/>
            <w:ind w:left="0" w:leftChars="0" w:firstLine="0" w:firstLineChars="0"/>
            <w:jc w:val="center"/>
            <w:textAlignment w:val="auto"/>
            <w:rPr>
              <w:vertAlign w:val="baseline"/>
            </w:rPr>
          </w:pPr>
          <w:r>
            <w:rPr>
              <w:rFonts w:hint="eastAsia" w:cs="Times New Roman"/>
              <w:bCs/>
              <w:sz w:val="21"/>
              <w:szCs w:val="21"/>
              <w:lang w:val="en-US" w:eastAsia="zh-CN"/>
            </w:rPr>
            <w:t>文件编号</w:t>
          </w:r>
        </w:p>
      </w:tc>
      <w:tc>
        <w:tcPr>
          <w:tcW w:w="3321"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before="0" w:beforeLines="0" w:line="240" w:lineRule="auto"/>
            <w:ind w:left="0" w:leftChars="0" w:firstLine="0" w:firstLineChars="0"/>
            <w:jc w:val="center"/>
            <w:textAlignment w:val="auto"/>
            <w:rPr>
              <w:vertAlign w:val="baseline"/>
            </w:rPr>
          </w:pPr>
          <w:r>
            <w:rPr>
              <w:rFonts w:hint="default" w:ascii="Times New Roman" w:hAnsi="Times New Roman" w:cs="Times New Roman"/>
              <w:sz w:val="21"/>
              <w:szCs w:val="21"/>
            </w:rPr>
            <w:t>XXX</w:t>
          </w:r>
          <w:r>
            <w:rPr>
              <w:rFonts w:hint="default" w:ascii="Times New Roman" w:hAnsi="Times New Roman" w:cs="Times New Roman"/>
              <w:i/>
              <w:iCs/>
              <w:color w:val="0A10F6"/>
              <w:sz w:val="21"/>
              <w:szCs w:val="21"/>
              <w:lang w:eastAsia="zh-CN"/>
            </w:rPr>
            <w:t>【</w:t>
          </w:r>
          <w:r>
            <w:rPr>
              <w:rFonts w:hint="default" w:ascii="Times New Roman" w:hAnsi="Times New Roman" w:cs="Times New Roman"/>
              <w:i/>
              <w:iCs/>
              <w:color w:val="0A10F6"/>
            </w:rPr>
            <w:t>通常为公司名称代码</w:t>
          </w:r>
          <w:r>
            <w:rPr>
              <w:rFonts w:hint="default" w:ascii="Times New Roman" w:hAnsi="Times New Roman" w:cs="Times New Roman"/>
              <w:i/>
              <w:iCs/>
              <w:color w:val="0A10F6"/>
              <w:sz w:val="21"/>
              <w:szCs w:val="21"/>
              <w:lang w:eastAsia="zh-CN"/>
            </w:rPr>
            <w:t>】</w:t>
          </w:r>
          <w:r>
            <w:rPr>
              <w:rFonts w:hint="default" w:ascii="Times New Roman" w:hAnsi="Times New Roman" w:cs="Times New Roman"/>
              <w:sz w:val="21"/>
              <w:szCs w:val="21"/>
            </w:rPr>
            <w:t>-QM-001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1" w:hRule="atLeast"/>
      </w:trPr>
      <w:tc>
        <w:tcPr>
          <w:tcW w:w="3320" w:type="dxa"/>
        </w:tcPr>
        <w:p>
          <w:pPr>
            <w:pStyle w:val="23"/>
            <w:pBdr>
              <w:bottom w:val="none" w:color="auto" w:sz="0" w:space="0"/>
            </w:pBdr>
            <w:ind w:left="0" w:leftChars="0" w:firstLine="0" w:firstLineChars="0"/>
            <w:jc w:val="center"/>
            <w:rPr>
              <w:vertAlign w:val="baseline"/>
            </w:rPr>
          </w:pPr>
          <w:r>
            <w:rPr>
              <w:rFonts w:hint="default" w:ascii="Times New Roman" w:hAnsi="Times New Roman" w:eastAsia="宋体" w:cs="Times New Roman"/>
              <w:bCs/>
              <w:sz w:val="32"/>
              <w:szCs w:val="32"/>
            </w:rPr>
            <w:t>质量手册</w:t>
          </w:r>
        </w:p>
      </w:tc>
      <w:tc>
        <w:tcPr>
          <w:tcW w:w="3321"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before="0" w:beforeLines="0" w:line="240" w:lineRule="auto"/>
            <w:ind w:left="0" w:leftChars="0" w:firstLine="0" w:firstLineChars="0"/>
            <w:jc w:val="center"/>
            <w:textAlignment w:val="auto"/>
            <w:rPr>
              <w:vertAlign w:val="baseline"/>
            </w:rPr>
          </w:pPr>
          <w:r>
            <w:rPr>
              <w:rFonts w:hint="eastAsia" w:cs="Times New Roman"/>
              <w:bCs/>
              <w:sz w:val="21"/>
              <w:szCs w:val="21"/>
              <w:lang w:val="en-US" w:eastAsia="zh-CN"/>
            </w:rPr>
            <w:t>版本</w:t>
          </w:r>
        </w:p>
      </w:tc>
      <w:tc>
        <w:tcPr>
          <w:tcW w:w="3321" w:type="dxa"/>
          <w:vAlign w:val="center"/>
        </w:tcPr>
        <w:p>
          <w:pPr>
            <w:keepNext w:val="0"/>
            <w:keepLines w:val="0"/>
            <w:pageBreakBefore w:val="0"/>
            <w:widowControl w:val="0"/>
            <w:pBdr>
              <w:bottom w:val="none" w:color="auto" w:sz="0" w:space="0"/>
            </w:pBdr>
            <w:kinsoku/>
            <w:wordWrap/>
            <w:overflowPunct/>
            <w:topLinePunct w:val="0"/>
            <w:autoSpaceDE/>
            <w:autoSpaceDN/>
            <w:bidi w:val="0"/>
            <w:adjustRightInd/>
            <w:snapToGrid/>
            <w:spacing w:before="0" w:beforeLines="0" w:line="240" w:lineRule="auto"/>
            <w:ind w:left="0" w:leftChars="0" w:firstLine="0" w:firstLineChars="0"/>
            <w:jc w:val="center"/>
            <w:textAlignment w:val="auto"/>
            <w:rPr>
              <w:vertAlign w:val="baseline"/>
            </w:rPr>
          </w:pPr>
        </w:p>
      </w:tc>
    </w:tr>
  </w:tbl>
  <w:p>
    <w:pPr>
      <w:pStyle w:val="23"/>
      <w:ind w:left="0" w:leftChars="0"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8"/>
      <w:tblW w:w="9777" w:type="dxa"/>
      <w:jc w:val="center"/>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27"/>
      <w:gridCol w:w="1799"/>
      <w:gridCol w:w="2951"/>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27" w:type="dxa"/>
          <w:vMerge w:val="restart"/>
          <w:vAlign w:val="center"/>
        </w:tcPr>
        <w:p>
          <w:pPr>
            <w:pBdr>
              <w:bottom w:val="none" w:color="auto" w:sz="0" w:space="0"/>
            </w:pBdr>
            <w:tabs>
              <w:tab w:val="left" w:pos="525"/>
            </w:tabs>
            <w:spacing w:line="240" w:lineRule="auto"/>
            <w:ind w:left="210" w:leftChars="100"/>
            <w:jc w:val="center"/>
            <w:rPr>
              <w:rFonts w:hint="default" w:ascii="Times New Roman" w:hAnsi="Times New Roman" w:eastAsia="宋体" w:cs="Times New Roman"/>
              <w:bCs/>
              <w:spacing w:val="100"/>
              <w:sz w:val="28"/>
              <w:szCs w:val="28"/>
              <w:lang w:eastAsia="zh-CN"/>
            </w:rPr>
          </w:pPr>
          <w:r>
            <w:rPr>
              <w:rFonts w:hint="default" w:ascii="Times New Roman" w:hAnsi="Times New Roman" w:eastAsia="宋体" w:cs="Times New Roman"/>
              <w:bCs/>
              <w:i w:val="0"/>
              <w:iCs w:val="0"/>
              <w:color w:val="0A10F6"/>
              <w:spacing w:val="100"/>
              <w:sz w:val="28"/>
              <w:szCs w:val="28"/>
              <w:lang w:val="en-US" w:eastAsia="zh-CN"/>
            </w:rPr>
            <w:t>{</w:t>
          </w:r>
          <w:r>
            <w:rPr>
              <w:rFonts w:hint="default" w:ascii="Times New Roman" w:hAnsi="Times New Roman" w:eastAsia="宋体" w:cs="Times New Roman"/>
              <w:bCs/>
              <w:i w:val="0"/>
              <w:iCs w:val="0"/>
              <w:color w:val="0A10F6"/>
              <w:spacing w:val="100"/>
              <w:sz w:val="28"/>
              <w:szCs w:val="28"/>
              <w:lang w:eastAsia="zh-CN"/>
            </w:rPr>
            <w:t>公司名称</w:t>
          </w:r>
          <w:r>
            <w:rPr>
              <w:rFonts w:hint="default" w:ascii="Times New Roman" w:hAnsi="Times New Roman" w:eastAsia="宋体" w:cs="Times New Roman"/>
              <w:bCs/>
              <w:i w:val="0"/>
              <w:iCs w:val="0"/>
              <w:color w:val="0A10F6"/>
              <w:spacing w:val="100"/>
              <w:sz w:val="28"/>
              <w:szCs w:val="28"/>
              <w:lang w:val="en-US" w:eastAsia="zh-CN"/>
            </w:rPr>
            <w:t>}</w:t>
          </w:r>
        </w:p>
      </w:tc>
      <w:tc>
        <w:tcPr>
          <w:tcW w:w="1799" w:type="dxa"/>
          <w:shd w:val="clear" w:color="auto" w:fill="auto"/>
          <w:vAlign w:val="center"/>
        </w:tcPr>
        <w:p>
          <w:pPr>
            <w:pBdr>
              <w:bottom w:val="none" w:color="auto" w:sz="0" w:space="0"/>
            </w:pBdr>
            <w:spacing w:line="240" w:lineRule="auto"/>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文件编号</w:t>
          </w:r>
        </w:p>
      </w:tc>
      <w:tc>
        <w:tcPr>
          <w:tcW w:w="2951" w:type="dxa"/>
          <w:shd w:val="clear" w:color="auto" w:fill="auto"/>
          <w:vAlign w:val="center"/>
        </w:tcPr>
        <w:p>
          <w:pPr>
            <w:pBdr>
              <w:bottom w:val="none" w:color="auto" w:sz="0" w:space="0"/>
            </w:pBd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XXX</w:t>
          </w:r>
          <w:r>
            <w:rPr>
              <w:rFonts w:hint="default" w:ascii="Times New Roman" w:hAnsi="Times New Roman" w:cs="Times New Roman"/>
              <w:i/>
              <w:iCs/>
              <w:color w:val="0A10F6"/>
              <w:sz w:val="21"/>
              <w:szCs w:val="21"/>
              <w:lang w:eastAsia="zh-CN"/>
            </w:rPr>
            <w:t>【</w:t>
          </w:r>
          <w:r>
            <w:rPr>
              <w:rFonts w:hint="default" w:ascii="Times New Roman" w:hAnsi="Times New Roman" w:cs="Times New Roman"/>
              <w:i/>
              <w:iCs/>
              <w:color w:val="0A10F6"/>
            </w:rPr>
            <w:t>通常为公司名称代码</w:t>
          </w:r>
          <w:r>
            <w:rPr>
              <w:rFonts w:hint="default" w:ascii="Times New Roman" w:hAnsi="Times New Roman" w:cs="Times New Roman"/>
              <w:i/>
              <w:iCs/>
              <w:color w:val="0A10F6"/>
              <w:sz w:val="21"/>
              <w:szCs w:val="21"/>
              <w:lang w:eastAsia="zh-CN"/>
            </w:rPr>
            <w:t>】</w:t>
          </w:r>
          <w:r>
            <w:rPr>
              <w:rFonts w:hint="default" w:ascii="Times New Roman" w:hAnsi="Times New Roman" w:cs="Times New Roman"/>
              <w:sz w:val="21"/>
              <w:szCs w:val="21"/>
            </w:rPr>
            <w:t>-QM-001</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5027" w:type="dxa"/>
          <w:vMerge w:val="continue"/>
          <w:vAlign w:val="center"/>
        </w:tcPr>
        <w:p>
          <w:pPr>
            <w:pBdr>
              <w:bottom w:val="none" w:color="auto" w:sz="0" w:space="0"/>
            </w:pBdr>
            <w:tabs>
              <w:tab w:val="left" w:pos="525"/>
            </w:tabs>
            <w:spacing w:line="240" w:lineRule="auto"/>
            <w:ind w:left="210" w:leftChars="100"/>
            <w:jc w:val="center"/>
            <w:rPr>
              <w:rFonts w:hint="default" w:ascii="Times New Roman" w:hAnsi="Times New Roman" w:eastAsia="宋体" w:cs="Times New Roman"/>
              <w:bCs/>
              <w:i w:val="0"/>
              <w:iCs w:val="0"/>
              <w:color w:val="0A10F6"/>
              <w:spacing w:val="100"/>
              <w:sz w:val="28"/>
              <w:szCs w:val="28"/>
              <w:lang w:val="en-US" w:eastAsia="zh-CN"/>
            </w:rPr>
          </w:pPr>
        </w:p>
      </w:tc>
      <w:tc>
        <w:tcPr>
          <w:tcW w:w="1799" w:type="dxa"/>
          <w:shd w:val="clear" w:color="auto" w:fill="auto"/>
          <w:vAlign w:val="center"/>
        </w:tcPr>
        <w:p>
          <w:pPr>
            <w:pBdr>
              <w:bottom w:val="none" w:color="auto" w:sz="0" w:space="0"/>
            </w:pBdr>
            <w:spacing w:line="240" w:lineRule="auto"/>
            <w:jc w:val="center"/>
            <w:rPr>
              <w:rFonts w:hint="eastAsia" w:cs="Times New Roman"/>
              <w:bCs/>
              <w:sz w:val="21"/>
              <w:szCs w:val="21"/>
              <w:lang w:val="en-US" w:eastAsia="zh-CN"/>
            </w:rPr>
          </w:pPr>
          <w:r>
            <w:rPr>
              <w:rFonts w:hint="eastAsia" w:cs="Times New Roman"/>
              <w:bCs/>
              <w:sz w:val="21"/>
              <w:szCs w:val="21"/>
              <w:lang w:val="en-US" w:eastAsia="zh-CN"/>
            </w:rPr>
            <w:t>版本</w:t>
          </w:r>
        </w:p>
      </w:tc>
      <w:tc>
        <w:tcPr>
          <w:tcW w:w="2951" w:type="dxa"/>
          <w:shd w:val="clear" w:color="auto" w:fill="auto"/>
          <w:vAlign w:val="center"/>
        </w:tcPr>
        <w:p>
          <w:pPr>
            <w:pBdr>
              <w:bottom w:val="none" w:color="auto" w:sz="0" w:space="0"/>
            </w:pBdr>
            <w:spacing w:line="240" w:lineRule="auto"/>
            <w:jc w:val="center"/>
            <w:rPr>
              <w:rFonts w:hint="default" w:ascii="Times New Roman" w:hAnsi="Times New Roman" w:cs="Times New Roman"/>
              <w:sz w:val="21"/>
              <w:szCs w:val="21"/>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5027" w:type="dxa"/>
          <w:vAlign w:val="center"/>
        </w:tcPr>
        <w:p>
          <w:pPr>
            <w:pBdr>
              <w:bottom w:val="none" w:color="auto" w:sz="0" w:space="0"/>
            </w:pBdr>
            <w:spacing w:line="240" w:lineRule="auto"/>
            <w:jc w:val="center"/>
            <w:outlineLvl w:val="0"/>
            <w:rPr>
              <w:rFonts w:hint="default" w:ascii="Times New Roman" w:hAnsi="Times New Roman" w:eastAsia="宋体" w:cs="Times New Roman"/>
              <w:bCs/>
              <w:sz w:val="32"/>
              <w:szCs w:val="32"/>
            </w:rPr>
          </w:pPr>
          <w:r>
            <w:rPr>
              <w:rFonts w:hint="default" w:ascii="Times New Roman" w:hAnsi="Times New Roman" w:eastAsia="宋体" w:cs="Times New Roman"/>
              <w:bCs/>
              <w:sz w:val="32"/>
              <w:szCs w:val="32"/>
            </w:rPr>
            <w:t>质量手册</w:t>
          </w:r>
        </w:p>
      </w:tc>
      <w:tc>
        <w:tcPr>
          <w:tcW w:w="4750" w:type="dxa"/>
          <w:gridSpan w:val="2"/>
          <w:vAlign w:val="center"/>
        </w:tcPr>
        <w:p>
          <w:pPr>
            <w:pBdr>
              <w:bottom w:val="none" w:color="auto" w:sz="0" w:space="0"/>
            </w:pBdr>
            <w:spacing w:line="240" w:lineRule="auto"/>
            <w:jc w:val="center"/>
            <w:rPr>
              <w:rFonts w:hint="default" w:ascii="Times New Roman" w:hAnsi="Times New Roman" w:cs="Times New Roman"/>
              <w:bCs/>
              <w:sz w:val="21"/>
              <w:szCs w:val="21"/>
            </w:rPr>
          </w:pPr>
          <w:r>
            <w:rPr>
              <w:rFonts w:cs="Times New Roman"/>
              <w:szCs w:val="24"/>
            </w:rPr>
            <w:t>第</w:t>
          </w:r>
          <w:r>
            <w:rPr>
              <w:rFonts w:cs="Times New Roman"/>
              <w:szCs w:val="24"/>
              <w:lang w:val="zh-CN"/>
            </w:rPr>
            <w:t xml:space="preserve"> </w:t>
          </w:r>
          <w:r>
            <w:rPr>
              <w:rFonts w:cs="Times New Roman"/>
              <w:b/>
              <w:bCs/>
              <w:szCs w:val="24"/>
            </w:rPr>
            <w:fldChar w:fldCharType="begin"/>
          </w:r>
          <w:r>
            <w:rPr>
              <w:rFonts w:cs="Times New Roman"/>
              <w:b/>
              <w:bCs/>
              <w:szCs w:val="24"/>
            </w:rPr>
            <w:instrText xml:space="preserve">PAGE  \* Arabic  \* MERGEFORMAT</w:instrText>
          </w:r>
          <w:r>
            <w:rPr>
              <w:rFonts w:cs="Times New Roman"/>
              <w:b/>
              <w:bCs/>
              <w:szCs w:val="24"/>
            </w:rPr>
            <w:fldChar w:fldCharType="separate"/>
          </w:r>
          <w:r>
            <w:rPr>
              <w:rFonts w:cs="Times New Roman"/>
              <w:b/>
              <w:bCs/>
              <w:szCs w:val="24"/>
              <w:lang w:val="zh-CN"/>
            </w:rPr>
            <w:t>1</w:t>
          </w:r>
          <w:r>
            <w:rPr>
              <w:rFonts w:cs="Times New Roman"/>
              <w:b/>
              <w:bCs/>
              <w:szCs w:val="24"/>
            </w:rPr>
            <w:fldChar w:fldCharType="end"/>
          </w:r>
          <w:r>
            <w:rPr>
              <w:rFonts w:cs="Times New Roman"/>
              <w:szCs w:val="24"/>
              <w:lang w:val="zh-CN"/>
            </w:rPr>
            <w:t xml:space="preserve"> 页/共 </w:t>
          </w:r>
          <w:r>
            <w:rPr>
              <w:rFonts w:cs="Times New Roman"/>
              <w:b/>
              <w:bCs/>
              <w:szCs w:val="24"/>
            </w:rPr>
            <w:fldChar w:fldCharType="begin"/>
          </w:r>
          <w:r>
            <w:rPr>
              <w:rFonts w:cs="Times New Roman"/>
              <w:b/>
              <w:bCs/>
              <w:szCs w:val="24"/>
            </w:rPr>
            <w:instrText xml:space="preserve">=</w:instrText>
          </w:r>
          <w:r>
            <w:rPr>
              <w:rFonts w:cs="Times New Roman"/>
              <w:b/>
              <w:bCs/>
              <w:szCs w:val="24"/>
            </w:rPr>
            <w:fldChar w:fldCharType="begin"/>
          </w:r>
          <w:r>
            <w:rPr>
              <w:rFonts w:cs="Times New Roman"/>
              <w:b/>
              <w:bCs/>
              <w:szCs w:val="24"/>
            </w:rPr>
            <w:instrText xml:space="preserve"> NUMPAGES  </w:instrText>
          </w:r>
          <w:r>
            <w:rPr>
              <w:rFonts w:cs="Times New Roman"/>
              <w:b/>
              <w:bCs/>
              <w:szCs w:val="24"/>
            </w:rPr>
            <w:fldChar w:fldCharType="separate"/>
          </w:r>
          <w:r>
            <w:rPr>
              <w:rFonts w:cs="Times New Roman"/>
              <w:b/>
              <w:bCs/>
              <w:szCs w:val="24"/>
            </w:rPr>
            <w:instrText xml:space="preserve">76</w:instrText>
          </w:r>
          <w:r>
            <w:rPr>
              <w:rFonts w:cs="Times New Roman"/>
              <w:b/>
              <w:bCs/>
              <w:szCs w:val="24"/>
            </w:rPr>
            <w:fldChar w:fldCharType="end"/>
          </w:r>
          <w:r>
            <w:rPr>
              <w:rFonts w:cs="Times New Roman"/>
              <w:b/>
              <w:bCs/>
              <w:szCs w:val="24"/>
            </w:rPr>
            <w:instrText xml:space="preserve">-1  \* Arabic  \* MERGEFORMAT</w:instrText>
          </w:r>
          <w:r>
            <w:rPr>
              <w:rFonts w:cs="Times New Roman"/>
              <w:b/>
              <w:bCs/>
              <w:szCs w:val="24"/>
            </w:rPr>
            <w:fldChar w:fldCharType="separate"/>
          </w:r>
          <w:r>
            <w:rPr>
              <w:rFonts w:cs="Times New Roman"/>
              <w:b/>
              <w:bCs/>
              <w:szCs w:val="24"/>
            </w:rPr>
            <w:t>75</w:t>
          </w:r>
          <w:r>
            <w:rPr>
              <w:rFonts w:cs="Times New Roman"/>
              <w:b/>
              <w:bCs/>
              <w:szCs w:val="24"/>
            </w:rPr>
            <w:fldChar w:fldCharType="end"/>
          </w:r>
          <w:r>
            <w:rPr>
              <w:rFonts w:cs="Times New Roman"/>
              <w:b/>
              <w:bCs/>
              <w:szCs w:val="24"/>
            </w:rPr>
            <w:t xml:space="preserve"> </w:t>
          </w:r>
          <w:r>
            <w:rPr>
              <w:rFonts w:cs="Times New Roman"/>
              <w:szCs w:val="24"/>
            </w:rPr>
            <w:t>页</w:t>
          </w:r>
          <w:r>
            <w:rPr>
              <w:rFonts w:cs="Times New Roman"/>
              <w:szCs w:val="24"/>
              <w:lang w:val="zh-CN"/>
            </w:rPr>
            <w:t xml:space="preserve"> </w:t>
          </w:r>
        </w:p>
      </w:tc>
    </w:tr>
  </w:tbl>
  <w:p>
    <w:pPr>
      <w:pStyle w:val="23"/>
      <w:pBdr>
        <w:bottom w:val="none" w:color="auto" w:sz="0" w:space="1"/>
      </w:pBdr>
      <w:tabs>
        <w:tab w:val="left" w:pos="6127"/>
        <w:tab w:val="clear" w:pos="4153"/>
      </w:tabs>
      <w:spacing w:line="30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2973D"/>
    <w:multiLevelType w:val="singleLevel"/>
    <w:tmpl w:val="8352973D"/>
    <w:lvl w:ilvl="0" w:tentative="0">
      <w:start w:val="1"/>
      <w:numFmt w:val="bullet"/>
      <w:lvlText w:val=""/>
      <w:lvlJc w:val="left"/>
      <w:pPr>
        <w:ind w:left="420" w:hanging="420"/>
      </w:pPr>
      <w:rPr>
        <w:rFonts w:hint="default" w:ascii="Wingdings" w:hAnsi="Wingdings"/>
      </w:rPr>
    </w:lvl>
  </w:abstractNum>
  <w:abstractNum w:abstractNumId="1">
    <w:nsid w:val="8352C48A"/>
    <w:multiLevelType w:val="multilevel"/>
    <w:tmpl w:val="8352C48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86F41611"/>
    <w:multiLevelType w:val="multilevel"/>
    <w:tmpl w:val="86F41611"/>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8FCC9308"/>
    <w:multiLevelType w:val="multilevel"/>
    <w:tmpl w:val="8FCC930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92C09C27"/>
    <w:multiLevelType w:val="multilevel"/>
    <w:tmpl w:val="92C09C27"/>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97B24ACB"/>
    <w:multiLevelType w:val="multilevel"/>
    <w:tmpl w:val="97B24ACB"/>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9C097EAF"/>
    <w:multiLevelType w:val="multilevel"/>
    <w:tmpl w:val="9C097EA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7">
    <w:nsid w:val="A3A4F0FD"/>
    <w:multiLevelType w:val="multilevel"/>
    <w:tmpl w:val="A3A4F0FD"/>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B5737FA9"/>
    <w:multiLevelType w:val="multilevel"/>
    <w:tmpl w:val="B5737FA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9">
    <w:nsid w:val="B575D30C"/>
    <w:multiLevelType w:val="multilevel"/>
    <w:tmpl w:val="B575D30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0">
    <w:nsid w:val="B5A1F728"/>
    <w:multiLevelType w:val="multilevel"/>
    <w:tmpl w:val="B5A1F72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1">
    <w:nsid w:val="BCC33159"/>
    <w:multiLevelType w:val="multilevel"/>
    <w:tmpl w:val="BCC3315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2">
    <w:nsid w:val="BF829035"/>
    <w:multiLevelType w:val="multilevel"/>
    <w:tmpl w:val="BF829035"/>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3">
    <w:nsid w:val="C332FFF2"/>
    <w:multiLevelType w:val="multilevel"/>
    <w:tmpl w:val="C332FFF2"/>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4">
    <w:nsid w:val="C7D1EE31"/>
    <w:multiLevelType w:val="multilevel"/>
    <w:tmpl w:val="C7D1EE31"/>
    <w:lvl w:ilvl="0" w:tentative="0">
      <w:start w:val="1"/>
      <w:numFmt w:val="decimal"/>
      <w:pStyle w:val="2"/>
      <w:lvlText w:val="0.%1"/>
      <w:lvlJc w:val="left"/>
      <w:pPr>
        <w:ind w:left="432" w:hanging="432"/>
      </w:pPr>
      <w:rPr>
        <w:rFonts w:hint="default" w:ascii="宋体" w:hAnsi="宋体" w:eastAsia="宋体" w:cs="宋体"/>
      </w:rPr>
    </w:lvl>
    <w:lvl w:ilvl="1" w:tentative="0">
      <w:start w:val="1"/>
      <w:numFmt w:val="decimal"/>
      <w:pStyle w:val="3"/>
      <w:lvlText w:val="%1.%2"/>
      <w:lvlJc w:val="left"/>
      <w:pPr>
        <w:ind w:left="575" w:hanging="575"/>
      </w:pPr>
      <w:rPr>
        <w:rFonts w:hint="default" w:ascii="宋体" w:hAnsi="宋体" w:eastAsia="宋体" w:cs="宋体"/>
      </w:rPr>
    </w:lvl>
    <w:lvl w:ilvl="2" w:tentative="0">
      <w:start w:val="1"/>
      <w:numFmt w:val="decimal"/>
      <w:pStyle w:val="4"/>
      <w:lvlText w:val="%1.%2.%3"/>
      <w:lvlJc w:val="left"/>
      <w:pPr>
        <w:ind w:left="123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sz w:val="21"/>
        <w:szCs w:val="21"/>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5">
    <w:nsid w:val="C84FC047"/>
    <w:multiLevelType w:val="multilevel"/>
    <w:tmpl w:val="C84FC047"/>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6">
    <w:nsid w:val="D36D9452"/>
    <w:multiLevelType w:val="multilevel"/>
    <w:tmpl w:val="D36D9452"/>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7">
    <w:nsid w:val="D386011A"/>
    <w:multiLevelType w:val="multilevel"/>
    <w:tmpl w:val="D386011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8">
    <w:nsid w:val="D4819064"/>
    <w:multiLevelType w:val="multilevel"/>
    <w:tmpl w:val="D4819064"/>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9">
    <w:nsid w:val="DA12CC2C"/>
    <w:multiLevelType w:val="multilevel"/>
    <w:tmpl w:val="DA12CC2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0">
    <w:nsid w:val="DB1DA621"/>
    <w:multiLevelType w:val="multilevel"/>
    <w:tmpl w:val="DB1DA621"/>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1">
    <w:nsid w:val="EABE60C8"/>
    <w:multiLevelType w:val="multilevel"/>
    <w:tmpl w:val="EABE60C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2">
    <w:nsid w:val="EBC664B7"/>
    <w:multiLevelType w:val="multilevel"/>
    <w:tmpl w:val="EBC664B7"/>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3">
    <w:nsid w:val="FFC48EBA"/>
    <w:multiLevelType w:val="singleLevel"/>
    <w:tmpl w:val="FFC48EBA"/>
    <w:lvl w:ilvl="0" w:tentative="0">
      <w:start w:val="1"/>
      <w:numFmt w:val="bullet"/>
      <w:lvlText w:val=""/>
      <w:lvlJc w:val="left"/>
      <w:pPr>
        <w:ind w:left="420" w:hanging="420"/>
      </w:pPr>
      <w:rPr>
        <w:rFonts w:hint="default" w:ascii="Wingdings" w:hAnsi="Wingdings"/>
      </w:rPr>
    </w:lvl>
  </w:abstractNum>
  <w:abstractNum w:abstractNumId="24">
    <w:nsid w:val="0177CAD1"/>
    <w:multiLevelType w:val="multilevel"/>
    <w:tmpl w:val="0177CAD1"/>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5">
    <w:nsid w:val="0FD41266"/>
    <w:multiLevelType w:val="multilevel"/>
    <w:tmpl w:val="0FD41266"/>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6">
    <w:nsid w:val="1458589B"/>
    <w:multiLevelType w:val="multilevel"/>
    <w:tmpl w:val="1458589B"/>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7">
    <w:nsid w:val="1DB7B333"/>
    <w:multiLevelType w:val="multilevel"/>
    <w:tmpl w:val="1DB7B333"/>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8">
    <w:nsid w:val="1E1E1C0A"/>
    <w:multiLevelType w:val="singleLevel"/>
    <w:tmpl w:val="1E1E1C0A"/>
    <w:lvl w:ilvl="0" w:tentative="0">
      <w:start w:val="1"/>
      <w:numFmt w:val="bullet"/>
      <w:lvlText w:val=""/>
      <w:lvlJc w:val="left"/>
      <w:pPr>
        <w:ind w:left="420" w:hanging="420"/>
      </w:pPr>
      <w:rPr>
        <w:rFonts w:hint="default" w:ascii="Wingdings" w:hAnsi="Wingdings"/>
      </w:rPr>
    </w:lvl>
  </w:abstractNum>
  <w:abstractNum w:abstractNumId="29">
    <w:nsid w:val="2032E6E3"/>
    <w:multiLevelType w:val="multilevel"/>
    <w:tmpl w:val="2032E6E3"/>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0">
    <w:nsid w:val="20EE3C6F"/>
    <w:multiLevelType w:val="multilevel"/>
    <w:tmpl w:val="20EE3C6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1">
    <w:nsid w:val="26595647"/>
    <w:multiLevelType w:val="multilevel"/>
    <w:tmpl w:val="26595647"/>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2">
    <w:nsid w:val="26636C09"/>
    <w:multiLevelType w:val="multilevel"/>
    <w:tmpl w:val="26636C0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3">
    <w:nsid w:val="2AA499C9"/>
    <w:multiLevelType w:val="multilevel"/>
    <w:tmpl w:val="2AA499C9"/>
    <w:lvl w:ilvl="0" w:tentative="0">
      <w:start w:val="1"/>
      <w:numFmt w:val="decimal"/>
      <w:lvlText w:val="%1.0"/>
      <w:lvlJc w:val="left"/>
      <w:pPr>
        <w:tabs>
          <w:tab w:val="left" w:pos="420"/>
        </w:tabs>
        <w:ind w:left="0" w:leftChars="0" w:firstLine="0" w:firstLineChars="0"/>
      </w:pPr>
      <w:rPr>
        <w:rFonts w:hint="default" w:ascii="宋体" w:hAnsi="宋体" w:eastAsia="宋体" w:cs="宋体"/>
        <w:b/>
        <w:sz w:val="24"/>
        <w:szCs w:val="24"/>
      </w:rPr>
    </w:lvl>
    <w:lvl w:ilvl="1" w:tentative="0">
      <w:start w:val="1"/>
      <w:numFmt w:val="decimal"/>
      <w:lvlText w:val="%1.%2"/>
      <w:lvlJc w:val="left"/>
      <w:pPr>
        <w:ind w:left="0" w:leftChars="0" w:firstLine="0" w:firstLineChars="0"/>
      </w:pPr>
      <w:rPr>
        <w:rFonts w:hint="default" w:ascii="宋体" w:hAnsi="宋体" w:eastAsia="宋体" w:cs="宋体"/>
        <w:sz w:val="21"/>
        <w:szCs w:val="21"/>
      </w:rPr>
    </w:lvl>
    <w:lvl w:ilvl="2" w:tentative="0">
      <w:start w:val="1"/>
      <w:numFmt w:val="decimal"/>
      <w:lvlText w:val="%1.%2.%3"/>
      <w:lvlJc w:val="left"/>
      <w:pPr>
        <w:ind w:left="0" w:leftChars="0" w:firstLine="0" w:firstLineChars="0"/>
      </w:pPr>
      <w:rPr>
        <w:rFonts w:hint="default" w:ascii="宋体" w:hAnsi="宋体" w:eastAsia="宋体" w:cs="宋体"/>
        <w:sz w:val="21"/>
        <w:szCs w:val="21"/>
      </w:rPr>
    </w:lvl>
    <w:lvl w:ilvl="3" w:tentative="0">
      <w:start w:val="1"/>
      <w:numFmt w:val="decimal"/>
      <w:lvlText w:val="%1.%2.%3.%4"/>
      <w:lvlJc w:val="left"/>
      <w:pPr>
        <w:ind w:left="0" w:leftChars="0" w:firstLine="0" w:firstLineChars="0"/>
      </w:pPr>
      <w:rPr>
        <w:rFonts w:hint="default" w:ascii="宋体" w:hAnsi="宋体" w:eastAsia="宋体" w:cs="宋体"/>
        <w:sz w:val="21"/>
        <w:szCs w:val="21"/>
      </w:rPr>
    </w:lvl>
    <w:lvl w:ilvl="4" w:tentative="0">
      <w:start w:val="1"/>
      <w:numFmt w:val="decimal"/>
      <w:lvlText w:val="%1.%2.%3.%4.%5"/>
      <w:lvlJc w:val="left"/>
      <w:pPr>
        <w:ind w:left="0" w:leftChars="0" w:firstLine="0" w:firstLineChars="0"/>
      </w:pPr>
      <w:rPr>
        <w:rFonts w:hint="default" w:ascii="宋体" w:hAnsi="宋体" w:eastAsia="宋体" w:cs="宋体"/>
        <w:sz w:val="21"/>
        <w:szCs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32065CAC"/>
    <w:multiLevelType w:val="multilevel"/>
    <w:tmpl w:val="32065CA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5">
    <w:nsid w:val="42EC3D48"/>
    <w:multiLevelType w:val="multilevel"/>
    <w:tmpl w:val="42EC3D4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6">
    <w:nsid w:val="49C6356B"/>
    <w:multiLevelType w:val="multilevel"/>
    <w:tmpl w:val="49C6356B"/>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7">
    <w:nsid w:val="4EB457AA"/>
    <w:multiLevelType w:val="multilevel"/>
    <w:tmpl w:val="4EB457A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8">
    <w:nsid w:val="52E5F665"/>
    <w:multiLevelType w:val="multilevel"/>
    <w:tmpl w:val="52E5F665"/>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9">
    <w:nsid w:val="58857A1C"/>
    <w:multiLevelType w:val="multilevel"/>
    <w:tmpl w:val="58857A1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0">
    <w:nsid w:val="59AB2DF2"/>
    <w:multiLevelType w:val="multilevel"/>
    <w:tmpl w:val="59AB2DF2"/>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1">
    <w:nsid w:val="5F957ECC"/>
    <w:multiLevelType w:val="multilevel"/>
    <w:tmpl w:val="5F957EC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2">
    <w:nsid w:val="64C31C84"/>
    <w:multiLevelType w:val="multilevel"/>
    <w:tmpl w:val="64C31C84"/>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3">
    <w:nsid w:val="6B8E0098"/>
    <w:multiLevelType w:val="multilevel"/>
    <w:tmpl w:val="6B8E009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4">
    <w:nsid w:val="6BEE5071"/>
    <w:multiLevelType w:val="multilevel"/>
    <w:tmpl w:val="6BEE5071"/>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5">
    <w:nsid w:val="72F65742"/>
    <w:multiLevelType w:val="multilevel"/>
    <w:tmpl w:val="72F65742"/>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6">
    <w:nsid w:val="779AE2C9"/>
    <w:multiLevelType w:val="multilevel"/>
    <w:tmpl w:val="779AE2C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14"/>
  </w:num>
  <w:num w:numId="2">
    <w:abstractNumId w:val="33"/>
  </w:num>
  <w:num w:numId="3">
    <w:abstractNumId w:val="23"/>
  </w:num>
  <w:num w:numId="4">
    <w:abstractNumId w:val="6"/>
  </w:num>
  <w:num w:numId="5">
    <w:abstractNumId w:val="7"/>
  </w:num>
  <w:num w:numId="6">
    <w:abstractNumId w:val="31"/>
  </w:num>
  <w:num w:numId="7">
    <w:abstractNumId w:val="1"/>
  </w:num>
  <w:num w:numId="8">
    <w:abstractNumId w:val="0"/>
  </w:num>
  <w:num w:numId="9">
    <w:abstractNumId w:val="17"/>
  </w:num>
  <w:num w:numId="10">
    <w:abstractNumId w:val="27"/>
  </w:num>
  <w:num w:numId="11">
    <w:abstractNumId w:val="12"/>
  </w:num>
  <w:num w:numId="12">
    <w:abstractNumId w:val="26"/>
  </w:num>
  <w:num w:numId="13">
    <w:abstractNumId w:val="8"/>
  </w:num>
  <w:num w:numId="14">
    <w:abstractNumId w:val="36"/>
  </w:num>
  <w:num w:numId="15">
    <w:abstractNumId w:val="28"/>
  </w:num>
  <w:num w:numId="16">
    <w:abstractNumId w:val="42"/>
  </w:num>
  <w:num w:numId="17">
    <w:abstractNumId w:val="35"/>
  </w:num>
  <w:num w:numId="18">
    <w:abstractNumId w:val="30"/>
  </w:num>
  <w:num w:numId="19">
    <w:abstractNumId w:val="40"/>
  </w:num>
  <w:num w:numId="20">
    <w:abstractNumId w:val="38"/>
  </w:num>
  <w:num w:numId="21">
    <w:abstractNumId w:val="5"/>
  </w:num>
  <w:num w:numId="22">
    <w:abstractNumId w:val="9"/>
  </w:num>
  <w:num w:numId="23">
    <w:abstractNumId w:val="39"/>
  </w:num>
  <w:num w:numId="24">
    <w:abstractNumId w:val="44"/>
  </w:num>
  <w:num w:numId="25">
    <w:abstractNumId w:val="41"/>
  </w:num>
  <w:num w:numId="26">
    <w:abstractNumId w:val="15"/>
  </w:num>
  <w:num w:numId="27">
    <w:abstractNumId w:val="10"/>
  </w:num>
  <w:num w:numId="28">
    <w:abstractNumId w:val="20"/>
  </w:num>
  <w:num w:numId="29">
    <w:abstractNumId w:val="3"/>
  </w:num>
  <w:num w:numId="30">
    <w:abstractNumId w:val="43"/>
  </w:num>
  <w:num w:numId="31">
    <w:abstractNumId w:val="11"/>
  </w:num>
  <w:num w:numId="32">
    <w:abstractNumId w:val="34"/>
  </w:num>
  <w:num w:numId="33">
    <w:abstractNumId w:val="32"/>
  </w:num>
  <w:num w:numId="34">
    <w:abstractNumId w:val="4"/>
  </w:num>
  <w:num w:numId="35">
    <w:abstractNumId w:val="46"/>
  </w:num>
  <w:num w:numId="36">
    <w:abstractNumId w:val="13"/>
  </w:num>
  <w:num w:numId="37">
    <w:abstractNumId w:val="2"/>
  </w:num>
  <w:num w:numId="38">
    <w:abstractNumId w:val="25"/>
  </w:num>
  <w:num w:numId="39">
    <w:abstractNumId w:val="45"/>
  </w:num>
  <w:num w:numId="40">
    <w:abstractNumId w:val="18"/>
  </w:num>
  <w:num w:numId="41">
    <w:abstractNumId w:val="29"/>
  </w:num>
  <w:num w:numId="42">
    <w:abstractNumId w:val="24"/>
  </w:num>
  <w:num w:numId="43">
    <w:abstractNumId w:val="22"/>
  </w:num>
  <w:num w:numId="44">
    <w:abstractNumId w:val="21"/>
  </w:num>
  <w:num w:numId="45">
    <w:abstractNumId w:val="19"/>
  </w:num>
  <w:num w:numId="46">
    <w:abstractNumId w:val="1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155"/>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DRiYTc0MWIyMDZlYjJkOTg5ZGRjYTYzZDE4NmQifQ=="/>
  </w:docVars>
  <w:rsids>
    <w:rsidRoot w:val="00F46E82"/>
    <w:rsid w:val="00001CCE"/>
    <w:rsid w:val="0000421E"/>
    <w:rsid w:val="0000565A"/>
    <w:rsid w:val="00007E89"/>
    <w:rsid w:val="00011FCF"/>
    <w:rsid w:val="00012382"/>
    <w:rsid w:val="000126DB"/>
    <w:rsid w:val="000175DA"/>
    <w:rsid w:val="00017BFA"/>
    <w:rsid w:val="00021E7B"/>
    <w:rsid w:val="000234F9"/>
    <w:rsid w:val="000268D9"/>
    <w:rsid w:val="00027D58"/>
    <w:rsid w:val="000321EE"/>
    <w:rsid w:val="0003415D"/>
    <w:rsid w:val="0003471D"/>
    <w:rsid w:val="000356AB"/>
    <w:rsid w:val="000420D9"/>
    <w:rsid w:val="00042728"/>
    <w:rsid w:val="00044FAA"/>
    <w:rsid w:val="00047B4B"/>
    <w:rsid w:val="00060C5D"/>
    <w:rsid w:val="00060F50"/>
    <w:rsid w:val="00061AC7"/>
    <w:rsid w:val="000654BB"/>
    <w:rsid w:val="000731EC"/>
    <w:rsid w:val="00073A3E"/>
    <w:rsid w:val="00073DD0"/>
    <w:rsid w:val="0007541D"/>
    <w:rsid w:val="00080948"/>
    <w:rsid w:val="00081FB5"/>
    <w:rsid w:val="000841C4"/>
    <w:rsid w:val="000855D0"/>
    <w:rsid w:val="00090147"/>
    <w:rsid w:val="00091FA5"/>
    <w:rsid w:val="00092E84"/>
    <w:rsid w:val="00092EB0"/>
    <w:rsid w:val="000A15F2"/>
    <w:rsid w:val="000A26B8"/>
    <w:rsid w:val="000A3953"/>
    <w:rsid w:val="000A47EB"/>
    <w:rsid w:val="000A5A82"/>
    <w:rsid w:val="000B0E7D"/>
    <w:rsid w:val="000B11F8"/>
    <w:rsid w:val="000B144F"/>
    <w:rsid w:val="000B2AE4"/>
    <w:rsid w:val="000B4F32"/>
    <w:rsid w:val="000B7E5E"/>
    <w:rsid w:val="000C1271"/>
    <w:rsid w:val="000C319D"/>
    <w:rsid w:val="000C406F"/>
    <w:rsid w:val="000C5180"/>
    <w:rsid w:val="000D14CF"/>
    <w:rsid w:val="000D66D0"/>
    <w:rsid w:val="000E267F"/>
    <w:rsid w:val="000E465C"/>
    <w:rsid w:val="000E5E56"/>
    <w:rsid w:val="000E6D5B"/>
    <w:rsid w:val="000E718A"/>
    <w:rsid w:val="000E72C7"/>
    <w:rsid w:val="000F047F"/>
    <w:rsid w:val="000F6D33"/>
    <w:rsid w:val="0010027A"/>
    <w:rsid w:val="001002AF"/>
    <w:rsid w:val="001002B5"/>
    <w:rsid w:val="00104760"/>
    <w:rsid w:val="00104B35"/>
    <w:rsid w:val="001106B5"/>
    <w:rsid w:val="001107FD"/>
    <w:rsid w:val="001157C3"/>
    <w:rsid w:val="00116BC1"/>
    <w:rsid w:val="00117574"/>
    <w:rsid w:val="001201ED"/>
    <w:rsid w:val="00120B1F"/>
    <w:rsid w:val="00120C48"/>
    <w:rsid w:val="00120DCB"/>
    <w:rsid w:val="00123C65"/>
    <w:rsid w:val="001249C5"/>
    <w:rsid w:val="00126704"/>
    <w:rsid w:val="001317CC"/>
    <w:rsid w:val="00131EB6"/>
    <w:rsid w:val="001337B9"/>
    <w:rsid w:val="0013428B"/>
    <w:rsid w:val="001357E5"/>
    <w:rsid w:val="00136214"/>
    <w:rsid w:val="00137D0E"/>
    <w:rsid w:val="001413DD"/>
    <w:rsid w:val="00141D35"/>
    <w:rsid w:val="00142AF3"/>
    <w:rsid w:val="00143D6B"/>
    <w:rsid w:val="001529E9"/>
    <w:rsid w:val="00152B79"/>
    <w:rsid w:val="00156317"/>
    <w:rsid w:val="001563EB"/>
    <w:rsid w:val="00160786"/>
    <w:rsid w:val="00160D39"/>
    <w:rsid w:val="001610D3"/>
    <w:rsid w:val="0016178E"/>
    <w:rsid w:val="001675E7"/>
    <w:rsid w:val="0016765B"/>
    <w:rsid w:val="001700BC"/>
    <w:rsid w:val="001713D8"/>
    <w:rsid w:val="00171CB0"/>
    <w:rsid w:val="001747A9"/>
    <w:rsid w:val="001748AA"/>
    <w:rsid w:val="001763B5"/>
    <w:rsid w:val="00180A88"/>
    <w:rsid w:val="00190363"/>
    <w:rsid w:val="0019327A"/>
    <w:rsid w:val="00193F82"/>
    <w:rsid w:val="00195E6D"/>
    <w:rsid w:val="0019615B"/>
    <w:rsid w:val="00197D90"/>
    <w:rsid w:val="001A4880"/>
    <w:rsid w:val="001A4D1E"/>
    <w:rsid w:val="001A6A7F"/>
    <w:rsid w:val="001A6DA0"/>
    <w:rsid w:val="001B0434"/>
    <w:rsid w:val="001B5F73"/>
    <w:rsid w:val="001B675D"/>
    <w:rsid w:val="001C04E5"/>
    <w:rsid w:val="001C083E"/>
    <w:rsid w:val="001C2520"/>
    <w:rsid w:val="001C3678"/>
    <w:rsid w:val="001D5A7D"/>
    <w:rsid w:val="001D6038"/>
    <w:rsid w:val="001E017A"/>
    <w:rsid w:val="001E107B"/>
    <w:rsid w:val="001E1A4B"/>
    <w:rsid w:val="001E21C6"/>
    <w:rsid w:val="001E5C50"/>
    <w:rsid w:val="001F20B7"/>
    <w:rsid w:val="001F406A"/>
    <w:rsid w:val="00203CE6"/>
    <w:rsid w:val="00204B2F"/>
    <w:rsid w:val="00204C88"/>
    <w:rsid w:val="00206AE8"/>
    <w:rsid w:val="0020765A"/>
    <w:rsid w:val="00211054"/>
    <w:rsid w:val="00211E62"/>
    <w:rsid w:val="00220092"/>
    <w:rsid w:val="00222984"/>
    <w:rsid w:val="00230E03"/>
    <w:rsid w:val="00234E8B"/>
    <w:rsid w:val="002352B7"/>
    <w:rsid w:val="002407CE"/>
    <w:rsid w:val="0024100A"/>
    <w:rsid w:val="002428E8"/>
    <w:rsid w:val="00243F66"/>
    <w:rsid w:val="00244D9F"/>
    <w:rsid w:val="0024790A"/>
    <w:rsid w:val="002501A5"/>
    <w:rsid w:val="00253C51"/>
    <w:rsid w:val="0025790B"/>
    <w:rsid w:val="002605A4"/>
    <w:rsid w:val="00265446"/>
    <w:rsid w:val="00265C40"/>
    <w:rsid w:val="0027290A"/>
    <w:rsid w:val="002766F3"/>
    <w:rsid w:val="00280673"/>
    <w:rsid w:val="00283631"/>
    <w:rsid w:val="0028738C"/>
    <w:rsid w:val="00290337"/>
    <w:rsid w:val="0029270D"/>
    <w:rsid w:val="00292A95"/>
    <w:rsid w:val="002941ED"/>
    <w:rsid w:val="00295F87"/>
    <w:rsid w:val="002A2546"/>
    <w:rsid w:val="002A4128"/>
    <w:rsid w:val="002A57AD"/>
    <w:rsid w:val="002A652D"/>
    <w:rsid w:val="002A7C22"/>
    <w:rsid w:val="002B03C4"/>
    <w:rsid w:val="002B0EA8"/>
    <w:rsid w:val="002B1F01"/>
    <w:rsid w:val="002B2BBB"/>
    <w:rsid w:val="002B7D26"/>
    <w:rsid w:val="002C53FD"/>
    <w:rsid w:val="002D21CD"/>
    <w:rsid w:val="002D4F63"/>
    <w:rsid w:val="002D712D"/>
    <w:rsid w:val="002E126E"/>
    <w:rsid w:val="002E3178"/>
    <w:rsid w:val="002E3630"/>
    <w:rsid w:val="002E42FD"/>
    <w:rsid w:val="002E4C74"/>
    <w:rsid w:val="002F0546"/>
    <w:rsid w:val="002F2153"/>
    <w:rsid w:val="002F41A7"/>
    <w:rsid w:val="002F4572"/>
    <w:rsid w:val="002F646E"/>
    <w:rsid w:val="002F7EC7"/>
    <w:rsid w:val="003010DF"/>
    <w:rsid w:val="0030439C"/>
    <w:rsid w:val="00307F9C"/>
    <w:rsid w:val="00310F6E"/>
    <w:rsid w:val="0031142B"/>
    <w:rsid w:val="00312941"/>
    <w:rsid w:val="0031322E"/>
    <w:rsid w:val="003142AD"/>
    <w:rsid w:val="00320EF3"/>
    <w:rsid w:val="003227FE"/>
    <w:rsid w:val="00322A98"/>
    <w:rsid w:val="00324871"/>
    <w:rsid w:val="00324DA3"/>
    <w:rsid w:val="00326C2E"/>
    <w:rsid w:val="00333668"/>
    <w:rsid w:val="0033369A"/>
    <w:rsid w:val="00341725"/>
    <w:rsid w:val="00341858"/>
    <w:rsid w:val="00341AF9"/>
    <w:rsid w:val="00343936"/>
    <w:rsid w:val="003457A7"/>
    <w:rsid w:val="00353CAB"/>
    <w:rsid w:val="003567D6"/>
    <w:rsid w:val="0035772A"/>
    <w:rsid w:val="003578A2"/>
    <w:rsid w:val="003602D2"/>
    <w:rsid w:val="00365684"/>
    <w:rsid w:val="0037189B"/>
    <w:rsid w:val="003723D0"/>
    <w:rsid w:val="00372E5B"/>
    <w:rsid w:val="00373631"/>
    <w:rsid w:val="003742B5"/>
    <w:rsid w:val="003801A6"/>
    <w:rsid w:val="00381399"/>
    <w:rsid w:val="00383A10"/>
    <w:rsid w:val="00386E1B"/>
    <w:rsid w:val="00387E70"/>
    <w:rsid w:val="00391EFC"/>
    <w:rsid w:val="003929EB"/>
    <w:rsid w:val="003A0714"/>
    <w:rsid w:val="003A26D0"/>
    <w:rsid w:val="003A391E"/>
    <w:rsid w:val="003A457D"/>
    <w:rsid w:val="003A6D53"/>
    <w:rsid w:val="003A710D"/>
    <w:rsid w:val="003B0ADD"/>
    <w:rsid w:val="003B0FC8"/>
    <w:rsid w:val="003B15A5"/>
    <w:rsid w:val="003B6463"/>
    <w:rsid w:val="003C01DF"/>
    <w:rsid w:val="003C04C5"/>
    <w:rsid w:val="003C1AC3"/>
    <w:rsid w:val="003C37AF"/>
    <w:rsid w:val="003C460C"/>
    <w:rsid w:val="003C4B86"/>
    <w:rsid w:val="003C6B16"/>
    <w:rsid w:val="003C6C84"/>
    <w:rsid w:val="003D0953"/>
    <w:rsid w:val="003D1226"/>
    <w:rsid w:val="003D2C27"/>
    <w:rsid w:val="003D3034"/>
    <w:rsid w:val="003D6C2F"/>
    <w:rsid w:val="003E2578"/>
    <w:rsid w:val="003F016F"/>
    <w:rsid w:val="003F4B30"/>
    <w:rsid w:val="003F6563"/>
    <w:rsid w:val="00400D4D"/>
    <w:rsid w:val="00401980"/>
    <w:rsid w:val="00403A7E"/>
    <w:rsid w:val="00405194"/>
    <w:rsid w:val="0040748F"/>
    <w:rsid w:val="004161EF"/>
    <w:rsid w:val="004167EC"/>
    <w:rsid w:val="00420385"/>
    <w:rsid w:val="00427B2F"/>
    <w:rsid w:val="00431217"/>
    <w:rsid w:val="00431F07"/>
    <w:rsid w:val="004339D7"/>
    <w:rsid w:val="00436C72"/>
    <w:rsid w:val="0043738E"/>
    <w:rsid w:val="004373CD"/>
    <w:rsid w:val="004379C2"/>
    <w:rsid w:val="0044435C"/>
    <w:rsid w:val="00444E79"/>
    <w:rsid w:val="004468F6"/>
    <w:rsid w:val="004511A0"/>
    <w:rsid w:val="0045184E"/>
    <w:rsid w:val="00453AB7"/>
    <w:rsid w:val="00462545"/>
    <w:rsid w:val="004653FF"/>
    <w:rsid w:val="00467AAF"/>
    <w:rsid w:val="00467BCD"/>
    <w:rsid w:val="004721BD"/>
    <w:rsid w:val="0047449F"/>
    <w:rsid w:val="004749FF"/>
    <w:rsid w:val="00480375"/>
    <w:rsid w:val="0048451C"/>
    <w:rsid w:val="0048722E"/>
    <w:rsid w:val="00487384"/>
    <w:rsid w:val="00492BCE"/>
    <w:rsid w:val="00493525"/>
    <w:rsid w:val="004A0629"/>
    <w:rsid w:val="004A13B4"/>
    <w:rsid w:val="004A3E13"/>
    <w:rsid w:val="004B3FBB"/>
    <w:rsid w:val="004C267F"/>
    <w:rsid w:val="004C3EAC"/>
    <w:rsid w:val="004C49D8"/>
    <w:rsid w:val="004C5AAE"/>
    <w:rsid w:val="004C654B"/>
    <w:rsid w:val="004C7209"/>
    <w:rsid w:val="004D012C"/>
    <w:rsid w:val="004D08F9"/>
    <w:rsid w:val="004D3AA5"/>
    <w:rsid w:val="004D5271"/>
    <w:rsid w:val="004D7BEF"/>
    <w:rsid w:val="004E2217"/>
    <w:rsid w:val="004E245F"/>
    <w:rsid w:val="004E5170"/>
    <w:rsid w:val="004E6357"/>
    <w:rsid w:val="004F2BC9"/>
    <w:rsid w:val="004F75B9"/>
    <w:rsid w:val="00511B2A"/>
    <w:rsid w:val="00513B44"/>
    <w:rsid w:val="00513B53"/>
    <w:rsid w:val="00514B7D"/>
    <w:rsid w:val="00516431"/>
    <w:rsid w:val="00517BC4"/>
    <w:rsid w:val="0052452B"/>
    <w:rsid w:val="0052530F"/>
    <w:rsid w:val="00525975"/>
    <w:rsid w:val="0053106E"/>
    <w:rsid w:val="005319A3"/>
    <w:rsid w:val="00537085"/>
    <w:rsid w:val="00541468"/>
    <w:rsid w:val="00541CDA"/>
    <w:rsid w:val="00542A72"/>
    <w:rsid w:val="0055141D"/>
    <w:rsid w:val="005568A5"/>
    <w:rsid w:val="005614FC"/>
    <w:rsid w:val="005628BC"/>
    <w:rsid w:val="00581356"/>
    <w:rsid w:val="00581860"/>
    <w:rsid w:val="0058323D"/>
    <w:rsid w:val="00583A5E"/>
    <w:rsid w:val="00586AC8"/>
    <w:rsid w:val="00587485"/>
    <w:rsid w:val="00587BFA"/>
    <w:rsid w:val="00592650"/>
    <w:rsid w:val="00592D99"/>
    <w:rsid w:val="0059343E"/>
    <w:rsid w:val="00594B2A"/>
    <w:rsid w:val="00596067"/>
    <w:rsid w:val="005965AB"/>
    <w:rsid w:val="005975F5"/>
    <w:rsid w:val="005A0390"/>
    <w:rsid w:val="005A12A7"/>
    <w:rsid w:val="005A34F6"/>
    <w:rsid w:val="005A3877"/>
    <w:rsid w:val="005A67AE"/>
    <w:rsid w:val="005B0450"/>
    <w:rsid w:val="005B0D18"/>
    <w:rsid w:val="005B11ED"/>
    <w:rsid w:val="005B4EF6"/>
    <w:rsid w:val="005B6D4F"/>
    <w:rsid w:val="005C10C7"/>
    <w:rsid w:val="005C3D52"/>
    <w:rsid w:val="005C4AAF"/>
    <w:rsid w:val="005C5FEC"/>
    <w:rsid w:val="005C6805"/>
    <w:rsid w:val="005C68D4"/>
    <w:rsid w:val="005C6EFC"/>
    <w:rsid w:val="005D214A"/>
    <w:rsid w:val="005D2A8B"/>
    <w:rsid w:val="005D75F7"/>
    <w:rsid w:val="005D76F4"/>
    <w:rsid w:val="005E59B9"/>
    <w:rsid w:val="005E7B19"/>
    <w:rsid w:val="005F1537"/>
    <w:rsid w:val="005F2792"/>
    <w:rsid w:val="005F7580"/>
    <w:rsid w:val="00600924"/>
    <w:rsid w:val="006056D3"/>
    <w:rsid w:val="00612852"/>
    <w:rsid w:val="006214D2"/>
    <w:rsid w:val="006219E9"/>
    <w:rsid w:val="0062274D"/>
    <w:rsid w:val="00622F29"/>
    <w:rsid w:val="0062300B"/>
    <w:rsid w:val="00627070"/>
    <w:rsid w:val="0063224D"/>
    <w:rsid w:val="00634992"/>
    <w:rsid w:val="00636F8E"/>
    <w:rsid w:val="00637F57"/>
    <w:rsid w:val="0064138E"/>
    <w:rsid w:val="00646E0B"/>
    <w:rsid w:val="00646E13"/>
    <w:rsid w:val="00650CD7"/>
    <w:rsid w:val="006532DF"/>
    <w:rsid w:val="0065490B"/>
    <w:rsid w:val="006561D2"/>
    <w:rsid w:val="00657A5D"/>
    <w:rsid w:val="0066080F"/>
    <w:rsid w:val="00661161"/>
    <w:rsid w:val="006615F7"/>
    <w:rsid w:val="00662349"/>
    <w:rsid w:val="00663ADC"/>
    <w:rsid w:val="00663D8E"/>
    <w:rsid w:val="00665655"/>
    <w:rsid w:val="0067338E"/>
    <w:rsid w:val="00673ACD"/>
    <w:rsid w:val="006744D0"/>
    <w:rsid w:val="006761F8"/>
    <w:rsid w:val="0068104E"/>
    <w:rsid w:val="006838EC"/>
    <w:rsid w:val="00694EA7"/>
    <w:rsid w:val="006A1368"/>
    <w:rsid w:val="006A3E30"/>
    <w:rsid w:val="006A46B0"/>
    <w:rsid w:val="006B192D"/>
    <w:rsid w:val="006B289D"/>
    <w:rsid w:val="006B30E7"/>
    <w:rsid w:val="006B55C8"/>
    <w:rsid w:val="006B5708"/>
    <w:rsid w:val="006B7EA3"/>
    <w:rsid w:val="006C24AB"/>
    <w:rsid w:val="006C35F0"/>
    <w:rsid w:val="006C66F8"/>
    <w:rsid w:val="006C6B46"/>
    <w:rsid w:val="006D0F7E"/>
    <w:rsid w:val="006D1C8F"/>
    <w:rsid w:val="006E5330"/>
    <w:rsid w:val="006E5D26"/>
    <w:rsid w:val="006F112A"/>
    <w:rsid w:val="006F154E"/>
    <w:rsid w:val="006F1C83"/>
    <w:rsid w:val="006F1F52"/>
    <w:rsid w:val="006F2E3F"/>
    <w:rsid w:val="007030BA"/>
    <w:rsid w:val="0070389C"/>
    <w:rsid w:val="007048CC"/>
    <w:rsid w:val="00707AD8"/>
    <w:rsid w:val="00707C9B"/>
    <w:rsid w:val="0071034F"/>
    <w:rsid w:val="00710E37"/>
    <w:rsid w:val="0071402A"/>
    <w:rsid w:val="00714561"/>
    <w:rsid w:val="00717766"/>
    <w:rsid w:val="007239DF"/>
    <w:rsid w:val="00723D43"/>
    <w:rsid w:val="00724731"/>
    <w:rsid w:val="00725CBC"/>
    <w:rsid w:val="00732A3C"/>
    <w:rsid w:val="0073408E"/>
    <w:rsid w:val="00736DFF"/>
    <w:rsid w:val="00737786"/>
    <w:rsid w:val="007422FA"/>
    <w:rsid w:val="00742E89"/>
    <w:rsid w:val="007435F5"/>
    <w:rsid w:val="00745970"/>
    <w:rsid w:val="00745D59"/>
    <w:rsid w:val="00747223"/>
    <w:rsid w:val="00750518"/>
    <w:rsid w:val="00750909"/>
    <w:rsid w:val="0075174E"/>
    <w:rsid w:val="007523BA"/>
    <w:rsid w:val="00752940"/>
    <w:rsid w:val="007534F1"/>
    <w:rsid w:val="00756784"/>
    <w:rsid w:val="00757432"/>
    <w:rsid w:val="00760EB8"/>
    <w:rsid w:val="0076151F"/>
    <w:rsid w:val="00764D5D"/>
    <w:rsid w:val="00766401"/>
    <w:rsid w:val="00772886"/>
    <w:rsid w:val="00773587"/>
    <w:rsid w:val="00773D3C"/>
    <w:rsid w:val="007750C4"/>
    <w:rsid w:val="0077578A"/>
    <w:rsid w:val="00776E84"/>
    <w:rsid w:val="00780301"/>
    <w:rsid w:val="0078060B"/>
    <w:rsid w:val="00781491"/>
    <w:rsid w:val="007821F3"/>
    <w:rsid w:val="00784316"/>
    <w:rsid w:val="00784723"/>
    <w:rsid w:val="0078515A"/>
    <w:rsid w:val="0079070D"/>
    <w:rsid w:val="00791710"/>
    <w:rsid w:val="00792E81"/>
    <w:rsid w:val="00793108"/>
    <w:rsid w:val="007954F0"/>
    <w:rsid w:val="00797722"/>
    <w:rsid w:val="00797A0D"/>
    <w:rsid w:val="007A038C"/>
    <w:rsid w:val="007A3894"/>
    <w:rsid w:val="007A41AA"/>
    <w:rsid w:val="007B39C1"/>
    <w:rsid w:val="007B6AEF"/>
    <w:rsid w:val="007B7699"/>
    <w:rsid w:val="007C04BE"/>
    <w:rsid w:val="007C29B3"/>
    <w:rsid w:val="007D3577"/>
    <w:rsid w:val="007D40FD"/>
    <w:rsid w:val="007D41A2"/>
    <w:rsid w:val="007D6CB2"/>
    <w:rsid w:val="007D74B0"/>
    <w:rsid w:val="007E0CB7"/>
    <w:rsid w:val="007E1633"/>
    <w:rsid w:val="007E2047"/>
    <w:rsid w:val="007E6E42"/>
    <w:rsid w:val="007F04BA"/>
    <w:rsid w:val="007F2395"/>
    <w:rsid w:val="008010C0"/>
    <w:rsid w:val="00802FB1"/>
    <w:rsid w:val="008043D4"/>
    <w:rsid w:val="008052FC"/>
    <w:rsid w:val="0081006B"/>
    <w:rsid w:val="0081494F"/>
    <w:rsid w:val="008161C6"/>
    <w:rsid w:val="00817EDD"/>
    <w:rsid w:val="008203E9"/>
    <w:rsid w:val="008230B6"/>
    <w:rsid w:val="00823EA0"/>
    <w:rsid w:val="00826CB3"/>
    <w:rsid w:val="00837091"/>
    <w:rsid w:val="00844CDF"/>
    <w:rsid w:val="00844EF0"/>
    <w:rsid w:val="00846DC8"/>
    <w:rsid w:val="00851E7D"/>
    <w:rsid w:val="008524D4"/>
    <w:rsid w:val="0085537C"/>
    <w:rsid w:val="008676BE"/>
    <w:rsid w:val="00867C9A"/>
    <w:rsid w:val="00867EEF"/>
    <w:rsid w:val="00867FA0"/>
    <w:rsid w:val="00870283"/>
    <w:rsid w:val="008747B4"/>
    <w:rsid w:val="00877248"/>
    <w:rsid w:val="00882E16"/>
    <w:rsid w:val="00885482"/>
    <w:rsid w:val="00887696"/>
    <w:rsid w:val="0089043B"/>
    <w:rsid w:val="00892C87"/>
    <w:rsid w:val="00893952"/>
    <w:rsid w:val="008952D6"/>
    <w:rsid w:val="00896ACC"/>
    <w:rsid w:val="008A26F7"/>
    <w:rsid w:val="008A6E2D"/>
    <w:rsid w:val="008B0ED3"/>
    <w:rsid w:val="008B2B90"/>
    <w:rsid w:val="008B4988"/>
    <w:rsid w:val="008B6008"/>
    <w:rsid w:val="008C44F2"/>
    <w:rsid w:val="008C5CDF"/>
    <w:rsid w:val="008C5D4C"/>
    <w:rsid w:val="008C7FB8"/>
    <w:rsid w:val="008D07EE"/>
    <w:rsid w:val="008D41FF"/>
    <w:rsid w:val="008D537E"/>
    <w:rsid w:val="008D7070"/>
    <w:rsid w:val="008D77FF"/>
    <w:rsid w:val="008D78B8"/>
    <w:rsid w:val="008D7C12"/>
    <w:rsid w:val="008E13C3"/>
    <w:rsid w:val="008E1CA7"/>
    <w:rsid w:val="008E4EE3"/>
    <w:rsid w:val="008E7337"/>
    <w:rsid w:val="008E783E"/>
    <w:rsid w:val="008F12C4"/>
    <w:rsid w:val="008F2432"/>
    <w:rsid w:val="008F6AB2"/>
    <w:rsid w:val="00904529"/>
    <w:rsid w:val="0091095E"/>
    <w:rsid w:val="00915B92"/>
    <w:rsid w:val="0092060A"/>
    <w:rsid w:val="00920F6F"/>
    <w:rsid w:val="00922BE9"/>
    <w:rsid w:val="00922E08"/>
    <w:rsid w:val="0092345D"/>
    <w:rsid w:val="0093047B"/>
    <w:rsid w:val="009322F9"/>
    <w:rsid w:val="00937246"/>
    <w:rsid w:val="0093745A"/>
    <w:rsid w:val="009411DE"/>
    <w:rsid w:val="00941CB2"/>
    <w:rsid w:val="009438EB"/>
    <w:rsid w:val="00946574"/>
    <w:rsid w:val="00947795"/>
    <w:rsid w:val="00947A9C"/>
    <w:rsid w:val="00947CFC"/>
    <w:rsid w:val="0095107C"/>
    <w:rsid w:val="0095250A"/>
    <w:rsid w:val="00954426"/>
    <w:rsid w:val="00954528"/>
    <w:rsid w:val="00957463"/>
    <w:rsid w:val="00961684"/>
    <w:rsid w:val="00966190"/>
    <w:rsid w:val="00966248"/>
    <w:rsid w:val="009671AA"/>
    <w:rsid w:val="0096759C"/>
    <w:rsid w:val="00967887"/>
    <w:rsid w:val="00970927"/>
    <w:rsid w:val="00972FDE"/>
    <w:rsid w:val="00973A7C"/>
    <w:rsid w:val="00975575"/>
    <w:rsid w:val="00977E8B"/>
    <w:rsid w:val="00980AE5"/>
    <w:rsid w:val="00982445"/>
    <w:rsid w:val="00982451"/>
    <w:rsid w:val="009827D6"/>
    <w:rsid w:val="0098353E"/>
    <w:rsid w:val="00983CA7"/>
    <w:rsid w:val="00985C69"/>
    <w:rsid w:val="00986068"/>
    <w:rsid w:val="00986130"/>
    <w:rsid w:val="00987E47"/>
    <w:rsid w:val="009910BB"/>
    <w:rsid w:val="0099462F"/>
    <w:rsid w:val="009950EF"/>
    <w:rsid w:val="0099720B"/>
    <w:rsid w:val="009A5A09"/>
    <w:rsid w:val="009B0B20"/>
    <w:rsid w:val="009B3AE8"/>
    <w:rsid w:val="009B59FC"/>
    <w:rsid w:val="009B5E72"/>
    <w:rsid w:val="009C2F29"/>
    <w:rsid w:val="009C3505"/>
    <w:rsid w:val="009C370C"/>
    <w:rsid w:val="009C4408"/>
    <w:rsid w:val="009D659C"/>
    <w:rsid w:val="009D7BA1"/>
    <w:rsid w:val="009E442E"/>
    <w:rsid w:val="009F086E"/>
    <w:rsid w:val="009F3B4B"/>
    <w:rsid w:val="009F76CE"/>
    <w:rsid w:val="00A06CEF"/>
    <w:rsid w:val="00A146F3"/>
    <w:rsid w:val="00A221C3"/>
    <w:rsid w:val="00A228D0"/>
    <w:rsid w:val="00A22A09"/>
    <w:rsid w:val="00A25039"/>
    <w:rsid w:val="00A25103"/>
    <w:rsid w:val="00A26B1E"/>
    <w:rsid w:val="00A32E33"/>
    <w:rsid w:val="00A376AE"/>
    <w:rsid w:val="00A40D99"/>
    <w:rsid w:val="00A4492F"/>
    <w:rsid w:val="00A47EB0"/>
    <w:rsid w:val="00A504D8"/>
    <w:rsid w:val="00A53BDD"/>
    <w:rsid w:val="00A53E55"/>
    <w:rsid w:val="00A558DA"/>
    <w:rsid w:val="00A56DA5"/>
    <w:rsid w:val="00A56EB5"/>
    <w:rsid w:val="00A614CA"/>
    <w:rsid w:val="00A64C8E"/>
    <w:rsid w:val="00A71C17"/>
    <w:rsid w:val="00A7336B"/>
    <w:rsid w:val="00A74626"/>
    <w:rsid w:val="00A74F67"/>
    <w:rsid w:val="00A8124D"/>
    <w:rsid w:val="00A81A62"/>
    <w:rsid w:val="00A83AC0"/>
    <w:rsid w:val="00A8457B"/>
    <w:rsid w:val="00A86C36"/>
    <w:rsid w:val="00A86F54"/>
    <w:rsid w:val="00A86FBA"/>
    <w:rsid w:val="00A87403"/>
    <w:rsid w:val="00A9041C"/>
    <w:rsid w:val="00A946E1"/>
    <w:rsid w:val="00AA0AD6"/>
    <w:rsid w:val="00AA0F9D"/>
    <w:rsid w:val="00AA61E9"/>
    <w:rsid w:val="00AA63D8"/>
    <w:rsid w:val="00AA6DA1"/>
    <w:rsid w:val="00AA6DF9"/>
    <w:rsid w:val="00AB0D8E"/>
    <w:rsid w:val="00AB1538"/>
    <w:rsid w:val="00AB232E"/>
    <w:rsid w:val="00AB6B7B"/>
    <w:rsid w:val="00AC0A72"/>
    <w:rsid w:val="00AC22C8"/>
    <w:rsid w:val="00AC32CA"/>
    <w:rsid w:val="00AC33B6"/>
    <w:rsid w:val="00AC41FE"/>
    <w:rsid w:val="00AC487A"/>
    <w:rsid w:val="00AC6906"/>
    <w:rsid w:val="00AD1B0D"/>
    <w:rsid w:val="00AD5B8D"/>
    <w:rsid w:val="00AD694E"/>
    <w:rsid w:val="00AD7BEE"/>
    <w:rsid w:val="00AD7F52"/>
    <w:rsid w:val="00AE0018"/>
    <w:rsid w:val="00AE00A3"/>
    <w:rsid w:val="00AE0671"/>
    <w:rsid w:val="00AE15DD"/>
    <w:rsid w:val="00AE6C9B"/>
    <w:rsid w:val="00AE7AAE"/>
    <w:rsid w:val="00AE7CD7"/>
    <w:rsid w:val="00AF09DF"/>
    <w:rsid w:val="00AF2E56"/>
    <w:rsid w:val="00AF531C"/>
    <w:rsid w:val="00B02217"/>
    <w:rsid w:val="00B02FF4"/>
    <w:rsid w:val="00B03830"/>
    <w:rsid w:val="00B04936"/>
    <w:rsid w:val="00B10244"/>
    <w:rsid w:val="00B10D25"/>
    <w:rsid w:val="00B11C88"/>
    <w:rsid w:val="00B12581"/>
    <w:rsid w:val="00B12F5D"/>
    <w:rsid w:val="00B2507C"/>
    <w:rsid w:val="00B2513A"/>
    <w:rsid w:val="00B328D6"/>
    <w:rsid w:val="00B33FA4"/>
    <w:rsid w:val="00B36CE1"/>
    <w:rsid w:val="00B37FD0"/>
    <w:rsid w:val="00B44F3E"/>
    <w:rsid w:val="00B44F6F"/>
    <w:rsid w:val="00B4597F"/>
    <w:rsid w:val="00B52053"/>
    <w:rsid w:val="00B557BF"/>
    <w:rsid w:val="00B561EF"/>
    <w:rsid w:val="00B573D6"/>
    <w:rsid w:val="00B62453"/>
    <w:rsid w:val="00B6618C"/>
    <w:rsid w:val="00B70309"/>
    <w:rsid w:val="00B74440"/>
    <w:rsid w:val="00B81E34"/>
    <w:rsid w:val="00B828DE"/>
    <w:rsid w:val="00B8355C"/>
    <w:rsid w:val="00B87757"/>
    <w:rsid w:val="00B910D4"/>
    <w:rsid w:val="00B930EE"/>
    <w:rsid w:val="00B94F78"/>
    <w:rsid w:val="00B94FE7"/>
    <w:rsid w:val="00BA108D"/>
    <w:rsid w:val="00BA205E"/>
    <w:rsid w:val="00BA2DDB"/>
    <w:rsid w:val="00BA4AFD"/>
    <w:rsid w:val="00BA5DDE"/>
    <w:rsid w:val="00BA652B"/>
    <w:rsid w:val="00BB2EE5"/>
    <w:rsid w:val="00BB59E9"/>
    <w:rsid w:val="00BC015C"/>
    <w:rsid w:val="00BC02F1"/>
    <w:rsid w:val="00BC0D1F"/>
    <w:rsid w:val="00BC131B"/>
    <w:rsid w:val="00BC5638"/>
    <w:rsid w:val="00BC586D"/>
    <w:rsid w:val="00BC71E1"/>
    <w:rsid w:val="00BC7C3F"/>
    <w:rsid w:val="00BD20A5"/>
    <w:rsid w:val="00BD2667"/>
    <w:rsid w:val="00BD4E5C"/>
    <w:rsid w:val="00BD5203"/>
    <w:rsid w:val="00BD5C2A"/>
    <w:rsid w:val="00BE1B8A"/>
    <w:rsid w:val="00BE6852"/>
    <w:rsid w:val="00BE6F73"/>
    <w:rsid w:val="00BF04C9"/>
    <w:rsid w:val="00BF1A79"/>
    <w:rsid w:val="00BF269B"/>
    <w:rsid w:val="00BF3A2D"/>
    <w:rsid w:val="00BF70C3"/>
    <w:rsid w:val="00C00773"/>
    <w:rsid w:val="00C04F6F"/>
    <w:rsid w:val="00C07381"/>
    <w:rsid w:val="00C0785B"/>
    <w:rsid w:val="00C113B1"/>
    <w:rsid w:val="00C11EAF"/>
    <w:rsid w:val="00C139B5"/>
    <w:rsid w:val="00C142AB"/>
    <w:rsid w:val="00C14ED7"/>
    <w:rsid w:val="00C15E7A"/>
    <w:rsid w:val="00C20796"/>
    <w:rsid w:val="00C221F3"/>
    <w:rsid w:val="00C22D87"/>
    <w:rsid w:val="00C23CB7"/>
    <w:rsid w:val="00C23FD3"/>
    <w:rsid w:val="00C254C0"/>
    <w:rsid w:val="00C27754"/>
    <w:rsid w:val="00C302D7"/>
    <w:rsid w:val="00C30DD7"/>
    <w:rsid w:val="00C30EE5"/>
    <w:rsid w:val="00C31019"/>
    <w:rsid w:val="00C33E0B"/>
    <w:rsid w:val="00C3524C"/>
    <w:rsid w:val="00C37D24"/>
    <w:rsid w:val="00C44974"/>
    <w:rsid w:val="00C44DCF"/>
    <w:rsid w:val="00C472C3"/>
    <w:rsid w:val="00C511F8"/>
    <w:rsid w:val="00C512A6"/>
    <w:rsid w:val="00C515D9"/>
    <w:rsid w:val="00C51606"/>
    <w:rsid w:val="00C56880"/>
    <w:rsid w:val="00C62003"/>
    <w:rsid w:val="00C6224E"/>
    <w:rsid w:val="00C645A6"/>
    <w:rsid w:val="00C703EC"/>
    <w:rsid w:val="00C718E0"/>
    <w:rsid w:val="00C730FA"/>
    <w:rsid w:val="00C74BE5"/>
    <w:rsid w:val="00C778A5"/>
    <w:rsid w:val="00C805A7"/>
    <w:rsid w:val="00C8195E"/>
    <w:rsid w:val="00C87448"/>
    <w:rsid w:val="00C879E2"/>
    <w:rsid w:val="00C9382E"/>
    <w:rsid w:val="00CA0177"/>
    <w:rsid w:val="00CA10F0"/>
    <w:rsid w:val="00CA5BB6"/>
    <w:rsid w:val="00CA5CFA"/>
    <w:rsid w:val="00CA64CA"/>
    <w:rsid w:val="00CB1D8D"/>
    <w:rsid w:val="00CB1E26"/>
    <w:rsid w:val="00CB34A8"/>
    <w:rsid w:val="00CB5C1A"/>
    <w:rsid w:val="00CC3E44"/>
    <w:rsid w:val="00CC72C1"/>
    <w:rsid w:val="00CC7801"/>
    <w:rsid w:val="00CD037B"/>
    <w:rsid w:val="00CD15F1"/>
    <w:rsid w:val="00CD29EB"/>
    <w:rsid w:val="00CD34EB"/>
    <w:rsid w:val="00CD58E6"/>
    <w:rsid w:val="00CE1973"/>
    <w:rsid w:val="00CE4433"/>
    <w:rsid w:val="00CE504F"/>
    <w:rsid w:val="00CE5FB7"/>
    <w:rsid w:val="00CE7288"/>
    <w:rsid w:val="00CE7B6A"/>
    <w:rsid w:val="00CF4410"/>
    <w:rsid w:val="00CF5641"/>
    <w:rsid w:val="00CF7DF0"/>
    <w:rsid w:val="00D058C0"/>
    <w:rsid w:val="00D059BB"/>
    <w:rsid w:val="00D0663B"/>
    <w:rsid w:val="00D10F2D"/>
    <w:rsid w:val="00D114EB"/>
    <w:rsid w:val="00D11809"/>
    <w:rsid w:val="00D119E2"/>
    <w:rsid w:val="00D1218D"/>
    <w:rsid w:val="00D16C3A"/>
    <w:rsid w:val="00D17D4F"/>
    <w:rsid w:val="00D17EF0"/>
    <w:rsid w:val="00D21D07"/>
    <w:rsid w:val="00D24243"/>
    <w:rsid w:val="00D25AFE"/>
    <w:rsid w:val="00D25FFA"/>
    <w:rsid w:val="00D261CA"/>
    <w:rsid w:val="00D30D92"/>
    <w:rsid w:val="00D3110E"/>
    <w:rsid w:val="00D314BC"/>
    <w:rsid w:val="00D3481A"/>
    <w:rsid w:val="00D36B10"/>
    <w:rsid w:val="00D36D7C"/>
    <w:rsid w:val="00D40CB4"/>
    <w:rsid w:val="00D4105C"/>
    <w:rsid w:val="00D41307"/>
    <w:rsid w:val="00D41AA3"/>
    <w:rsid w:val="00D4443D"/>
    <w:rsid w:val="00D46575"/>
    <w:rsid w:val="00D4700C"/>
    <w:rsid w:val="00D4752F"/>
    <w:rsid w:val="00D532ED"/>
    <w:rsid w:val="00D55116"/>
    <w:rsid w:val="00D563D6"/>
    <w:rsid w:val="00D564D7"/>
    <w:rsid w:val="00D60BFC"/>
    <w:rsid w:val="00D640B0"/>
    <w:rsid w:val="00D675B5"/>
    <w:rsid w:val="00D724F3"/>
    <w:rsid w:val="00D72A81"/>
    <w:rsid w:val="00D74FB0"/>
    <w:rsid w:val="00D75027"/>
    <w:rsid w:val="00D75525"/>
    <w:rsid w:val="00D755F5"/>
    <w:rsid w:val="00D7721D"/>
    <w:rsid w:val="00D77E62"/>
    <w:rsid w:val="00D802F9"/>
    <w:rsid w:val="00D81750"/>
    <w:rsid w:val="00D83049"/>
    <w:rsid w:val="00D86D30"/>
    <w:rsid w:val="00D92EEE"/>
    <w:rsid w:val="00D93D98"/>
    <w:rsid w:val="00D9627F"/>
    <w:rsid w:val="00D97C40"/>
    <w:rsid w:val="00DA10C4"/>
    <w:rsid w:val="00DA31A8"/>
    <w:rsid w:val="00DA7227"/>
    <w:rsid w:val="00DA78AF"/>
    <w:rsid w:val="00DB2244"/>
    <w:rsid w:val="00DB4613"/>
    <w:rsid w:val="00DB6D86"/>
    <w:rsid w:val="00DC2AC3"/>
    <w:rsid w:val="00DC353F"/>
    <w:rsid w:val="00DC3B9E"/>
    <w:rsid w:val="00DC7DA0"/>
    <w:rsid w:val="00DD2C0F"/>
    <w:rsid w:val="00DD45F0"/>
    <w:rsid w:val="00DE0F6E"/>
    <w:rsid w:val="00DF1DC4"/>
    <w:rsid w:val="00DF5B46"/>
    <w:rsid w:val="00E05055"/>
    <w:rsid w:val="00E106AA"/>
    <w:rsid w:val="00E10B87"/>
    <w:rsid w:val="00E11A6A"/>
    <w:rsid w:val="00E120DB"/>
    <w:rsid w:val="00E229E9"/>
    <w:rsid w:val="00E24078"/>
    <w:rsid w:val="00E245C9"/>
    <w:rsid w:val="00E249FF"/>
    <w:rsid w:val="00E261D7"/>
    <w:rsid w:val="00E33F1E"/>
    <w:rsid w:val="00E34C74"/>
    <w:rsid w:val="00E34EBF"/>
    <w:rsid w:val="00E353C6"/>
    <w:rsid w:val="00E36222"/>
    <w:rsid w:val="00E3714E"/>
    <w:rsid w:val="00E400D4"/>
    <w:rsid w:val="00E42D40"/>
    <w:rsid w:val="00E45D5C"/>
    <w:rsid w:val="00E476B1"/>
    <w:rsid w:val="00E50019"/>
    <w:rsid w:val="00E615BA"/>
    <w:rsid w:val="00E64C21"/>
    <w:rsid w:val="00E657ED"/>
    <w:rsid w:val="00E72741"/>
    <w:rsid w:val="00E73A16"/>
    <w:rsid w:val="00E750F0"/>
    <w:rsid w:val="00E8460C"/>
    <w:rsid w:val="00E87C58"/>
    <w:rsid w:val="00E972DC"/>
    <w:rsid w:val="00EA457A"/>
    <w:rsid w:val="00EA49C6"/>
    <w:rsid w:val="00EB3167"/>
    <w:rsid w:val="00EB3BDD"/>
    <w:rsid w:val="00EB5D9C"/>
    <w:rsid w:val="00EB6624"/>
    <w:rsid w:val="00EB6C17"/>
    <w:rsid w:val="00EC047A"/>
    <w:rsid w:val="00EC0D2B"/>
    <w:rsid w:val="00EC167E"/>
    <w:rsid w:val="00EC6C18"/>
    <w:rsid w:val="00EC7503"/>
    <w:rsid w:val="00EC760B"/>
    <w:rsid w:val="00EE0F42"/>
    <w:rsid w:val="00EE68D4"/>
    <w:rsid w:val="00EF1B21"/>
    <w:rsid w:val="00EF2A20"/>
    <w:rsid w:val="00EF30B3"/>
    <w:rsid w:val="00F0088E"/>
    <w:rsid w:val="00F00E73"/>
    <w:rsid w:val="00F018D7"/>
    <w:rsid w:val="00F020E4"/>
    <w:rsid w:val="00F02579"/>
    <w:rsid w:val="00F05880"/>
    <w:rsid w:val="00F06219"/>
    <w:rsid w:val="00F07F1B"/>
    <w:rsid w:val="00F10264"/>
    <w:rsid w:val="00F11D30"/>
    <w:rsid w:val="00F153BC"/>
    <w:rsid w:val="00F15E6D"/>
    <w:rsid w:val="00F16419"/>
    <w:rsid w:val="00F23ED5"/>
    <w:rsid w:val="00F24A79"/>
    <w:rsid w:val="00F308AF"/>
    <w:rsid w:val="00F3315F"/>
    <w:rsid w:val="00F346B0"/>
    <w:rsid w:val="00F35169"/>
    <w:rsid w:val="00F42C05"/>
    <w:rsid w:val="00F44FB0"/>
    <w:rsid w:val="00F46E82"/>
    <w:rsid w:val="00F56CE2"/>
    <w:rsid w:val="00F60D90"/>
    <w:rsid w:val="00F6345B"/>
    <w:rsid w:val="00F67BB8"/>
    <w:rsid w:val="00F70CC0"/>
    <w:rsid w:val="00F70E2F"/>
    <w:rsid w:val="00F71A8C"/>
    <w:rsid w:val="00F73111"/>
    <w:rsid w:val="00F7497C"/>
    <w:rsid w:val="00F753A4"/>
    <w:rsid w:val="00F755A4"/>
    <w:rsid w:val="00F75CE1"/>
    <w:rsid w:val="00F77709"/>
    <w:rsid w:val="00F77A68"/>
    <w:rsid w:val="00F80022"/>
    <w:rsid w:val="00F86D83"/>
    <w:rsid w:val="00F90C4A"/>
    <w:rsid w:val="00F92166"/>
    <w:rsid w:val="00F92F81"/>
    <w:rsid w:val="00F931CB"/>
    <w:rsid w:val="00F941EE"/>
    <w:rsid w:val="00F97B51"/>
    <w:rsid w:val="00FA15CF"/>
    <w:rsid w:val="00FA6834"/>
    <w:rsid w:val="00FA6D63"/>
    <w:rsid w:val="00FA7510"/>
    <w:rsid w:val="00FB35B6"/>
    <w:rsid w:val="00FB4D78"/>
    <w:rsid w:val="00FB50D8"/>
    <w:rsid w:val="00FB525B"/>
    <w:rsid w:val="00FB53CA"/>
    <w:rsid w:val="00FB7B8D"/>
    <w:rsid w:val="00FC1AC9"/>
    <w:rsid w:val="00FC4293"/>
    <w:rsid w:val="00FC43A6"/>
    <w:rsid w:val="00FC4FDF"/>
    <w:rsid w:val="00FD1CFB"/>
    <w:rsid w:val="00FD1E5B"/>
    <w:rsid w:val="00FD327D"/>
    <w:rsid w:val="00FE29C2"/>
    <w:rsid w:val="00FE729E"/>
    <w:rsid w:val="00FF3DC3"/>
    <w:rsid w:val="00FF4EA5"/>
    <w:rsid w:val="00FF6764"/>
    <w:rsid w:val="00FF6BE3"/>
    <w:rsid w:val="011B0745"/>
    <w:rsid w:val="022928A0"/>
    <w:rsid w:val="02403429"/>
    <w:rsid w:val="02F773E2"/>
    <w:rsid w:val="031B2C7F"/>
    <w:rsid w:val="034E5521"/>
    <w:rsid w:val="041778C3"/>
    <w:rsid w:val="045A755A"/>
    <w:rsid w:val="04A875C1"/>
    <w:rsid w:val="04B14F1D"/>
    <w:rsid w:val="052A53FB"/>
    <w:rsid w:val="05AB6081"/>
    <w:rsid w:val="05EC1F76"/>
    <w:rsid w:val="060009DF"/>
    <w:rsid w:val="062802DE"/>
    <w:rsid w:val="06BA455D"/>
    <w:rsid w:val="06D52C72"/>
    <w:rsid w:val="07243FA7"/>
    <w:rsid w:val="07543FAF"/>
    <w:rsid w:val="075A44FC"/>
    <w:rsid w:val="077E2301"/>
    <w:rsid w:val="082F6F10"/>
    <w:rsid w:val="086F3B29"/>
    <w:rsid w:val="08710603"/>
    <w:rsid w:val="08803AA5"/>
    <w:rsid w:val="08EF1738"/>
    <w:rsid w:val="08FD50B7"/>
    <w:rsid w:val="09B452B3"/>
    <w:rsid w:val="0A1C7459"/>
    <w:rsid w:val="0A3C300B"/>
    <w:rsid w:val="0A3D0899"/>
    <w:rsid w:val="0A903E69"/>
    <w:rsid w:val="0AA6324C"/>
    <w:rsid w:val="0ADD477B"/>
    <w:rsid w:val="0B785656"/>
    <w:rsid w:val="0B7F7AD6"/>
    <w:rsid w:val="0B9B2B8B"/>
    <w:rsid w:val="0BFF3248"/>
    <w:rsid w:val="0C117646"/>
    <w:rsid w:val="0C4C2851"/>
    <w:rsid w:val="0C59519E"/>
    <w:rsid w:val="0C5A1115"/>
    <w:rsid w:val="0C755BB2"/>
    <w:rsid w:val="0C8309F3"/>
    <w:rsid w:val="0CF556E6"/>
    <w:rsid w:val="0D5D7DFA"/>
    <w:rsid w:val="0DEF6A54"/>
    <w:rsid w:val="0E236666"/>
    <w:rsid w:val="0EFD290A"/>
    <w:rsid w:val="0F5A537A"/>
    <w:rsid w:val="100F0529"/>
    <w:rsid w:val="106514F7"/>
    <w:rsid w:val="10933651"/>
    <w:rsid w:val="11260EA9"/>
    <w:rsid w:val="115C58E2"/>
    <w:rsid w:val="120067BB"/>
    <w:rsid w:val="12256F37"/>
    <w:rsid w:val="12631F4C"/>
    <w:rsid w:val="129E3A9C"/>
    <w:rsid w:val="13607B6D"/>
    <w:rsid w:val="139E1811"/>
    <w:rsid w:val="14087FD8"/>
    <w:rsid w:val="14C77108"/>
    <w:rsid w:val="15E57904"/>
    <w:rsid w:val="176A71DF"/>
    <w:rsid w:val="17AD3125"/>
    <w:rsid w:val="17CA5D04"/>
    <w:rsid w:val="18E80323"/>
    <w:rsid w:val="18ED7FAC"/>
    <w:rsid w:val="1968644E"/>
    <w:rsid w:val="199D7DB1"/>
    <w:rsid w:val="1AE16FB0"/>
    <w:rsid w:val="1AEF6191"/>
    <w:rsid w:val="1B1426FF"/>
    <w:rsid w:val="1C036721"/>
    <w:rsid w:val="1C2F127F"/>
    <w:rsid w:val="1C730FDE"/>
    <w:rsid w:val="1CB2536D"/>
    <w:rsid w:val="1E012619"/>
    <w:rsid w:val="1E485AED"/>
    <w:rsid w:val="1E702CC4"/>
    <w:rsid w:val="1EB97F18"/>
    <w:rsid w:val="1FC144A8"/>
    <w:rsid w:val="1FC878C3"/>
    <w:rsid w:val="20013F61"/>
    <w:rsid w:val="200F3AC6"/>
    <w:rsid w:val="20CE7FA1"/>
    <w:rsid w:val="21A66B2A"/>
    <w:rsid w:val="21AB121A"/>
    <w:rsid w:val="21C9511A"/>
    <w:rsid w:val="229929A9"/>
    <w:rsid w:val="22D419DE"/>
    <w:rsid w:val="22DE4BE0"/>
    <w:rsid w:val="23B32DF2"/>
    <w:rsid w:val="23FA5592"/>
    <w:rsid w:val="24077749"/>
    <w:rsid w:val="247561B2"/>
    <w:rsid w:val="257F36C6"/>
    <w:rsid w:val="262E6649"/>
    <w:rsid w:val="266E4CBC"/>
    <w:rsid w:val="2692141B"/>
    <w:rsid w:val="26D665BC"/>
    <w:rsid w:val="26E26881"/>
    <w:rsid w:val="28344F3B"/>
    <w:rsid w:val="284607E7"/>
    <w:rsid w:val="29093969"/>
    <w:rsid w:val="293143F3"/>
    <w:rsid w:val="293E59BB"/>
    <w:rsid w:val="29834882"/>
    <w:rsid w:val="29C370F7"/>
    <w:rsid w:val="29DE3B2B"/>
    <w:rsid w:val="2B144F83"/>
    <w:rsid w:val="2BB40854"/>
    <w:rsid w:val="2C4E5D51"/>
    <w:rsid w:val="2C5F2143"/>
    <w:rsid w:val="2CF6767D"/>
    <w:rsid w:val="2D7E6C18"/>
    <w:rsid w:val="2E52461F"/>
    <w:rsid w:val="2E5C6502"/>
    <w:rsid w:val="2E826544"/>
    <w:rsid w:val="2ED650BA"/>
    <w:rsid w:val="2F124686"/>
    <w:rsid w:val="2F650C5A"/>
    <w:rsid w:val="30150568"/>
    <w:rsid w:val="30843684"/>
    <w:rsid w:val="311C1F77"/>
    <w:rsid w:val="31CB23EC"/>
    <w:rsid w:val="32BA1BC9"/>
    <w:rsid w:val="33D23A23"/>
    <w:rsid w:val="340348B6"/>
    <w:rsid w:val="347F3298"/>
    <w:rsid w:val="348A7F2B"/>
    <w:rsid w:val="350E5516"/>
    <w:rsid w:val="3611319E"/>
    <w:rsid w:val="3624222D"/>
    <w:rsid w:val="362B09A3"/>
    <w:rsid w:val="362B6AE9"/>
    <w:rsid w:val="364C0CC7"/>
    <w:rsid w:val="36701643"/>
    <w:rsid w:val="38CA4EAC"/>
    <w:rsid w:val="38E51220"/>
    <w:rsid w:val="390572A1"/>
    <w:rsid w:val="39275231"/>
    <w:rsid w:val="39F2218D"/>
    <w:rsid w:val="3A7A4F5E"/>
    <w:rsid w:val="3A9E5057"/>
    <w:rsid w:val="3ACB586F"/>
    <w:rsid w:val="3AE105C1"/>
    <w:rsid w:val="3AEB39A6"/>
    <w:rsid w:val="3B0C6340"/>
    <w:rsid w:val="3B2477F2"/>
    <w:rsid w:val="3B726727"/>
    <w:rsid w:val="3BE0020D"/>
    <w:rsid w:val="3CA72CC4"/>
    <w:rsid w:val="3CD76FC8"/>
    <w:rsid w:val="3CDE2283"/>
    <w:rsid w:val="3CEF17D2"/>
    <w:rsid w:val="3D092CC0"/>
    <w:rsid w:val="3D127F47"/>
    <w:rsid w:val="3D7538C7"/>
    <w:rsid w:val="3DA84C1D"/>
    <w:rsid w:val="3DCF27A6"/>
    <w:rsid w:val="3DD141D0"/>
    <w:rsid w:val="3E191E1F"/>
    <w:rsid w:val="3E862E14"/>
    <w:rsid w:val="3EA85EAD"/>
    <w:rsid w:val="3ED72887"/>
    <w:rsid w:val="3EF369FB"/>
    <w:rsid w:val="3EF70024"/>
    <w:rsid w:val="3F3F12D6"/>
    <w:rsid w:val="3F4D3628"/>
    <w:rsid w:val="3FB15ADA"/>
    <w:rsid w:val="40747AD3"/>
    <w:rsid w:val="40CA2DFA"/>
    <w:rsid w:val="40F8373D"/>
    <w:rsid w:val="41F36687"/>
    <w:rsid w:val="4274457A"/>
    <w:rsid w:val="428E09D1"/>
    <w:rsid w:val="42BA743D"/>
    <w:rsid w:val="42C22321"/>
    <w:rsid w:val="435D1C1F"/>
    <w:rsid w:val="439F0F56"/>
    <w:rsid w:val="442D4F83"/>
    <w:rsid w:val="442E123D"/>
    <w:rsid w:val="44413922"/>
    <w:rsid w:val="44481E84"/>
    <w:rsid w:val="44CE6E4A"/>
    <w:rsid w:val="44E05B2E"/>
    <w:rsid w:val="452B0F96"/>
    <w:rsid w:val="455501E4"/>
    <w:rsid w:val="4635013F"/>
    <w:rsid w:val="465E6DA5"/>
    <w:rsid w:val="46665D4E"/>
    <w:rsid w:val="46BF66B0"/>
    <w:rsid w:val="46D46170"/>
    <w:rsid w:val="47553750"/>
    <w:rsid w:val="475D0F0B"/>
    <w:rsid w:val="48A73C3A"/>
    <w:rsid w:val="48AD008F"/>
    <w:rsid w:val="490E32E8"/>
    <w:rsid w:val="492B3035"/>
    <w:rsid w:val="49561012"/>
    <w:rsid w:val="49771B2C"/>
    <w:rsid w:val="49A35F51"/>
    <w:rsid w:val="4A4D70AA"/>
    <w:rsid w:val="4AC67520"/>
    <w:rsid w:val="4B8035C1"/>
    <w:rsid w:val="4BFB452C"/>
    <w:rsid w:val="4CBB5F06"/>
    <w:rsid w:val="4CC60ADF"/>
    <w:rsid w:val="4CF96814"/>
    <w:rsid w:val="4D55263F"/>
    <w:rsid w:val="4D697710"/>
    <w:rsid w:val="4D934E97"/>
    <w:rsid w:val="4DBA440F"/>
    <w:rsid w:val="4DCA2A73"/>
    <w:rsid w:val="4DDC68EF"/>
    <w:rsid w:val="4E912E03"/>
    <w:rsid w:val="4EC018B1"/>
    <w:rsid w:val="4F5A1A06"/>
    <w:rsid w:val="4FAC26B0"/>
    <w:rsid w:val="4FD91D1F"/>
    <w:rsid w:val="505E0174"/>
    <w:rsid w:val="508E4C18"/>
    <w:rsid w:val="51367151"/>
    <w:rsid w:val="52873DE5"/>
    <w:rsid w:val="529066EF"/>
    <w:rsid w:val="52B363CB"/>
    <w:rsid w:val="52CF1616"/>
    <w:rsid w:val="53AB47B4"/>
    <w:rsid w:val="53B84030"/>
    <w:rsid w:val="54B03B5E"/>
    <w:rsid w:val="550F4997"/>
    <w:rsid w:val="5514682B"/>
    <w:rsid w:val="55164621"/>
    <w:rsid w:val="55221A20"/>
    <w:rsid w:val="556468D9"/>
    <w:rsid w:val="55B048C2"/>
    <w:rsid w:val="564E25F9"/>
    <w:rsid w:val="564F3699"/>
    <w:rsid w:val="56C63E25"/>
    <w:rsid w:val="56DD6091"/>
    <w:rsid w:val="57453A2E"/>
    <w:rsid w:val="57C9215B"/>
    <w:rsid w:val="57DA2FD2"/>
    <w:rsid w:val="58506C6D"/>
    <w:rsid w:val="58CF46E6"/>
    <w:rsid w:val="58D21294"/>
    <w:rsid w:val="5901634D"/>
    <w:rsid w:val="594273D2"/>
    <w:rsid w:val="59787EB7"/>
    <w:rsid w:val="59C306BB"/>
    <w:rsid w:val="5A177954"/>
    <w:rsid w:val="5A320C91"/>
    <w:rsid w:val="5A490FF5"/>
    <w:rsid w:val="5A4C5BDD"/>
    <w:rsid w:val="5A7C0CF8"/>
    <w:rsid w:val="5B2572E6"/>
    <w:rsid w:val="5C367357"/>
    <w:rsid w:val="5CCC1E1E"/>
    <w:rsid w:val="5CF20DBF"/>
    <w:rsid w:val="5D305002"/>
    <w:rsid w:val="5DAD53F7"/>
    <w:rsid w:val="5DE16267"/>
    <w:rsid w:val="5E2A1AAD"/>
    <w:rsid w:val="5E512226"/>
    <w:rsid w:val="5F1C06A1"/>
    <w:rsid w:val="5F577782"/>
    <w:rsid w:val="5F655D80"/>
    <w:rsid w:val="5FA24E29"/>
    <w:rsid w:val="5FA34F54"/>
    <w:rsid w:val="5FD8009E"/>
    <w:rsid w:val="5FEE4944"/>
    <w:rsid w:val="60291587"/>
    <w:rsid w:val="60AF680C"/>
    <w:rsid w:val="60C85116"/>
    <w:rsid w:val="60D32F3F"/>
    <w:rsid w:val="61052CC7"/>
    <w:rsid w:val="613956E2"/>
    <w:rsid w:val="616E0B69"/>
    <w:rsid w:val="619A5F45"/>
    <w:rsid w:val="62482138"/>
    <w:rsid w:val="635C0D55"/>
    <w:rsid w:val="64896FE3"/>
    <w:rsid w:val="64EA7086"/>
    <w:rsid w:val="6520055A"/>
    <w:rsid w:val="65374740"/>
    <w:rsid w:val="655C0257"/>
    <w:rsid w:val="65622F6B"/>
    <w:rsid w:val="657131AE"/>
    <w:rsid w:val="658C197A"/>
    <w:rsid w:val="65F173BB"/>
    <w:rsid w:val="66307A84"/>
    <w:rsid w:val="664341CA"/>
    <w:rsid w:val="67627219"/>
    <w:rsid w:val="67734C32"/>
    <w:rsid w:val="678076C4"/>
    <w:rsid w:val="67992F54"/>
    <w:rsid w:val="67E45C73"/>
    <w:rsid w:val="67E7466A"/>
    <w:rsid w:val="68461C46"/>
    <w:rsid w:val="68961525"/>
    <w:rsid w:val="6990005D"/>
    <w:rsid w:val="6A6A32D8"/>
    <w:rsid w:val="6ACA583A"/>
    <w:rsid w:val="6AF20CB3"/>
    <w:rsid w:val="6B096589"/>
    <w:rsid w:val="6BAD0D11"/>
    <w:rsid w:val="6BE52DE5"/>
    <w:rsid w:val="6C093AFA"/>
    <w:rsid w:val="6C7864D8"/>
    <w:rsid w:val="6C79223F"/>
    <w:rsid w:val="6CE64DD4"/>
    <w:rsid w:val="6CEB1A97"/>
    <w:rsid w:val="6CF15C5B"/>
    <w:rsid w:val="6D0D27D5"/>
    <w:rsid w:val="6D1305D9"/>
    <w:rsid w:val="6D5C1709"/>
    <w:rsid w:val="6D985AC2"/>
    <w:rsid w:val="6DB42C99"/>
    <w:rsid w:val="6E8D7219"/>
    <w:rsid w:val="6F413BF1"/>
    <w:rsid w:val="6F561BF7"/>
    <w:rsid w:val="6F9A3B0A"/>
    <w:rsid w:val="6FA16A58"/>
    <w:rsid w:val="70470ED8"/>
    <w:rsid w:val="708A2C8A"/>
    <w:rsid w:val="7138445F"/>
    <w:rsid w:val="7153772E"/>
    <w:rsid w:val="715A6326"/>
    <w:rsid w:val="71A21035"/>
    <w:rsid w:val="71B61399"/>
    <w:rsid w:val="71BA0E31"/>
    <w:rsid w:val="71C25C49"/>
    <w:rsid w:val="720D7D46"/>
    <w:rsid w:val="721B6BD0"/>
    <w:rsid w:val="723C0E1A"/>
    <w:rsid w:val="72584B80"/>
    <w:rsid w:val="727422F1"/>
    <w:rsid w:val="734C4A8C"/>
    <w:rsid w:val="745443C6"/>
    <w:rsid w:val="74B40D91"/>
    <w:rsid w:val="74B9720C"/>
    <w:rsid w:val="74F76021"/>
    <w:rsid w:val="766B4B86"/>
    <w:rsid w:val="768300A3"/>
    <w:rsid w:val="7683320B"/>
    <w:rsid w:val="76D97711"/>
    <w:rsid w:val="770556B3"/>
    <w:rsid w:val="77553B10"/>
    <w:rsid w:val="787128CD"/>
    <w:rsid w:val="787D6242"/>
    <w:rsid w:val="78D317E9"/>
    <w:rsid w:val="793179B2"/>
    <w:rsid w:val="799613D6"/>
    <w:rsid w:val="7A4F04FA"/>
    <w:rsid w:val="7AD51AFA"/>
    <w:rsid w:val="7AD9673C"/>
    <w:rsid w:val="7B0405BD"/>
    <w:rsid w:val="7B125604"/>
    <w:rsid w:val="7B373BB9"/>
    <w:rsid w:val="7BCC383F"/>
    <w:rsid w:val="7C801D4E"/>
    <w:rsid w:val="7D752B42"/>
    <w:rsid w:val="7E010D4C"/>
    <w:rsid w:val="7E634CF5"/>
    <w:rsid w:val="7E7747AF"/>
    <w:rsid w:val="7F365C23"/>
    <w:rsid w:val="7FB8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semiHidden="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0"/>
    <w:qFormat/>
    <w:uiPriority w:val="0"/>
    <w:pPr>
      <w:keepNext/>
      <w:keepLines/>
      <w:numPr>
        <w:ilvl w:val="0"/>
        <w:numId w:val="1"/>
      </w:numPr>
      <w:spacing w:beforeLines="0" w:beforeAutospacing="0" w:afterLines="0" w:afterAutospacing="0" w:line="360" w:lineRule="auto"/>
      <w:ind w:left="432" w:leftChars="0" w:hanging="432" w:firstLineChars="0"/>
      <w:outlineLvl w:val="0"/>
    </w:pPr>
    <w:rPr>
      <w:b/>
      <w:kern w:val="44"/>
      <w:sz w:val="24"/>
    </w:rPr>
  </w:style>
  <w:style w:type="paragraph" w:styleId="3">
    <w:name w:val="heading 2"/>
    <w:basedOn w:val="1"/>
    <w:next w:val="1"/>
    <w:link w:val="35"/>
    <w:qFormat/>
    <w:uiPriority w:val="0"/>
    <w:pPr>
      <w:keepNext/>
      <w:numPr>
        <w:ilvl w:val="1"/>
        <w:numId w:val="1"/>
      </w:numPr>
      <w:tabs>
        <w:tab w:val="left" w:pos="420"/>
      </w:tabs>
      <w:ind w:left="575" w:hanging="575" w:firstLineChars="0"/>
      <w:jc w:val="left"/>
      <w:outlineLvl w:val="1"/>
    </w:pPr>
    <w:rPr>
      <w:rFonts w:ascii="宋体" w:hAnsi="宋体"/>
      <w:szCs w:val="20"/>
    </w:rPr>
  </w:style>
  <w:style w:type="paragraph" w:styleId="4">
    <w:name w:val="heading 3"/>
    <w:basedOn w:val="1"/>
    <w:next w:val="1"/>
    <w:link w:val="51"/>
    <w:unhideWhenUsed/>
    <w:qFormat/>
    <w:uiPriority w:val="0"/>
    <w:pPr>
      <w:keepNext/>
      <w:keepLines/>
      <w:numPr>
        <w:ilvl w:val="2"/>
        <w:numId w:val="1"/>
      </w:numPr>
      <w:spacing w:before="0" w:beforeLines="0" w:beforeAutospacing="0" w:after="0" w:afterLines="0" w:afterAutospacing="0" w:line="413" w:lineRule="auto"/>
      <w:ind w:left="1230" w:hanging="720" w:firstLineChars="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tabs>
        <w:tab w:val="left" w:pos="420"/>
        <w:tab w:val="left" w:pos="1701"/>
      </w:tabs>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39"/>
    <w:qFormat/>
    <w:uiPriority w:val="99"/>
    <w:pPr>
      <w:jc w:val="left"/>
    </w:pPr>
    <w:rPr>
      <w:szCs w:val="20"/>
    </w:r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after="120"/>
    </w:pPr>
    <w:rPr>
      <w:szCs w:val="20"/>
    </w:rPr>
  </w:style>
  <w:style w:type="paragraph" w:styleId="16">
    <w:name w:val="Body Text Indent"/>
    <w:basedOn w:val="1"/>
    <w:qFormat/>
    <w:uiPriority w:val="0"/>
    <w:pPr>
      <w:spacing w:line="360" w:lineRule="auto"/>
      <w:ind w:firstLine="323"/>
    </w:pPr>
    <w:rPr>
      <w:szCs w:val="20"/>
    </w:rPr>
  </w:style>
  <w:style w:type="paragraph" w:styleId="17">
    <w:name w:val="Block Text"/>
    <w:basedOn w:val="1"/>
    <w:qFormat/>
    <w:uiPriority w:val="0"/>
    <w:pPr>
      <w:widowControl/>
      <w:tabs>
        <w:tab w:val="left" w:pos="180"/>
      </w:tabs>
      <w:spacing w:beforeLines="50" w:afterLines="10"/>
      <w:ind w:left="420" w:leftChars="175" w:right="197" w:rightChars="82" w:firstLine="480" w:firstLineChars="200"/>
    </w:pPr>
    <w:rPr>
      <w:rFonts w:ascii="宋体" w:hAnsi="宋体"/>
      <w:bCs/>
      <w:kern w:val="0"/>
      <w:sz w:val="24"/>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pPr>
      <w:ind w:left="100" w:leftChars="2500"/>
    </w:pPr>
    <w:rPr>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44"/>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Body Text 2"/>
    <w:basedOn w:val="1"/>
    <w:qFormat/>
    <w:uiPriority w:val="0"/>
    <w:pPr>
      <w:spacing w:line="240" w:lineRule="exact"/>
      <w:jc w:val="center"/>
    </w:pPr>
    <w:rPr>
      <w:sz w:val="18"/>
    </w:rPr>
  </w:style>
  <w:style w:type="paragraph" w:styleId="25">
    <w:name w:val="Normal (Web)"/>
    <w:basedOn w:val="1"/>
    <w:qFormat/>
    <w:uiPriority w:val="0"/>
    <w:pPr>
      <w:widowControl/>
      <w:spacing w:before="100" w:beforeAutospacing="1" w:after="100" w:afterAutospacing="1"/>
      <w:jc w:val="left"/>
    </w:pPr>
    <w:rPr>
      <w:rFonts w:ascii="Arial" w:hAnsi="Arial" w:cs="Arial"/>
      <w:color w:val="000000"/>
      <w:kern w:val="0"/>
      <w:sz w:val="17"/>
      <w:szCs w:val="17"/>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3"/>
    <w:next w:val="13"/>
    <w:link w:val="45"/>
    <w:qFormat/>
    <w:uiPriority w:val="0"/>
    <w:rPr>
      <w:b/>
      <w:bCs/>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character" w:customStyle="1" w:styleId="35">
    <w:name w:val="标题 2 Char"/>
    <w:link w:val="3"/>
    <w:qFormat/>
    <w:uiPriority w:val="0"/>
    <w:rPr>
      <w:rFonts w:ascii="宋体" w:hAnsi="宋体" w:eastAsia="宋体"/>
      <w:sz w:val="21"/>
      <w:szCs w:val="20"/>
    </w:rPr>
  </w:style>
  <w:style w:type="paragraph" w:customStyle="1" w:styleId="36">
    <w:name w:val="Indent 2"/>
    <w:basedOn w:val="1"/>
    <w:qFormat/>
    <w:uiPriority w:val="0"/>
    <w:pPr>
      <w:widowControl/>
      <w:spacing w:after="180" w:line="240" w:lineRule="atLeast"/>
      <w:ind w:left="1440"/>
      <w:jc w:val="left"/>
    </w:pPr>
    <w:rPr>
      <w:rFonts w:ascii="Arial" w:hAnsi="Arial"/>
      <w:kern w:val="0"/>
      <w:sz w:val="22"/>
      <w:lang w:eastAsia="en-US"/>
    </w:rPr>
  </w:style>
  <w:style w:type="paragraph" w:customStyle="1" w:styleId="37">
    <w:name w:val="Note 2"/>
    <w:basedOn w:val="1"/>
    <w:qFormat/>
    <w:uiPriority w:val="0"/>
    <w:pPr>
      <w:widowControl/>
      <w:tabs>
        <w:tab w:val="left" w:pos="2520"/>
      </w:tabs>
      <w:spacing w:after="180" w:line="240" w:lineRule="atLeast"/>
      <w:ind w:left="2520" w:hanging="1080"/>
      <w:jc w:val="left"/>
    </w:pPr>
    <w:rPr>
      <w:rFonts w:ascii="Arial" w:hAnsi="Arial"/>
      <w:kern w:val="0"/>
      <w:sz w:val="22"/>
      <w:lang w:eastAsia="en-US"/>
    </w:rPr>
  </w:style>
  <w:style w:type="character" w:customStyle="1" w:styleId="38">
    <w:name w:val="highlight1"/>
    <w:basedOn w:val="30"/>
    <w:qFormat/>
    <w:uiPriority w:val="0"/>
    <w:rPr>
      <w:shd w:val="clear" w:color="auto" w:fill="FFFF00"/>
    </w:rPr>
  </w:style>
  <w:style w:type="character" w:customStyle="1" w:styleId="39">
    <w:name w:val="批注文字 Char"/>
    <w:basedOn w:val="30"/>
    <w:link w:val="13"/>
    <w:qFormat/>
    <w:uiPriority w:val="99"/>
    <w:rPr>
      <w:kern w:val="2"/>
      <w:sz w:val="21"/>
    </w:rPr>
  </w:style>
  <w:style w:type="paragraph" w:customStyle="1" w:styleId="40">
    <w:name w:val="5"/>
    <w:basedOn w:val="1"/>
    <w:next w:val="1"/>
    <w:qFormat/>
    <w:uiPriority w:val="0"/>
    <w:pPr>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41">
    <w:name w:val="6"/>
    <w:basedOn w:val="1"/>
    <w:qFormat/>
    <w:uiPriority w:val="0"/>
    <w:pPr>
      <w:tabs>
        <w:tab w:val="left" w:pos="426"/>
      </w:tabs>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42">
    <w:name w:val="4"/>
    <w:basedOn w:val="1"/>
    <w:next w:val="1"/>
    <w:qFormat/>
    <w:uiPriority w:val="0"/>
    <w:pPr>
      <w:autoSpaceDE w:val="0"/>
      <w:autoSpaceDN w:val="0"/>
      <w:adjustRightInd w:val="0"/>
      <w:snapToGrid w:val="0"/>
      <w:spacing w:line="312" w:lineRule="auto"/>
      <w:ind w:firstLine="480" w:firstLineChars="200"/>
      <w:jc w:val="left"/>
    </w:pPr>
    <w:rPr>
      <w:rFonts w:ascii="楷体_GB2312" w:hAnsi="宋体" w:eastAsia="楷体_GB2312"/>
      <w:kern w:val="0"/>
      <w:sz w:val="24"/>
    </w:rPr>
  </w:style>
  <w:style w:type="paragraph" w:customStyle="1" w:styleId="43">
    <w:name w:val="3"/>
    <w:basedOn w:val="1"/>
    <w:next w:val="1"/>
    <w:qFormat/>
    <w:uiPriority w:val="0"/>
    <w:pPr>
      <w:autoSpaceDE w:val="0"/>
      <w:autoSpaceDN w:val="0"/>
      <w:adjustRightInd w:val="0"/>
      <w:snapToGrid w:val="0"/>
      <w:spacing w:line="312" w:lineRule="auto"/>
      <w:ind w:firstLine="480" w:firstLineChars="200"/>
      <w:jc w:val="left"/>
    </w:pPr>
    <w:rPr>
      <w:rFonts w:eastAsia="楷体_GB2312"/>
      <w:kern w:val="0"/>
      <w:sz w:val="24"/>
      <w:szCs w:val="20"/>
    </w:rPr>
  </w:style>
  <w:style w:type="character" w:customStyle="1" w:styleId="44">
    <w:name w:val="页脚 Char"/>
    <w:basedOn w:val="30"/>
    <w:link w:val="22"/>
    <w:qFormat/>
    <w:uiPriority w:val="99"/>
    <w:rPr>
      <w:kern w:val="2"/>
      <w:sz w:val="18"/>
      <w:szCs w:val="18"/>
    </w:rPr>
  </w:style>
  <w:style w:type="character" w:customStyle="1" w:styleId="45">
    <w:name w:val="批注主题 Char"/>
    <w:basedOn w:val="39"/>
    <w:link w:val="27"/>
    <w:qFormat/>
    <w:uiPriority w:val="0"/>
    <w:rPr>
      <w:b/>
      <w:bCs/>
      <w:kern w:val="2"/>
      <w:sz w:val="21"/>
      <w:szCs w:val="24"/>
    </w:rPr>
  </w:style>
  <w:style w:type="character" w:customStyle="1" w:styleId="46">
    <w:name w:val="不明显强调1"/>
    <w:basedOn w:val="30"/>
    <w:qFormat/>
    <w:uiPriority w:val="0"/>
    <w:rPr>
      <w:i/>
      <w:color w:val="548DD4"/>
    </w:rPr>
  </w:style>
  <w:style w:type="paragraph" w:styleId="47">
    <w:name w:val="List Paragraph"/>
    <w:basedOn w:val="1"/>
    <w:qFormat/>
    <w:uiPriority w:val="34"/>
    <w:pPr>
      <w:ind w:firstLine="420" w:firstLineChars="200"/>
    </w:pPr>
  </w:style>
  <w:style w:type="paragraph" w:customStyle="1" w:styleId="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9">
    <w:name w:val="讨论疑问"/>
    <w:qFormat/>
    <w:uiPriority w:val="1"/>
    <w:rPr>
      <w:i/>
      <w:iCs/>
      <w:color w:val="1F497D"/>
      <w:u w:val="double" w:color="FF0000"/>
    </w:rPr>
  </w:style>
  <w:style w:type="character" w:customStyle="1" w:styleId="50">
    <w:name w:val="标题 1 Char"/>
    <w:link w:val="2"/>
    <w:qFormat/>
    <w:uiPriority w:val="0"/>
    <w:rPr>
      <w:rFonts w:eastAsia="宋体"/>
      <w:b/>
      <w:kern w:val="44"/>
      <w:sz w:val="24"/>
    </w:rPr>
  </w:style>
  <w:style w:type="character" w:customStyle="1" w:styleId="51">
    <w:name w:val="标题 3 Char"/>
    <w:link w:val="4"/>
    <w:qFormat/>
    <w:uiPriority w:val="0"/>
    <w:rPr>
      <w:rFonts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microsoft.com/office/2007/relationships/diagramDrawing" Target="diagrams/drawing1.xml"/><Relationship Id="rId17" Type="http://schemas.openxmlformats.org/officeDocument/2006/relationships/diagramColors" Target="diagrams/colors1.xml"/><Relationship Id="rId16" Type="http://schemas.openxmlformats.org/officeDocument/2006/relationships/diagramQuickStyle" Target="diagrams/quickStyle1.xml"/><Relationship Id="rId15" Type="http://schemas.openxmlformats.org/officeDocument/2006/relationships/diagramLayout" Target="diagrams/layout1.xml"/><Relationship Id="rId14" Type="http://schemas.openxmlformats.org/officeDocument/2006/relationships/diagramData" Target="diagrams/data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586537C-19B8-4AC6-AB21-07D75F4D0F7A}" type="doc">
      <dgm:prSet loTypeId="urn:microsoft.com/office/officeart/2005/8/layout/orgChart1#1" loCatId="hierarchy" qsTypeId="urn:microsoft.com/office/officeart/2005/8/quickstyle/simple3#1" qsCatId="simple" csTypeId="urn:microsoft.com/office/officeart/2005/8/colors/accent1_2#1" csCatId="accent1" phldr="1"/>
      <dgm:spPr/>
      <dgm:t>
        <a:bodyPr/>
        <a:p>
          <a:endParaRPr lang="zh-CN" altLang="en-US"/>
        </a:p>
      </dgm:t>
    </dgm:pt>
    <dgm:pt modelId="{AACDC8ED-C558-4C96-8F94-9B50E2A461E3}">
      <dgm:prSet phldrT="[文本]"/>
      <dgm:spPr/>
      <dgm:t>
        <a:bodyPr/>
        <a:p>
          <a:r>
            <a:rPr lang="zh-CN" altLang="en-US" dirty="0" smtClean="0"/>
            <a:t>总经理</a:t>
          </a:r>
        </a:p>
        <a:p>
          <a:r>
            <a:rPr lang="zh-CN" altLang="en-US" smtClean="0"/>
            <a:t> </a:t>
          </a:r>
          <a:endParaRPr lang="zh-CN" altLang="en-US" dirty="0"/>
        </a:p>
      </dgm:t>
    </dgm:pt>
    <dgm:pt modelId="{A65EEC66-19E2-4E79-874E-406D031BFE4F}" cxnId="{E5357914-05EC-40CD-B855-DBC36E297601}" type="parTrans">
      <dgm:prSet/>
      <dgm:spPr/>
      <dgm:t>
        <a:bodyPr/>
        <a:p>
          <a:endParaRPr lang="zh-CN" altLang="en-US"/>
        </a:p>
      </dgm:t>
    </dgm:pt>
    <dgm:pt modelId="{711C231E-A8F7-4D9F-8D5F-779F88922027}" cxnId="{E5357914-05EC-40CD-B855-DBC36E297601}" type="sibTrans">
      <dgm:prSet/>
      <dgm:spPr/>
      <dgm:t>
        <a:bodyPr/>
        <a:p>
          <a:endParaRPr lang="zh-CN" altLang="en-US"/>
        </a:p>
      </dgm:t>
    </dgm:pt>
    <dgm:pt modelId="{350A376A-DBB5-4D5B-887B-E8CA46AC56C3}" type="asst">
      <dgm:prSet phldrT="[文本]" phldr="0" custT="0"/>
      <dgm:spPr/>
      <dgm:t>
        <a:bodyPr vert="horz" wrap="square"/>
        <a:p>
          <a:pPr>
            <a:lnSpc>
              <a:spcPct val="100000"/>
            </a:lnSpc>
            <a:spcBef>
              <a:spcPct val="0"/>
            </a:spcBef>
            <a:spcAft>
              <a:spcPct val="35000"/>
            </a:spcAft>
          </a:pPr>
          <a:r>
            <a:rPr lang="zh-CN" altLang="en-US" smtClean="0"/>
            <a:t>管理者</a:t>
          </a:r>
          <a:r>
            <a:rPr lang="zh-CN" altLang="en-US" smtClean="0"/>
            <a:t>代表</a:t>
          </a:r>
          <a:r>
            <a:rPr lang="zh-CN" altLang="en-US" smtClean="0"/>
            <a:t> </a:t>
          </a:r>
          <a:r>
            <a:rPr lang="zh-CN" altLang="en-US" dirty="0"/>
            <a:t/>
          </a:r>
          <a:endParaRPr lang="zh-CN" altLang="en-US" dirty="0"/>
        </a:p>
      </dgm:t>
    </dgm:pt>
    <dgm:pt modelId="{7231973B-CE3C-40EC-8F25-A3B980291CD3}" cxnId="{6CE2E441-7928-4E32-A516-71773FC218F2}" type="parTrans">
      <dgm:prSet/>
      <dgm:spPr/>
      <dgm:t>
        <a:bodyPr/>
        <a:p>
          <a:endParaRPr lang="zh-CN" altLang="en-US"/>
        </a:p>
      </dgm:t>
    </dgm:pt>
    <dgm:pt modelId="{AB4C49FA-CB30-459C-877E-5AE3F239BF02}" cxnId="{6CE2E441-7928-4E32-A516-71773FC218F2}" type="sibTrans">
      <dgm:prSet/>
      <dgm:spPr/>
      <dgm:t>
        <a:bodyPr/>
        <a:p>
          <a:endParaRPr lang="zh-CN" altLang="en-US"/>
        </a:p>
      </dgm:t>
    </dgm:pt>
    <dgm:pt modelId="{D4D84B7B-50D6-47FB-9085-35F767A62B35}">
      <dgm:prSet phldrT="[文本]"/>
      <dgm:spPr/>
      <dgm:t>
        <a:bodyPr/>
        <a:p>
          <a:r>
            <a:rPr lang="zh-CN" altLang="en-US" dirty="0" smtClean="0"/>
            <a:t>研发部</a:t>
          </a:r>
          <a:endParaRPr lang="en-US" altLang="zh-CN" dirty="0" smtClean="0"/>
        </a:p>
      </dgm:t>
    </dgm:pt>
    <dgm:pt modelId="{87FE4EF0-4A12-4356-9A4D-56E0A35A8730}" cxnId="{36E59DE3-BAA8-4BF7-815A-C9058C7078E3}" type="parTrans">
      <dgm:prSet/>
      <dgm:spPr/>
      <dgm:t>
        <a:bodyPr/>
        <a:p>
          <a:endParaRPr lang="zh-CN" altLang="en-US"/>
        </a:p>
      </dgm:t>
    </dgm:pt>
    <dgm:pt modelId="{BCC0028A-6376-4177-A4DD-9FE27E379BAF}" cxnId="{36E59DE3-BAA8-4BF7-815A-C9058C7078E3}" type="sibTrans">
      <dgm:prSet/>
      <dgm:spPr/>
      <dgm:t>
        <a:bodyPr/>
        <a:p>
          <a:endParaRPr lang="zh-CN" altLang="en-US"/>
        </a:p>
      </dgm:t>
    </dgm:pt>
    <dgm:pt modelId="{AE28FEDB-3EE7-7847-8EE3-64CE6EE52DFB}">
      <dgm:prSet phldrT="[文本]"/>
      <dgm:spPr/>
      <dgm:t>
        <a:bodyPr/>
        <a:p>
          <a:r>
            <a:rPr lang="zh-CN" altLang="en-US" dirty="0" smtClean="0"/>
            <a:t>生产部</a:t>
          </a:r>
          <a:endParaRPr lang="en-US" altLang="zh-CN" dirty="0" smtClean="0"/>
        </a:p>
      </dgm:t>
    </dgm:pt>
    <dgm:pt modelId="{2855C538-C042-0946-837A-95191AD16437}" cxnId="{7F4DCF8B-44D9-4097-BB8E-A617F55F59A3}" type="parTrans">
      <dgm:prSet/>
      <dgm:spPr/>
      <dgm:t>
        <a:bodyPr/>
        <a:p>
          <a:endParaRPr lang="zh-CN" altLang="en-US"/>
        </a:p>
      </dgm:t>
    </dgm:pt>
    <dgm:pt modelId="{9B8299EB-7579-634D-B92A-84C0C68A02B0}" cxnId="{7F4DCF8B-44D9-4097-BB8E-A617F55F59A3}" type="sibTrans">
      <dgm:prSet/>
      <dgm:spPr/>
      <dgm:t>
        <a:bodyPr/>
        <a:p>
          <a:endParaRPr lang="zh-CN" altLang="en-US"/>
        </a:p>
      </dgm:t>
    </dgm:pt>
    <dgm:pt modelId="{57EC629B-E185-5044-ABB6-8FCD57055ACA}">
      <dgm:prSet phldrT="[文本]" phldr="0" custT="0"/>
      <dgm:spPr/>
      <dgm:t>
        <a:bodyPr vert="horz" wrap="square"/>
        <a:p>
          <a:pPr>
            <a:lnSpc>
              <a:spcPct val="100000"/>
            </a:lnSpc>
            <a:spcBef>
              <a:spcPct val="0"/>
            </a:spcBef>
            <a:spcAft>
              <a:spcPct val="35000"/>
            </a:spcAft>
          </a:pPr>
          <a:r>
            <a:rPr lang="zh-CN" altLang="en-US" dirty="0" smtClean="0"/>
            <a:t>质量</a:t>
          </a:r>
          <a:r>
            <a:rPr lang="zh-CN" altLang="en-US" dirty="0" smtClean="0"/>
            <a:t>部</a:t>
          </a:r>
          <a:r>
            <a:rPr lang="en-US" altLang="zh-CN" dirty="0" smtClean="0"/>
            <a:t/>
          </a:r>
          <a:endParaRPr lang="en-US" altLang="zh-CN" dirty="0" smtClean="0"/>
        </a:p>
      </dgm:t>
    </dgm:pt>
    <dgm:pt modelId="{DB219811-090E-764F-B5E5-898F4D8CDBA7}" cxnId="{BF4531E3-29A7-4C8A-B804-8D8B1B216F1F}" type="parTrans">
      <dgm:prSet/>
      <dgm:spPr/>
      <dgm:t>
        <a:bodyPr/>
        <a:p>
          <a:endParaRPr lang="zh-CN" altLang="en-US"/>
        </a:p>
      </dgm:t>
    </dgm:pt>
    <dgm:pt modelId="{8618318F-5F44-4144-B799-DFAD897013FB}" cxnId="{BF4531E3-29A7-4C8A-B804-8D8B1B216F1F}" type="sibTrans">
      <dgm:prSet/>
      <dgm:spPr/>
      <dgm:t>
        <a:bodyPr/>
        <a:p>
          <a:endParaRPr lang="zh-CN" altLang="en-US"/>
        </a:p>
      </dgm:t>
    </dgm:pt>
    <dgm:pt modelId="{6AC1A99E-8E32-43E2-93C6-14B7F1BF5ACC}">
      <dgm:prSet phldr="0" custT="0"/>
      <dgm:spPr/>
      <dgm:t>
        <a:bodyPr vert="horz" wrap="square"/>
        <a:p>
          <a:pPr>
            <a:lnSpc>
              <a:spcPct val="100000"/>
            </a:lnSpc>
            <a:spcBef>
              <a:spcPct val="0"/>
            </a:spcBef>
            <a:spcAft>
              <a:spcPct val="35000"/>
            </a:spcAft>
          </a:pPr>
          <a:r>
            <a:rPr lang="zh-CN" altLang="en-US" dirty="0" smtClean="0"/>
            <a:t>人事</a:t>
          </a:r>
          <a:r>
            <a:rPr lang="zh-CN" altLang="en-US" dirty="0" smtClean="0"/>
            <a:t>部</a:t>
          </a:r>
          <a:r>
            <a:rPr lang="en-US" altLang="zh-CN" dirty="0" smtClean="0"/>
            <a:t/>
          </a:r>
          <a:endParaRPr lang="en-US" altLang="zh-CN" dirty="0" smtClean="0"/>
        </a:p>
      </dgm:t>
    </dgm:pt>
    <dgm:pt modelId="{003F3BF8-BA48-407B-9095-0F69E5A0298C}" cxnId="{2F0CC1BA-CE4A-4BB2-8A68-3E0E5B0031CF}" type="parTrans">
      <dgm:prSet/>
      <dgm:spPr/>
      <dgm:t>
        <a:bodyPr/>
        <a:p>
          <a:endParaRPr lang="zh-CN" altLang="en-US"/>
        </a:p>
      </dgm:t>
    </dgm:pt>
    <dgm:pt modelId="{6E49C539-5732-48AF-86CE-69AE5C324E30}" cxnId="{2F0CC1BA-CE4A-4BB2-8A68-3E0E5B0031CF}" type="sibTrans">
      <dgm:prSet/>
      <dgm:spPr/>
      <dgm:t>
        <a:bodyPr/>
        <a:p>
          <a:endParaRPr lang="zh-CN" altLang="en-US"/>
        </a:p>
      </dgm:t>
    </dgm:pt>
    <dgm:pt modelId="{84B2AA2C-434B-48C8-911C-EC0001ACF8AA}">
      <dgm:prSet/>
      <dgm:spPr/>
      <dgm:t>
        <a:bodyPr/>
        <a:p>
          <a:r>
            <a:rPr lang="zh-CN" altLang="en-US" dirty="0" smtClean="0"/>
            <a:t>采购部</a:t>
          </a:r>
          <a:endParaRPr lang="en-US" altLang="zh-CN" dirty="0" smtClean="0"/>
        </a:p>
      </dgm:t>
    </dgm:pt>
    <dgm:pt modelId="{6DF156AB-69CC-4F80-8637-7ABF805722A8}" cxnId="{477CF7C3-1D90-4AEF-8E66-F25670595F7F}" type="parTrans">
      <dgm:prSet/>
      <dgm:spPr/>
      <dgm:t>
        <a:bodyPr/>
        <a:p>
          <a:endParaRPr lang="zh-CN" altLang="en-US"/>
        </a:p>
      </dgm:t>
    </dgm:pt>
    <dgm:pt modelId="{BF8B215C-B11F-4E36-A8FA-29956DE12F3C}" cxnId="{477CF7C3-1D90-4AEF-8E66-F25670595F7F}" type="sibTrans">
      <dgm:prSet/>
      <dgm:spPr/>
      <dgm:t>
        <a:bodyPr/>
        <a:p>
          <a:endParaRPr lang="zh-CN" altLang="en-US"/>
        </a:p>
      </dgm:t>
    </dgm:pt>
    <dgm:pt modelId="{738DE200-BE73-4883-8DCD-1E29FCDDE280}">
      <dgm:prSet phldr="0" custT="0"/>
      <dgm:spPr/>
      <dgm:t>
        <a:bodyPr vert="horz" wrap="square"/>
        <a:p>
          <a:pPr>
            <a:lnSpc>
              <a:spcPct val="100000"/>
            </a:lnSpc>
            <a:spcBef>
              <a:spcPct val="0"/>
            </a:spcBef>
            <a:spcAft>
              <a:spcPct val="35000"/>
            </a:spcAft>
          </a:pPr>
          <a:r>
            <a:rPr lang="zh-CN" altLang="en-US" dirty="0" smtClean="0"/>
            <a:t>销售</a:t>
          </a:r>
          <a:r>
            <a:rPr lang="zh-CN" altLang="en-US" dirty="0" smtClean="0"/>
            <a:t>部</a:t>
          </a:r>
          <a:r>
            <a:rPr lang="en-US" altLang="zh-CN" dirty="0" smtClean="0"/>
            <a:t/>
          </a:r>
          <a:endParaRPr lang="en-US" altLang="zh-CN" dirty="0" smtClean="0"/>
        </a:p>
      </dgm:t>
    </dgm:pt>
    <dgm:pt modelId="{720E2C84-9E40-4877-9FB6-387F112FB29D}" cxnId="{7D5C3A3F-C798-456F-84F2-9902434D71BF}" type="parTrans">
      <dgm:prSet/>
      <dgm:spPr/>
      <dgm:t>
        <a:bodyPr/>
        <a:p>
          <a:endParaRPr lang="zh-CN" altLang="en-US"/>
        </a:p>
      </dgm:t>
    </dgm:pt>
    <dgm:pt modelId="{C35160FE-96F9-4845-9013-5D2D34A40731}" cxnId="{7D5C3A3F-C798-456F-84F2-9902434D71BF}" type="sibTrans">
      <dgm:prSet/>
      <dgm:spPr/>
      <dgm:t>
        <a:bodyPr/>
        <a:p>
          <a:endParaRPr lang="zh-CN" altLang="en-US"/>
        </a:p>
      </dgm:t>
    </dgm:pt>
    <dgm:pt modelId="{A7AE7EEC-3D91-4435-98D5-9FAB2EA133B0}" type="pres">
      <dgm:prSet presAssocID="{D586537C-19B8-4AC6-AB21-07D75F4D0F7A}" presName="hierChild1" presStyleCnt="0">
        <dgm:presLayoutVars>
          <dgm:orgChart val="1"/>
          <dgm:chPref val="1"/>
          <dgm:dir/>
          <dgm:animOne val="branch"/>
          <dgm:animLvl val="lvl"/>
          <dgm:resizeHandles/>
        </dgm:presLayoutVars>
      </dgm:prSet>
      <dgm:spPr/>
      <dgm:t>
        <a:bodyPr/>
        <a:p>
          <a:endParaRPr lang="zh-CN" altLang="en-US"/>
        </a:p>
      </dgm:t>
    </dgm:pt>
    <dgm:pt modelId="{C222F948-C899-474A-818A-F2485CE9CCAC}" type="pres">
      <dgm:prSet presAssocID="{AACDC8ED-C558-4C96-8F94-9B50E2A461E3}" presName="hierRoot1" presStyleCnt="0">
        <dgm:presLayoutVars>
          <dgm:hierBranch val="init"/>
        </dgm:presLayoutVars>
      </dgm:prSet>
      <dgm:spPr/>
    </dgm:pt>
    <dgm:pt modelId="{79803FED-89A1-40BD-959F-088A3C4A97B5}" type="pres">
      <dgm:prSet presAssocID="{AACDC8ED-C558-4C96-8F94-9B50E2A461E3}" presName="rootComposite1" presStyleCnt="0"/>
      <dgm:spPr/>
      <dgm:t>
        <a:bodyPr/>
        <a:p>
          <a:endParaRPr lang="zh-CN" altLang="en-US"/>
        </a:p>
      </dgm:t>
    </dgm:pt>
    <dgm:pt modelId="{BD4ED274-DD0F-4C30-A712-E06ACBAA88C6}" type="pres">
      <dgm:prSet presAssocID="{AACDC8ED-C558-4C96-8F94-9B50E2A461E3}" presName="rootText1" presStyleLbl="node0" presStyleIdx="0" presStyleCnt="1" custLinFactY="-60723" custLinFactNeighborX="14728" custLinFactNeighborY="-100000">
        <dgm:presLayoutVars>
          <dgm:chPref val="3"/>
        </dgm:presLayoutVars>
      </dgm:prSet>
      <dgm:spPr/>
      <dgm:t>
        <a:bodyPr/>
        <a:p>
          <a:endParaRPr lang="zh-CN" altLang="en-US"/>
        </a:p>
      </dgm:t>
    </dgm:pt>
    <dgm:pt modelId="{CD1A02F8-07DD-4C53-BEF4-E6121253C81E}" type="pres">
      <dgm:prSet presAssocID="{AACDC8ED-C558-4C96-8F94-9B50E2A461E3}" presName="rootConnector1" presStyleCnt="0"/>
      <dgm:spPr/>
      <dgm:t>
        <a:bodyPr/>
        <a:p>
          <a:endParaRPr lang="zh-CN" altLang="en-US"/>
        </a:p>
      </dgm:t>
    </dgm:pt>
    <dgm:pt modelId="{FC961198-2074-48FE-A4E7-E52833DB6E79}" type="pres">
      <dgm:prSet presAssocID="{AACDC8ED-C558-4C96-8F94-9B50E2A461E3}" presName="hierChild2" presStyleCnt="0"/>
      <dgm:spPr/>
    </dgm:pt>
    <dgm:pt modelId="{069F9178-5262-4E5E-99DC-FFB2B578BEB0}" type="pres">
      <dgm:prSet presAssocID="{87FE4EF0-4A12-4356-9A4D-56E0A35A8730}" presName="Name37" presStyleLbl="parChTrans1D2" presStyleIdx="0" presStyleCnt="7"/>
      <dgm:spPr/>
      <dgm:t>
        <a:bodyPr/>
        <a:p>
          <a:endParaRPr lang="zh-CN" altLang="en-US"/>
        </a:p>
      </dgm:t>
    </dgm:pt>
    <dgm:pt modelId="{23240312-018B-46A6-8E6D-0B0BA38BB698}" type="pres">
      <dgm:prSet presAssocID="{D4D84B7B-50D6-47FB-9085-35F767A62B35}" presName="hierRoot2" presStyleCnt="0">
        <dgm:presLayoutVars>
          <dgm:hierBranch val="init"/>
        </dgm:presLayoutVars>
      </dgm:prSet>
      <dgm:spPr/>
    </dgm:pt>
    <dgm:pt modelId="{6562960D-8FF1-4F8D-9657-A11C3D8BDEA4}" type="pres">
      <dgm:prSet presAssocID="{D4D84B7B-50D6-47FB-9085-35F767A62B35}" presName="rootComposite" presStyleCnt="0"/>
      <dgm:spPr/>
      <dgm:t>
        <a:bodyPr/>
        <a:p>
          <a:endParaRPr lang="zh-CN" altLang="en-US"/>
        </a:p>
      </dgm:t>
    </dgm:pt>
    <dgm:pt modelId="{1A73D20B-CF54-4068-B790-5ED39DD27DAE}" type="pres">
      <dgm:prSet presAssocID="{D4D84B7B-50D6-47FB-9085-35F767A62B35}" presName="rootText" presStyleLbl="node2" presStyleIdx="0" presStyleCnt="6">
        <dgm:presLayoutVars>
          <dgm:chPref val="3"/>
        </dgm:presLayoutVars>
      </dgm:prSet>
      <dgm:spPr/>
      <dgm:t>
        <a:bodyPr/>
        <a:p>
          <a:endParaRPr lang="zh-CN" altLang="en-US"/>
        </a:p>
      </dgm:t>
    </dgm:pt>
    <dgm:pt modelId="{17E752A5-3A74-4981-A293-EA594B994D1B}" type="pres">
      <dgm:prSet presAssocID="{D4D84B7B-50D6-47FB-9085-35F767A62B35}" presName="rootConnector" presStyleCnt="0"/>
      <dgm:spPr/>
      <dgm:t>
        <a:bodyPr/>
        <a:p>
          <a:endParaRPr lang="zh-CN" altLang="en-US"/>
        </a:p>
      </dgm:t>
    </dgm:pt>
    <dgm:pt modelId="{245431FB-CE8D-4AB6-90F6-86E59195B5D0}" type="pres">
      <dgm:prSet presAssocID="{D4D84B7B-50D6-47FB-9085-35F767A62B35}" presName="hierChild4" presStyleCnt="0"/>
      <dgm:spPr/>
    </dgm:pt>
    <dgm:pt modelId="{14CC788E-558D-42A9-BFA9-18A9E798EDBA}" type="pres">
      <dgm:prSet presAssocID="{D4D84B7B-50D6-47FB-9085-35F767A62B35}" presName="hierChild5" presStyleCnt="0"/>
      <dgm:spPr/>
    </dgm:pt>
    <dgm:pt modelId="{6F4611F6-B91E-C04B-8134-EC475D23AEDB}" type="pres">
      <dgm:prSet presAssocID="{2855C538-C042-0946-837A-95191AD16437}" presName="Name37" presStyleLbl="parChTrans1D2" presStyleIdx="1" presStyleCnt="7"/>
      <dgm:spPr/>
      <dgm:t>
        <a:bodyPr/>
        <a:p>
          <a:endParaRPr lang="zh-CN" altLang="en-US"/>
        </a:p>
      </dgm:t>
    </dgm:pt>
    <dgm:pt modelId="{776DB5A0-B33A-604C-8675-8542EA110FBD}" type="pres">
      <dgm:prSet presAssocID="{AE28FEDB-3EE7-7847-8EE3-64CE6EE52DFB}" presName="hierRoot2" presStyleCnt="0">
        <dgm:presLayoutVars>
          <dgm:hierBranch val="init"/>
        </dgm:presLayoutVars>
      </dgm:prSet>
      <dgm:spPr/>
    </dgm:pt>
    <dgm:pt modelId="{E3728181-ADCB-F34B-9E68-569F9EAEB855}" type="pres">
      <dgm:prSet presAssocID="{AE28FEDB-3EE7-7847-8EE3-64CE6EE52DFB}" presName="rootComposite" presStyleCnt="0"/>
      <dgm:spPr/>
      <dgm:t>
        <a:bodyPr/>
        <a:p>
          <a:endParaRPr lang="zh-CN" altLang="en-US"/>
        </a:p>
      </dgm:t>
    </dgm:pt>
    <dgm:pt modelId="{F0682E93-1DA3-B24A-ABA1-CACCE3F21129}" type="pres">
      <dgm:prSet presAssocID="{AE28FEDB-3EE7-7847-8EE3-64CE6EE52DFB}" presName="rootText" presStyleLbl="node2" presStyleIdx="1" presStyleCnt="6">
        <dgm:presLayoutVars>
          <dgm:chPref val="3"/>
        </dgm:presLayoutVars>
      </dgm:prSet>
      <dgm:spPr/>
      <dgm:t>
        <a:bodyPr/>
        <a:p>
          <a:endParaRPr lang="zh-CN" altLang="en-US"/>
        </a:p>
      </dgm:t>
    </dgm:pt>
    <dgm:pt modelId="{D309E7A2-1C35-BF42-A628-27A0E6538F09}" type="pres">
      <dgm:prSet presAssocID="{AE28FEDB-3EE7-7847-8EE3-64CE6EE52DFB}" presName="rootConnector" presStyleCnt="0"/>
      <dgm:spPr/>
      <dgm:t>
        <a:bodyPr/>
        <a:p>
          <a:endParaRPr lang="zh-CN" altLang="en-US"/>
        </a:p>
      </dgm:t>
    </dgm:pt>
    <dgm:pt modelId="{6B79CDB9-897E-B84A-86E0-DD29938636C6}" type="pres">
      <dgm:prSet presAssocID="{AE28FEDB-3EE7-7847-8EE3-64CE6EE52DFB}" presName="hierChild4" presStyleCnt="0"/>
      <dgm:spPr/>
    </dgm:pt>
    <dgm:pt modelId="{3F78D177-BB8B-8743-B5AE-3D8EA7F1921B}" type="pres">
      <dgm:prSet presAssocID="{AE28FEDB-3EE7-7847-8EE3-64CE6EE52DFB}" presName="hierChild5" presStyleCnt="0"/>
      <dgm:spPr/>
    </dgm:pt>
    <dgm:pt modelId="{803AD8D7-4230-1B4A-9150-396CB3AA7377}" type="pres">
      <dgm:prSet presAssocID="{DB219811-090E-764F-B5E5-898F4D8CDBA7}" presName="Name37" presStyleLbl="parChTrans1D2" presStyleIdx="2" presStyleCnt="7"/>
      <dgm:spPr/>
      <dgm:t>
        <a:bodyPr/>
        <a:p>
          <a:endParaRPr lang="zh-CN" altLang="en-US"/>
        </a:p>
      </dgm:t>
    </dgm:pt>
    <dgm:pt modelId="{FC7AE825-AC78-E648-B6B7-CE54E293D63E}" type="pres">
      <dgm:prSet presAssocID="{57EC629B-E185-5044-ABB6-8FCD57055ACA}" presName="hierRoot2" presStyleCnt="0">
        <dgm:presLayoutVars>
          <dgm:hierBranch val="init"/>
        </dgm:presLayoutVars>
      </dgm:prSet>
      <dgm:spPr/>
    </dgm:pt>
    <dgm:pt modelId="{9E127EEB-8291-7B4C-9482-3F637A8257CC}" type="pres">
      <dgm:prSet presAssocID="{57EC629B-E185-5044-ABB6-8FCD57055ACA}" presName="rootComposite" presStyleCnt="0"/>
      <dgm:spPr/>
      <dgm:t>
        <a:bodyPr/>
        <a:p>
          <a:endParaRPr lang="zh-CN" altLang="en-US"/>
        </a:p>
      </dgm:t>
    </dgm:pt>
    <dgm:pt modelId="{04F9910D-4D95-B749-8E83-871088C33DF1}" type="pres">
      <dgm:prSet presAssocID="{57EC629B-E185-5044-ABB6-8FCD57055ACA}" presName="rootText" presStyleLbl="node2" presStyleIdx="2" presStyleCnt="6">
        <dgm:presLayoutVars>
          <dgm:chPref val="3"/>
        </dgm:presLayoutVars>
      </dgm:prSet>
      <dgm:spPr/>
      <dgm:t>
        <a:bodyPr/>
        <a:p>
          <a:endParaRPr lang="zh-CN" altLang="en-US"/>
        </a:p>
      </dgm:t>
    </dgm:pt>
    <dgm:pt modelId="{8D1B0084-4405-E749-A2B6-314E1D7B4AC4}" type="pres">
      <dgm:prSet presAssocID="{57EC629B-E185-5044-ABB6-8FCD57055ACA}" presName="rootConnector" presStyleCnt="0"/>
      <dgm:spPr/>
      <dgm:t>
        <a:bodyPr/>
        <a:p>
          <a:endParaRPr lang="zh-CN" altLang="en-US"/>
        </a:p>
      </dgm:t>
    </dgm:pt>
    <dgm:pt modelId="{3F51BF16-CA15-474E-A422-B8B5C59BA844}" type="pres">
      <dgm:prSet presAssocID="{57EC629B-E185-5044-ABB6-8FCD57055ACA}" presName="hierChild4" presStyleCnt="0"/>
      <dgm:spPr/>
    </dgm:pt>
    <dgm:pt modelId="{2F387543-A031-A840-9259-B61AC4E16FF9}" type="pres">
      <dgm:prSet presAssocID="{57EC629B-E185-5044-ABB6-8FCD57055ACA}" presName="hierChild5" presStyleCnt="0"/>
      <dgm:spPr/>
    </dgm:pt>
    <dgm:pt modelId="{C57CE01A-5DE9-4A80-915A-500FA2EBA88E}" type="pres">
      <dgm:prSet presAssocID="{003F3BF8-BA48-407B-9095-0F69E5A0298C}" presName="Name37" presStyleLbl="parChTrans1D2" presStyleIdx="3" presStyleCnt="7"/>
      <dgm:spPr/>
      <dgm:t>
        <a:bodyPr/>
        <a:p>
          <a:endParaRPr lang="zh-CN" altLang="en-US"/>
        </a:p>
      </dgm:t>
    </dgm:pt>
    <dgm:pt modelId="{A419CC32-2FE4-4C6A-A0B0-DDF65A51AF84}" type="pres">
      <dgm:prSet presAssocID="{6AC1A99E-8E32-43E2-93C6-14B7F1BF5ACC}" presName="hierRoot2" presStyleCnt="0">
        <dgm:presLayoutVars>
          <dgm:hierBranch val="init"/>
        </dgm:presLayoutVars>
      </dgm:prSet>
      <dgm:spPr/>
    </dgm:pt>
    <dgm:pt modelId="{0E39B742-3673-40CD-8F0C-77CD990784AA}" type="pres">
      <dgm:prSet presAssocID="{6AC1A99E-8E32-43E2-93C6-14B7F1BF5ACC}" presName="rootComposite" presStyleCnt="0"/>
      <dgm:spPr/>
      <dgm:t>
        <a:bodyPr/>
        <a:p>
          <a:endParaRPr lang="zh-CN" altLang="en-US"/>
        </a:p>
      </dgm:t>
    </dgm:pt>
    <dgm:pt modelId="{8580F0C5-290E-4F16-B97B-26CB4F9357A5}" type="pres">
      <dgm:prSet presAssocID="{6AC1A99E-8E32-43E2-93C6-14B7F1BF5ACC}" presName="rootText" presStyleLbl="node2" presStyleIdx="3" presStyleCnt="6">
        <dgm:presLayoutVars>
          <dgm:chPref val="3"/>
        </dgm:presLayoutVars>
      </dgm:prSet>
      <dgm:spPr/>
      <dgm:t>
        <a:bodyPr/>
        <a:p>
          <a:endParaRPr lang="zh-CN" altLang="en-US"/>
        </a:p>
      </dgm:t>
    </dgm:pt>
    <dgm:pt modelId="{68B44A41-30E5-46EF-9FB6-9A281F17122D}" type="pres">
      <dgm:prSet presAssocID="{6AC1A99E-8E32-43E2-93C6-14B7F1BF5ACC}" presName="rootConnector" presStyleCnt="0"/>
      <dgm:spPr/>
      <dgm:t>
        <a:bodyPr/>
        <a:p>
          <a:endParaRPr lang="zh-CN" altLang="en-US"/>
        </a:p>
      </dgm:t>
    </dgm:pt>
    <dgm:pt modelId="{13C943AD-6ED1-442D-AEFE-90BE29869590}" type="pres">
      <dgm:prSet presAssocID="{6AC1A99E-8E32-43E2-93C6-14B7F1BF5ACC}" presName="hierChild4" presStyleCnt="0"/>
      <dgm:spPr/>
    </dgm:pt>
    <dgm:pt modelId="{42E0F808-368A-417C-936D-2C09566DC139}" type="pres">
      <dgm:prSet presAssocID="{6AC1A99E-8E32-43E2-93C6-14B7F1BF5ACC}" presName="hierChild5" presStyleCnt="0"/>
      <dgm:spPr/>
    </dgm:pt>
    <dgm:pt modelId="{685578E0-04B6-4AFB-8332-CDFD6DBED3EE}" type="pres">
      <dgm:prSet presAssocID="{6DF156AB-69CC-4F80-8637-7ABF805722A8}" presName="Name37" presStyleLbl="parChTrans1D2" presStyleIdx="4" presStyleCnt="7"/>
      <dgm:spPr/>
      <dgm:t>
        <a:bodyPr/>
        <a:p>
          <a:endParaRPr lang="zh-CN" altLang="en-US"/>
        </a:p>
      </dgm:t>
    </dgm:pt>
    <dgm:pt modelId="{DE4D8D19-FF64-4812-9B43-7E73293467BF}" type="pres">
      <dgm:prSet presAssocID="{84B2AA2C-434B-48C8-911C-EC0001ACF8AA}" presName="hierRoot2" presStyleCnt="0">
        <dgm:presLayoutVars>
          <dgm:hierBranch val="init"/>
        </dgm:presLayoutVars>
      </dgm:prSet>
      <dgm:spPr/>
    </dgm:pt>
    <dgm:pt modelId="{5EB2E799-9690-4503-9140-4ED9D612B1A6}" type="pres">
      <dgm:prSet presAssocID="{84B2AA2C-434B-48C8-911C-EC0001ACF8AA}" presName="rootComposite" presStyleCnt="0"/>
      <dgm:spPr/>
      <dgm:t>
        <a:bodyPr/>
        <a:p>
          <a:endParaRPr lang="zh-CN" altLang="en-US"/>
        </a:p>
      </dgm:t>
    </dgm:pt>
    <dgm:pt modelId="{D36CBDD8-3914-497E-A1DC-B1B1E2934E0F}" type="pres">
      <dgm:prSet presAssocID="{84B2AA2C-434B-48C8-911C-EC0001ACF8AA}" presName="rootText" presStyleLbl="node2" presStyleIdx="4" presStyleCnt="6">
        <dgm:presLayoutVars>
          <dgm:chPref val="3"/>
        </dgm:presLayoutVars>
      </dgm:prSet>
      <dgm:spPr/>
      <dgm:t>
        <a:bodyPr/>
        <a:p>
          <a:endParaRPr lang="zh-CN" altLang="en-US"/>
        </a:p>
      </dgm:t>
    </dgm:pt>
    <dgm:pt modelId="{FA015AFA-DD5D-4699-88E9-76046E967116}" type="pres">
      <dgm:prSet presAssocID="{84B2AA2C-434B-48C8-911C-EC0001ACF8AA}" presName="rootConnector" presStyleCnt="0"/>
      <dgm:spPr/>
      <dgm:t>
        <a:bodyPr/>
        <a:p>
          <a:endParaRPr lang="zh-CN" altLang="en-US"/>
        </a:p>
      </dgm:t>
    </dgm:pt>
    <dgm:pt modelId="{857E203F-A4B4-4A53-A9CE-F8BFB1D8CB10}" type="pres">
      <dgm:prSet presAssocID="{84B2AA2C-434B-48C8-911C-EC0001ACF8AA}" presName="hierChild4" presStyleCnt="0"/>
      <dgm:spPr/>
    </dgm:pt>
    <dgm:pt modelId="{9B340D7E-B9E0-4E00-8E4B-4CA94D0306A1}" type="pres">
      <dgm:prSet presAssocID="{84B2AA2C-434B-48C8-911C-EC0001ACF8AA}" presName="hierChild5" presStyleCnt="0"/>
      <dgm:spPr/>
    </dgm:pt>
    <dgm:pt modelId="{52DEF224-5C5C-4EA1-9053-F4707532ACEC}" type="pres">
      <dgm:prSet presAssocID="{720E2C84-9E40-4877-9FB6-387F112FB29D}" presName="Name37" presStyleLbl="parChTrans1D2" presStyleIdx="5" presStyleCnt="7"/>
      <dgm:spPr/>
      <dgm:t>
        <a:bodyPr/>
        <a:p>
          <a:endParaRPr lang="zh-CN" altLang="en-US"/>
        </a:p>
      </dgm:t>
    </dgm:pt>
    <dgm:pt modelId="{E133203A-5E0E-428D-AA57-DDDC749DD74E}" type="pres">
      <dgm:prSet presAssocID="{738DE200-BE73-4883-8DCD-1E29FCDDE280}" presName="hierRoot2" presStyleCnt="0">
        <dgm:presLayoutVars>
          <dgm:hierBranch val="init"/>
        </dgm:presLayoutVars>
      </dgm:prSet>
      <dgm:spPr/>
    </dgm:pt>
    <dgm:pt modelId="{B00BB746-E90A-44E1-8336-CD971336C31B}" type="pres">
      <dgm:prSet presAssocID="{738DE200-BE73-4883-8DCD-1E29FCDDE280}" presName="rootComposite" presStyleCnt="0"/>
      <dgm:spPr/>
      <dgm:t>
        <a:bodyPr/>
        <a:p>
          <a:endParaRPr lang="zh-CN" altLang="en-US"/>
        </a:p>
      </dgm:t>
    </dgm:pt>
    <dgm:pt modelId="{80B83EFE-FBF8-4965-BC75-67FEA92EC6BC}" type="pres">
      <dgm:prSet presAssocID="{738DE200-BE73-4883-8DCD-1E29FCDDE280}" presName="rootText" presStyleLbl="node2" presStyleIdx="5" presStyleCnt="6">
        <dgm:presLayoutVars>
          <dgm:chPref val="3"/>
        </dgm:presLayoutVars>
      </dgm:prSet>
      <dgm:spPr/>
      <dgm:t>
        <a:bodyPr/>
        <a:p>
          <a:endParaRPr lang="zh-CN" altLang="en-US"/>
        </a:p>
      </dgm:t>
    </dgm:pt>
    <dgm:pt modelId="{EED55DFF-3EBF-4359-B85F-4CA8A0CE34BD}" type="pres">
      <dgm:prSet presAssocID="{738DE200-BE73-4883-8DCD-1E29FCDDE280}" presName="rootConnector" presStyleCnt="0"/>
      <dgm:spPr/>
      <dgm:t>
        <a:bodyPr/>
        <a:p>
          <a:endParaRPr lang="zh-CN" altLang="en-US"/>
        </a:p>
      </dgm:t>
    </dgm:pt>
    <dgm:pt modelId="{1FB83B4E-0AE7-4B75-B4F7-C462D903ADDB}" type="pres">
      <dgm:prSet presAssocID="{738DE200-BE73-4883-8DCD-1E29FCDDE280}" presName="hierChild4" presStyleCnt="0"/>
      <dgm:spPr/>
    </dgm:pt>
    <dgm:pt modelId="{78CD47D1-E7A4-493C-9780-258171467B60}" type="pres">
      <dgm:prSet presAssocID="{738DE200-BE73-4883-8DCD-1E29FCDDE280}" presName="hierChild5" presStyleCnt="0"/>
      <dgm:spPr/>
    </dgm:pt>
    <dgm:pt modelId="{9C357F52-4F7F-4F14-ACBE-3315D0EAB597}" type="pres">
      <dgm:prSet presAssocID="{AACDC8ED-C558-4C96-8F94-9B50E2A461E3}" presName="hierChild3" presStyleCnt="0"/>
      <dgm:spPr/>
    </dgm:pt>
    <dgm:pt modelId="{6A650F2D-E7C3-41F3-A3DD-61CFB67E0679}" type="pres">
      <dgm:prSet presAssocID="{7231973B-CE3C-40EC-8F25-A3B980291CD3}" presName="Name111" presStyleLbl="parChTrans1D2" presStyleIdx="6" presStyleCnt="7"/>
      <dgm:spPr/>
      <dgm:t>
        <a:bodyPr/>
        <a:p>
          <a:endParaRPr lang="zh-CN" altLang="en-US"/>
        </a:p>
      </dgm:t>
    </dgm:pt>
    <dgm:pt modelId="{8C5E29E9-A547-435A-99B0-9D64797BA5F4}" type="pres">
      <dgm:prSet presAssocID="{350A376A-DBB5-4D5B-887B-E8CA46AC56C3}" presName="hierRoot3" presStyleCnt="0">
        <dgm:presLayoutVars>
          <dgm:hierBranch val="init"/>
        </dgm:presLayoutVars>
      </dgm:prSet>
      <dgm:spPr/>
    </dgm:pt>
    <dgm:pt modelId="{272055DE-863C-4097-8E85-128A2BD2FC1E}" type="pres">
      <dgm:prSet presAssocID="{350A376A-DBB5-4D5B-887B-E8CA46AC56C3}" presName="rootComposite3" presStyleCnt="0"/>
      <dgm:spPr/>
      <dgm:t>
        <a:bodyPr/>
        <a:p>
          <a:endParaRPr lang="zh-CN" altLang="en-US"/>
        </a:p>
      </dgm:t>
    </dgm:pt>
    <dgm:pt modelId="{71C9C98C-EC4A-4D08-AD0F-C96112BAD7D4}" type="pres">
      <dgm:prSet presAssocID="{350A376A-DBB5-4D5B-887B-E8CA46AC56C3}" presName="rootText3" presStyleLbl="asst1" presStyleIdx="0" presStyleCnt="1" custLinFactY="-19307" custLinFactNeighborX="11738" custLinFactNeighborY="-100000">
        <dgm:presLayoutVars>
          <dgm:chPref val="3"/>
        </dgm:presLayoutVars>
      </dgm:prSet>
      <dgm:spPr/>
      <dgm:t>
        <a:bodyPr/>
        <a:p>
          <a:endParaRPr lang="zh-CN" altLang="en-US"/>
        </a:p>
      </dgm:t>
    </dgm:pt>
    <dgm:pt modelId="{8949B3FC-9021-436B-914E-54F0FC1E2FD9}" type="pres">
      <dgm:prSet presAssocID="{350A376A-DBB5-4D5B-887B-E8CA46AC56C3}" presName="rootConnector3" presStyleCnt="0"/>
      <dgm:spPr/>
      <dgm:t>
        <a:bodyPr/>
        <a:p>
          <a:endParaRPr lang="zh-CN" altLang="en-US"/>
        </a:p>
      </dgm:t>
    </dgm:pt>
    <dgm:pt modelId="{202F7F79-4862-405C-A662-F9EF711D96DE}" type="pres">
      <dgm:prSet presAssocID="{350A376A-DBB5-4D5B-887B-E8CA46AC56C3}" presName="hierChild6" presStyleCnt="0"/>
      <dgm:spPr/>
    </dgm:pt>
    <dgm:pt modelId="{51D99CD7-8C8F-41B6-8D0E-B6B8FDA33165}" type="pres">
      <dgm:prSet presAssocID="{350A376A-DBB5-4D5B-887B-E8CA46AC56C3}" presName="hierChild7" presStyleCnt="0"/>
      <dgm:spPr/>
    </dgm:pt>
  </dgm:ptLst>
  <dgm:cxnLst>
    <dgm:cxn modelId="{E5357914-05EC-40CD-B855-DBC36E297601}" srcId="{D586537C-19B8-4AC6-AB21-07D75F4D0F7A}" destId="{AACDC8ED-C558-4C96-8F94-9B50E2A461E3}" srcOrd="0" destOrd="0" parTransId="{A65EEC66-19E2-4E79-874E-406D031BFE4F}" sibTransId="{711C231E-A8F7-4D9F-8D5F-779F88922027}"/>
    <dgm:cxn modelId="{6CE2E441-7928-4E32-A516-71773FC218F2}" srcId="{AACDC8ED-C558-4C96-8F94-9B50E2A461E3}" destId="{350A376A-DBB5-4D5B-887B-E8CA46AC56C3}" srcOrd="0" destOrd="0" parTransId="{7231973B-CE3C-40EC-8F25-A3B980291CD3}" sibTransId="{AB4C49FA-CB30-459C-877E-5AE3F239BF02}"/>
    <dgm:cxn modelId="{36E59DE3-BAA8-4BF7-815A-C9058C7078E3}" srcId="{AACDC8ED-C558-4C96-8F94-9B50E2A461E3}" destId="{D4D84B7B-50D6-47FB-9085-35F767A62B35}" srcOrd="1" destOrd="0" parTransId="{87FE4EF0-4A12-4356-9A4D-56E0A35A8730}" sibTransId="{BCC0028A-6376-4177-A4DD-9FE27E379BAF}"/>
    <dgm:cxn modelId="{7F4DCF8B-44D9-4097-BB8E-A617F55F59A3}" srcId="{AACDC8ED-C558-4C96-8F94-9B50E2A461E3}" destId="{AE28FEDB-3EE7-7847-8EE3-64CE6EE52DFB}" srcOrd="2" destOrd="0" parTransId="{2855C538-C042-0946-837A-95191AD16437}" sibTransId="{9B8299EB-7579-634D-B92A-84C0C68A02B0}"/>
    <dgm:cxn modelId="{BF4531E3-29A7-4C8A-B804-8D8B1B216F1F}" srcId="{AACDC8ED-C558-4C96-8F94-9B50E2A461E3}" destId="{57EC629B-E185-5044-ABB6-8FCD57055ACA}" srcOrd="3" destOrd="0" parTransId="{DB219811-090E-764F-B5E5-898F4D8CDBA7}" sibTransId="{8618318F-5F44-4144-B799-DFAD897013FB}"/>
    <dgm:cxn modelId="{2F0CC1BA-CE4A-4BB2-8A68-3E0E5B0031CF}" srcId="{AACDC8ED-C558-4C96-8F94-9B50E2A461E3}" destId="{6AC1A99E-8E32-43E2-93C6-14B7F1BF5ACC}" srcOrd="4" destOrd="0" parTransId="{003F3BF8-BA48-407B-9095-0F69E5A0298C}" sibTransId="{6E49C539-5732-48AF-86CE-69AE5C324E30}"/>
    <dgm:cxn modelId="{477CF7C3-1D90-4AEF-8E66-F25670595F7F}" srcId="{AACDC8ED-C558-4C96-8F94-9B50E2A461E3}" destId="{84B2AA2C-434B-48C8-911C-EC0001ACF8AA}" srcOrd="5" destOrd="0" parTransId="{6DF156AB-69CC-4F80-8637-7ABF805722A8}" sibTransId="{BF8B215C-B11F-4E36-A8FA-29956DE12F3C}"/>
    <dgm:cxn modelId="{7D5C3A3F-C798-456F-84F2-9902434D71BF}" srcId="{AACDC8ED-C558-4C96-8F94-9B50E2A461E3}" destId="{738DE200-BE73-4883-8DCD-1E29FCDDE280}" srcOrd="6" destOrd="0" parTransId="{720E2C84-9E40-4877-9FB6-387F112FB29D}" sibTransId="{C35160FE-96F9-4845-9013-5D2D34A40731}"/>
    <dgm:cxn modelId="{CD8369EF-2A4B-4FD1-B767-0B44ACED7295}" type="presOf" srcId="{D586537C-19B8-4AC6-AB21-07D75F4D0F7A}" destId="{A7AE7EEC-3D91-4435-98D5-9FAB2EA133B0}" srcOrd="0" destOrd="0" presId="urn:microsoft.com/office/officeart/2005/8/layout/orgChart1#1"/>
    <dgm:cxn modelId="{C1366233-763E-4EDD-BA69-3D1F85C99780}" type="presParOf" srcId="{A7AE7EEC-3D91-4435-98D5-9FAB2EA133B0}" destId="{C222F948-C899-474A-818A-F2485CE9CCAC}" srcOrd="0" destOrd="0" presId="urn:microsoft.com/office/officeart/2005/8/layout/orgChart1#1"/>
    <dgm:cxn modelId="{CAF7621E-B5DC-46F2-AB68-1D51148DE517}" type="presParOf" srcId="{C222F948-C899-474A-818A-F2485CE9CCAC}" destId="{79803FED-89A1-40BD-959F-088A3C4A97B5}" srcOrd="0" destOrd="0" presId="urn:microsoft.com/office/officeart/2005/8/layout/orgChart1#1"/>
    <dgm:cxn modelId="{66D82535-7C15-4CD0-801E-FF10209038CA}" type="presOf" srcId="{AACDC8ED-C558-4C96-8F94-9B50E2A461E3}" destId="{79803FED-89A1-40BD-959F-088A3C4A97B5}" srcOrd="0" destOrd="0" presId="urn:microsoft.com/office/officeart/2005/8/layout/orgChart1#1"/>
    <dgm:cxn modelId="{BFC950D5-EAF6-46EC-888A-DE0C6B5D519A}" type="presParOf" srcId="{79803FED-89A1-40BD-959F-088A3C4A97B5}" destId="{BD4ED274-DD0F-4C30-A712-E06ACBAA88C6}" srcOrd="0" destOrd="0" presId="urn:microsoft.com/office/officeart/2005/8/layout/orgChart1#1"/>
    <dgm:cxn modelId="{8512E69E-991F-4331-8402-9B2822446A64}" type="presOf" srcId="{AACDC8ED-C558-4C96-8F94-9B50E2A461E3}" destId="{BD4ED274-DD0F-4C30-A712-E06ACBAA88C6}" srcOrd="0" destOrd="0" presId="urn:microsoft.com/office/officeart/2005/8/layout/orgChart1#1"/>
    <dgm:cxn modelId="{ECA51984-C7CF-4B43-9813-2CB980A94258}" type="presParOf" srcId="{79803FED-89A1-40BD-959F-088A3C4A97B5}" destId="{CD1A02F8-07DD-4C53-BEF4-E6121253C81E}" srcOrd="1" destOrd="0" presId="urn:microsoft.com/office/officeart/2005/8/layout/orgChart1#1"/>
    <dgm:cxn modelId="{B3F14814-E487-4F66-8220-E1AFF76FF306}" type="presOf" srcId="{AACDC8ED-C558-4C96-8F94-9B50E2A461E3}" destId="{CD1A02F8-07DD-4C53-BEF4-E6121253C81E}" srcOrd="0" destOrd="0" presId="urn:microsoft.com/office/officeart/2005/8/layout/orgChart1#1"/>
    <dgm:cxn modelId="{EE32318F-E081-4B61-B79F-E7F2FB6BCB13}" type="presParOf" srcId="{C222F948-C899-474A-818A-F2485CE9CCAC}" destId="{FC961198-2074-48FE-A4E7-E52833DB6E79}" srcOrd="1" destOrd="0" presId="urn:microsoft.com/office/officeart/2005/8/layout/orgChart1#1"/>
    <dgm:cxn modelId="{C29115B7-F69E-4413-98AD-6F9E9AB18859}" type="presParOf" srcId="{FC961198-2074-48FE-A4E7-E52833DB6E79}" destId="{069F9178-5262-4E5E-99DC-FFB2B578BEB0}" srcOrd="0" destOrd="1" presId="urn:microsoft.com/office/officeart/2005/8/layout/orgChart1#1"/>
    <dgm:cxn modelId="{7A1A06CD-D9F2-4CCB-971E-D81183E94E0D}" type="presOf" srcId="{87FE4EF0-4A12-4356-9A4D-56E0A35A8730}" destId="{069F9178-5262-4E5E-99DC-FFB2B578BEB0}" srcOrd="0" destOrd="0" presId="urn:microsoft.com/office/officeart/2005/8/layout/orgChart1#1"/>
    <dgm:cxn modelId="{86D4745A-345D-4F80-BF29-F2B2D7E7BB1E}" type="presParOf" srcId="{FC961198-2074-48FE-A4E7-E52833DB6E79}" destId="{23240312-018B-46A6-8E6D-0B0BA38BB698}" srcOrd="1" destOrd="1" presId="urn:microsoft.com/office/officeart/2005/8/layout/orgChart1#1"/>
    <dgm:cxn modelId="{EF42C81D-AAC2-4C39-8DC8-3CB073F3B878}" type="presParOf" srcId="{23240312-018B-46A6-8E6D-0B0BA38BB698}" destId="{6562960D-8FF1-4F8D-9657-A11C3D8BDEA4}" srcOrd="0" destOrd="1" presId="urn:microsoft.com/office/officeart/2005/8/layout/orgChart1#1"/>
    <dgm:cxn modelId="{4EB32560-2F54-43F3-A50C-0A856EDC40F5}" type="presOf" srcId="{D4D84B7B-50D6-47FB-9085-35F767A62B35}" destId="{6562960D-8FF1-4F8D-9657-A11C3D8BDEA4}" srcOrd="0" destOrd="0" presId="urn:microsoft.com/office/officeart/2005/8/layout/orgChart1#1"/>
    <dgm:cxn modelId="{1293E18C-57F4-4104-BDA0-D17879E55365}" type="presParOf" srcId="{6562960D-8FF1-4F8D-9657-A11C3D8BDEA4}" destId="{1A73D20B-CF54-4068-B790-5ED39DD27DAE}" srcOrd="0" destOrd="0" presId="urn:microsoft.com/office/officeart/2005/8/layout/orgChart1#1"/>
    <dgm:cxn modelId="{628024A4-CD99-4D72-9453-DAFF0FBE868E}" type="presOf" srcId="{D4D84B7B-50D6-47FB-9085-35F767A62B35}" destId="{1A73D20B-CF54-4068-B790-5ED39DD27DAE}" srcOrd="0" destOrd="0" presId="urn:microsoft.com/office/officeart/2005/8/layout/orgChart1#1"/>
    <dgm:cxn modelId="{64617A40-BDBB-4D16-8B6C-C5F4AE51A4D9}" type="presParOf" srcId="{6562960D-8FF1-4F8D-9657-A11C3D8BDEA4}" destId="{17E752A5-3A74-4981-A293-EA594B994D1B}" srcOrd="1" destOrd="0" presId="urn:microsoft.com/office/officeart/2005/8/layout/orgChart1#1"/>
    <dgm:cxn modelId="{86F6491A-8268-4A47-A579-0C2311C167DE}" type="presOf" srcId="{D4D84B7B-50D6-47FB-9085-35F767A62B35}" destId="{17E752A5-3A74-4981-A293-EA594B994D1B}" srcOrd="0" destOrd="0" presId="urn:microsoft.com/office/officeart/2005/8/layout/orgChart1#1"/>
    <dgm:cxn modelId="{8EBA4C3D-37A7-4997-89AD-1441B8DE487B}" type="presParOf" srcId="{23240312-018B-46A6-8E6D-0B0BA38BB698}" destId="{245431FB-CE8D-4AB6-90F6-86E59195B5D0}" srcOrd="1" destOrd="1" presId="urn:microsoft.com/office/officeart/2005/8/layout/orgChart1#1"/>
    <dgm:cxn modelId="{9B23F589-204E-45E4-87AB-6A54FAA1E5FE}" type="presParOf" srcId="{23240312-018B-46A6-8E6D-0B0BA38BB698}" destId="{14CC788E-558D-42A9-BFA9-18A9E798EDBA}" srcOrd="2" destOrd="1" presId="urn:microsoft.com/office/officeart/2005/8/layout/orgChart1#1"/>
    <dgm:cxn modelId="{172DB9AF-76DC-4D5D-AD18-ADE707E26331}" type="presParOf" srcId="{FC961198-2074-48FE-A4E7-E52833DB6E79}" destId="{6F4611F6-B91E-C04B-8134-EC475D23AEDB}" srcOrd="2" destOrd="1" presId="urn:microsoft.com/office/officeart/2005/8/layout/orgChart1#1"/>
    <dgm:cxn modelId="{AA919546-FDEE-4EC5-85EF-3D6F65B70C83}" type="presOf" srcId="{2855C538-C042-0946-837A-95191AD16437}" destId="{6F4611F6-B91E-C04B-8134-EC475D23AEDB}" srcOrd="0" destOrd="0" presId="urn:microsoft.com/office/officeart/2005/8/layout/orgChart1#1"/>
    <dgm:cxn modelId="{39117BD1-FB77-46FB-9550-E17BED034B65}" type="presParOf" srcId="{FC961198-2074-48FE-A4E7-E52833DB6E79}" destId="{776DB5A0-B33A-604C-8675-8542EA110FBD}" srcOrd="3" destOrd="1" presId="urn:microsoft.com/office/officeart/2005/8/layout/orgChart1#1"/>
    <dgm:cxn modelId="{16A7498F-1916-4534-9CBD-087027BD60BA}" type="presParOf" srcId="{776DB5A0-B33A-604C-8675-8542EA110FBD}" destId="{E3728181-ADCB-F34B-9E68-569F9EAEB855}" srcOrd="0" destOrd="3" presId="urn:microsoft.com/office/officeart/2005/8/layout/orgChart1#1"/>
    <dgm:cxn modelId="{FAA5D63C-6764-43CC-A759-39E1B29A92F5}" type="presOf" srcId="{AE28FEDB-3EE7-7847-8EE3-64CE6EE52DFB}" destId="{E3728181-ADCB-F34B-9E68-569F9EAEB855}" srcOrd="0" destOrd="0" presId="urn:microsoft.com/office/officeart/2005/8/layout/orgChart1#1"/>
    <dgm:cxn modelId="{51DA3475-898F-44A5-9BE4-E0E10B401BBE}" type="presParOf" srcId="{E3728181-ADCB-F34B-9E68-569F9EAEB855}" destId="{F0682E93-1DA3-B24A-ABA1-CACCE3F21129}" srcOrd="0" destOrd="0" presId="urn:microsoft.com/office/officeart/2005/8/layout/orgChart1#1"/>
    <dgm:cxn modelId="{485BC0ED-A1D5-483F-BE35-C8D9AEC6792B}" type="presOf" srcId="{AE28FEDB-3EE7-7847-8EE3-64CE6EE52DFB}" destId="{F0682E93-1DA3-B24A-ABA1-CACCE3F21129}" srcOrd="0" destOrd="0" presId="urn:microsoft.com/office/officeart/2005/8/layout/orgChart1#1"/>
    <dgm:cxn modelId="{2A911CB2-AEAD-42BB-8EC7-BC21401FC7AF}" type="presParOf" srcId="{E3728181-ADCB-F34B-9E68-569F9EAEB855}" destId="{D309E7A2-1C35-BF42-A628-27A0E6538F09}" srcOrd="1" destOrd="0" presId="urn:microsoft.com/office/officeart/2005/8/layout/orgChart1#1"/>
    <dgm:cxn modelId="{609E4374-322E-4498-B373-B60967EEC89F}" type="presOf" srcId="{AE28FEDB-3EE7-7847-8EE3-64CE6EE52DFB}" destId="{D309E7A2-1C35-BF42-A628-27A0E6538F09}" srcOrd="0" destOrd="0" presId="urn:microsoft.com/office/officeart/2005/8/layout/orgChart1#1"/>
    <dgm:cxn modelId="{49613FD6-89E1-417E-8593-7956B973F083}" type="presParOf" srcId="{776DB5A0-B33A-604C-8675-8542EA110FBD}" destId="{6B79CDB9-897E-B84A-86E0-DD29938636C6}" srcOrd="1" destOrd="3" presId="urn:microsoft.com/office/officeart/2005/8/layout/orgChart1#1"/>
    <dgm:cxn modelId="{19A57D00-1740-4B56-A15F-7AE1BE3ABFDD}" type="presParOf" srcId="{776DB5A0-B33A-604C-8675-8542EA110FBD}" destId="{3F78D177-BB8B-8743-B5AE-3D8EA7F1921B}" srcOrd="2" destOrd="3" presId="urn:microsoft.com/office/officeart/2005/8/layout/orgChart1#1"/>
    <dgm:cxn modelId="{DA69930B-6A84-4CA9-A372-3C5F3E9B8A65}" type="presParOf" srcId="{FC961198-2074-48FE-A4E7-E52833DB6E79}" destId="{803AD8D7-4230-1B4A-9150-396CB3AA7377}" srcOrd="4" destOrd="1" presId="urn:microsoft.com/office/officeart/2005/8/layout/orgChart1#1"/>
    <dgm:cxn modelId="{72E0A3BD-6A2E-4997-8079-94A22BA07A41}" type="presOf" srcId="{DB219811-090E-764F-B5E5-898F4D8CDBA7}" destId="{803AD8D7-4230-1B4A-9150-396CB3AA7377}" srcOrd="0" destOrd="0" presId="urn:microsoft.com/office/officeart/2005/8/layout/orgChart1#1"/>
    <dgm:cxn modelId="{D370176B-E630-431C-830B-AC33A5D6E7F1}" type="presParOf" srcId="{FC961198-2074-48FE-A4E7-E52833DB6E79}" destId="{FC7AE825-AC78-E648-B6B7-CE54E293D63E}" srcOrd="5" destOrd="1" presId="urn:microsoft.com/office/officeart/2005/8/layout/orgChart1#1"/>
    <dgm:cxn modelId="{1BA6CDCE-D15F-46AB-A3DD-ECAF05D53489}" type="presParOf" srcId="{FC7AE825-AC78-E648-B6B7-CE54E293D63E}" destId="{9E127EEB-8291-7B4C-9482-3F637A8257CC}" srcOrd="0" destOrd="5" presId="urn:microsoft.com/office/officeart/2005/8/layout/orgChart1#1"/>
    <dgm:cxn modelId="{4BBED12E-45AC-4CB6-AE28-86640137D200}" type="presOf" srcId="{57EC629B-E185-5044-ABB6-8FCD57055ACA}" destId="{9E127EEB-8291-7B4C-9482-3F637A8257CC}" srcOrd="0" destOrd="0" presId="urn:microsoft.com/office/officeart/2005/8/layout/orgChart1#1"/>
    <dgm:cxn modelId="{EBBF47EB-94DE-464C-9E26-0EE33D726CD2}" type="presParOf" srcId="{9E127EEB-8291-7B4C-9482-3F637A8257CC}" destId="{04F9910D-4D95-B749-8E83-871088C33DF1}" srcOrd="0" destOrd="0" presId="urn:microsoft.com/office/officeart/2005/8/layout/orgChart1#1"/>
    <dgm:cxn modelId="{67F83D58-A63A-4E2E-AB6D-278070405A4E}" type="presOf" srcId="{57EC629B-E185-5044-ABB6-8FCD57055ACA}" destId="{04F9910D-4D95-B749-8E83-871088C33DF1}" srcOrd="0" destOrd="0" presId="urn:microsoft.com/office/officeart/2005/8/layout/orgChart1#1"/>
    <dgm:cxn modelId="{DE884AF7-B9BA-43BA-85EF-ECED0D0D1B1A}" type="presParOf" srcId="{9E127EEB-8291-7B4C-9482-3F637A8257CC}" destId="{8D1B0084-4405-E749-A2B6-314E1D7B4AC4}" srcOrd="1" destOrd="0" presId="urn:microsoft.com/office/officeart/2005/8/layout/orgChart1#1"/>
    <dgm:cxn modelId="{2CB01A63-CD4C-4F45-86D0-06D7E493D92C}" type="presOf" srcId="{57EC629B-E185-5044-ABB6-8FCD57055ACA}" destId="{8D1B0084-4405-E749-A2B6-314E1D7B4AC4}" srcOrd="0" destOrd="0" presId="urn:microsoft.com/office/officeart/2005/8/layout/orgChart1#1"/>
    <dgm:cxn modelId="{FCCD792B-AB3F-4AB5-A740-4CC4ECC19AC1}" type="presParOf" srcId="{FC7AE825-AC78-E648-B6B7-CE54E293D63E}" destId="{3F51BF16-CA15-474E-A422-B8B5C59BA844}" srcOrd="1" destOrd="5" presId="urn:microsoft.com/office/officeart/2005/8/layout/orgChart1#1"/>
    <dgm:cxn modelId="{C53E65E2-6D84-4CF8-BB91-7DF9DAF415D1}" type="presParOf" srcId="{FC7AE825-AC78-E648-B6B7-CE54E293D63E}" destId="{2F387543-A031-A840-9259-B61AC4E16FF9}" srcOrd="2" destOrd="5" presId="urn:microsoft.com/office/officeart/2005/8/layout/orgChart1#1"/>
    <dgm:cxn modelId="{8BF1D999-0EB3-4959-ABB6-3FAC94D42582}" type="presParOf" srcId="{FC961198-2074-48FE-A4E7-E52833DB6E79}" destId="{C57CE01A-5DE9-4A80-915A-500FA2EBA88E}" srcOrd="6" destOrd="1" presId="urn:microsoft.com/office/officeart/2005/8/layout/orgChart1#1"/>
    <dgm:cxn modelId="{2A0EB838-317B-4C5E-8C62-B0236BD9C2D0}" type="presOf" srcId="{003F3BF8-BA48-407B-9095-0F69E5A0298C}" destId="{C57CE01A-5DE9-4A80-915A-500FA2EBA88E}" srcOrd="0" destOrd="0" presId="urn:microsoft.com/office/officeart/2005/8/layout/orgChart1#1"/>
    <dgm:cxn modelId="{6CF07255-294D-4510-93CD-F3813E87B2FE}" type="presParOf" srcId="{FC961198-2074-48FE-A4E7-E52833DB6E79}" destId="{A419CC32-2FE4-4C6A-A0B0-DDF65A51AF84}" srcOrd="7" destOrd="1" presId="urn:microsoft.com/office/officeart/2005/8/layout/orgChart1#1"/>
    <dgm:cxn modelId="{24809AD2-D901-44BF-8976-21942403F458}" type="presParOf" srcId="{A419CC32-2FE4-4C6A-A0B0-DDF65A51AF84}" destId="{0E39B742-3673-40CD-8F0C-77CD990784AA}" srcOrd="0" destOrd="7" presId="urn:microsoft.com/office/officeart/2005/8/layout/orgChart1#1"/>
    <dgm:cxn modelId="{E4A95D3B-653A-47EE-89A6-224AD2C660BA}" type="presOf" srcId="{6AC1A99E-8E32-43E2-93C6-14B7F1BF5ACC}" destId="{0E39B742-3673-40CD-8F0C-77CD990784AA}" srcOrd="0" destOrd="0" presId="urn:microsoft.com/office/officeart/2005/8/layout/orgChart1#1"/>
    <dgm:cxn modelId="{1DA3327C-C3D5-4206-A1F4-457A2770A4BE}" type="presParOf" srcId="{0E39B742-3673-40CD-8F0C-77CD990784AA}" destId="{8580F0C5-290E-4F16-B97B-26CB4F9357A5}" srcOrd="0" destOrd="0" presId="urn:microsoft.com/office/officeart/2005/8/layout/orgChart1#1"/>
    <dgm:cxn modelId="{E07B5625-628D-45F5-8F86-52F3370E1A53}" type="presOf" srcId="{6AC1A99E-8E32-43E2-93C6-14B7F1BF5ACC}" destId="{8580F0C5-290E-4F16-B97B-26CB4F9357A5}" srcOrd="0" destOrd="0" presId="urn:microsoft.com/office/officeart/2005/8/layout/orgChart1#1"/>
    <dgm:cxn modelId="{2E531097-9C1B-45F5-9186-49E48C0AC03B}" type="presParOf" srcId="{0E39B742-3673-40CD-8F0C-77CD990784AA}" destId="{68B44A41-30E5-46EF-9FB6-9A281F17122D}" srcOrd="1" destOrd="0" presId="urn:microsoft.com/office/officeart/2005/8/layout/orgChart1#1"/>
    <dgm:cxn modelId="{4D29AF24-3F72-4FB2-9566-3E58930CFE17}" type="presOf" srcId="{6AC1A99E-8E32-43E2-93C6-14B7F1BF5ACC}" destId="{68B44A41-30E5-46EF-9FB6-9A281F17122D}" srcOrd="0" destOrd="0" presId="urn:microsoft.com/office/officeart/2005/8/layout/orgChart1#1"/>
    <dgm:cxn modelId="{5416D6E9-1506-4D62-B9EC-62CB08210456}" type="presParOf" srcId="{A419CC32-2FE4-4C6A-A0B0-DDF65A51AF84}" destId="{13C943AD-6ED1-442D-AEFE-90BE29869590}" srcOrd="1" destOrd="7" presId="urn:microsoft.com/office/officeart/2005/8/layout/orgChart1#1"/>
    <dgm:cxn modelId="{CE08DB50-A36C-4B10-917C-8DA137F82523}" type="presParOf" srcId="{A419CC32-2FE4-4C6A-A0B0-DDF65A51AF84}" destId="{42E0F808-368A-417C-936D-2C09566DC139}" srcOrd="2" destOrd="7" presId="urn:microsoft.com/office/officeart/2005/8/layout/orgChart1#1"/>
    <dgm:cxn modelId="{54D54D39-EA26-4750-BB7E-EC0325A6F348}" type="presParOf" srcId="{FC961198-2074-48FE-A4E7-E52833DB6E79}" destId="{685578E0-04B6-4AFB-8332-CDFD6DBED3EE}" srcOrd="8" destOrd="1" presId="urn:microsoft.com/office/officeart/2005/8/layout/orgChart1#1"/>
    <dgm:cxn modelId="{35B0DC2F-FA6F-443B-B687-4CB0F40E0A89}" type="presOf" srcId="{6DF156AB-69CC-4F80-8637-7ABF805722A8}" destId="{685578E0-04B6-4AFB-8332-CDFD6DBED3EE}" srcOrd="0" destOrd="0" presId="urn:microsoft.com/office/officeart/2005/8/layout/orgChart1#1"/>
    <dgm:cxn modelId="{101003BB-F5F7-4498-8BCC-DFFDB6FB74C6}" type="presParOf" srcId="{FC961198-2074-48FE-A4E7-E52833DB6E79}" destId="{DE4D8D19-FF64-4812-9B43-7E73293467BF}" srcOrd="9" destOrd="1" presId="urn:microsoft.com/office/officeart/2005/8/layout/orgChart1#1"/>
    <dgm:cxn modelId="{585FB5E4-371E-4CA5-BEA7-8450BE9B0A0B}" type="presParOf" srcId="{DE4D8D19-FF64-4812-9B43-7E73293467BF}" destId="{5EB2E799-9690-4503-9140-4ED9D612B1A6}" srcOrd="0" destOrd="9" presId="urn:microsoft.com/office/officeart/2005/8/layout/orgChart1#1"/>
    <dgm:cxn modelId="{61303671-3F4E-495F-B94B-77408233E6BE}" type="presOf" srcId="{84B2AA2C-434B-48C8-911C-EC0001ACF8AA}" destId="{5EB2E799-9690-4503-9140-4ED9D612B1A6}" srcOrd="0" destOrd="0" presId="urn:microsoft.com/office/officeart/2005/8/layout/orgChart1#1"/>
    <dgm:cxn modelId="{4A338400-3A94-4EFC-8B45-F038C54DD3F0}" type="presParOf" srcId="{5EB2E799-9690-4503-9140-4ED9D612B1A6}" destId="{D36CBDD8-3914-497E-A1DC-B1B1E2934E0F}" srcOrd="0" destOrd="0" presId="urn:microsoft.com/office/officeart/2005/8/layout/orgChart1#1"/>
    <dgm:cxn modelId="{7874E8CA-216B-408A-B820-537EB1C30588}" type="presOf" srcId="{84B2AA2C-434B-48C8-911C-EC0001ACF8AA}" destId="{D36CBDD8-3914-497E-A1DC-B1B1E2934E0F}" srcOrd="0" destOrd="0" presId="urn:microsoft.com/office/officeart/2005/8/layout/orgChart1#1"/>
    <dgm:cxn modelId="{5FDCF26B-5EC3-4CB9-B255-40A944581AC9}" type="presParOf" srcId="{5EB2E799-9690-4503-9140-4ED9D612B1A6}" destId="{FA015AFA-DD5D-4699-88E9-76046E967116}" srcOrd="1" destOrd="0" presId="urn:microsoft.com/office/officeart/2005/8/layout/orgChart1#1"/>
    <dgm:cxn modelId="{FD19A2AB-2A8D-41F5-96C6-15570C7A199D}" type="presOf" srcId="{84B2AA2C-434B-48C8-911C-EC0001ACF8AA}" destId="{FA015AFA-DD5D-4699-88E9-76046E967116}" srcOrd="0" destOrd="0" presId="urn:microsoft.com/office/officeart/2005/8/layout/orgChart1#1"/>
    <dgm:cxn modelId="{2FBC8564-CFAA-4BC4-972C-1E42A5165B69}" type="presParOf" srcId="{DE4D8D19-FF64-4812-9B43-7E73293467BF}" destId="{857E203F-A4B4-4A53-A9CE-F8BFB1D8CB10}" srcOrd="1" destOrd="9" presId="urn:microsoft.com/office/officeart/2005/8/layout/orgChart1#1"/>
    <dgm:cxn modelId="{107273FD-9E0A-44BD-89EB-97AC252AFE44}" type="presParOf" srcId="{DE4D8D19-FF64-4812-9B43-7E73293467BF}" destId="{9B340D7E-B9E0-4E00-8E4B-4CA94D0306A1}" srcOrd="2" destOrd="9" presId="urn:microsoft.com/office/officeart/2005/8/layout/orgChart1#1"/>
    <dgm:cxn modelId="{B687E7D7-9C9F-4EE6-B6AE-712B9B86B4BE}" type="presParOf" srcId="{FC961198-2074-48FE-A4E7-E52833DB6E79}" destId="{52DEF224-5C5C-4EA1-9053-F4707532ACEC}" srcOrd="10" destOrd="1" presId="urn:microsoft.com/office/officeart/2005/8/layout/orgChart1#1"/>
    <dgm:cxn modelId="{5DBF2DB8-1673-4377-9B50-E78E5AF34ED2}" type="presOf" srcId="{720E2C84-9E40-4877-9FB6-387F112FB29D}" destId="{52DEF224-5C5C-4EA1-9053-F4707532ACEC}" srcOrd="0" destOrd="0" presId="urn:microsoft.com/office/officeart/2005/8/layout/orgChart1#1"/>
    <dgm:cxn modelId="{134EE0E2-B496-4DDC-BB1F-846589C48805}" type="presParOf" srcId="{FC961198-2074-48FE-A4E7-E52833DB6E79}" destId="{E133203A-5E0E-428D-AA57-DDDC749DD74E}" srcOrd="11" destOrd="1" presId="urn:microsoft.com/office/officeart/2005/8/layout/orgChart1#1"/>
    <dgm:cxn modelId="{F4BD23EF-29FF-48FB-8BF7-EFED4E2541AD}" type="presParOf" srcId="{E133203A-5E0E-428D-AA57-DDDC749DD74E}" destId="{B00BB746-E90A-44E1-8336-CD971336C31B}" srcOrd="0" destOrd="11" presId="urn:microsoft.com/office/officeart/2005/8/layout/orgChart1#1"/>
    <dgm:cxn modelId="{C5A2AA1D-A584-4E2D-B3BC-B0A8193DE444}" type="presOf" srcId="{738DE200-BE73-4883-8DCD-1E29FCDDE280}" destId="{B00BB746-E90A-44E1-8336-CD971336C31B}" srcOrd="0" destOrd="0" presId="urn:microsoft.com/office/officeart/2005/8/layout/orgChart1#1"/>
    <dgm:cxn modelId="{932978B5-B480-44FB-9D9A-8CE0772A1680}" type="presParOf" srcId="{B00BB746-E90A-44E1-8336-CD971336C31B}" destId="{80B83EFE-FBF8-4965-BC75-67FEA92EC6BC}" srcOrd="0" destOrd="0" presId="urn:microsoft.com/office/officeart/2005/8/layout/orgChart1#1"/>
    <dgm:cxn modelId="{CFCA22CD-64E4-4324-8054-F1097FA63E43}" type="presOf" srcId="{738DE200-BE73-4883-8DCD-1E29FCDDE280}" destId="{80B83EFE-FBF8-4965-BC75-67FEA92EC6BC}" srcOrd="0" destOrd="0" presId="urn:microsoft.com/office/officeart/2005/8/layout/orgChart1#1"/>
    <dgm:cxn modelId="{04F6454E-AFA6-4B90-BFAE-D0BBEA46C06D}" type="presParOf" srcId="{B00BB746-E90A-44E1-8336-CD971336C31B}" destId="{EED55DFF-3EBF-4359-B85F-4CA8A0CE34BD}" srcOrd="1" destOrd="0" presId="urn:microsoft.com/office/officeart/2005/8/layout/orgChart1#1"/>
    <dgm:cxn modelId="{B05B47CE-D936-446E-B58D-EF567F8D1320}" type="presOf" srcId="{738DE200-BE73-4883-8DCD-1E29FCDDE280}" destId="{EED55DFF-3EBF-4359-B85F-4CA8A0CE34BD}" srcOrd="0" destOrd="0" presId="urn:microsoft.com/office/officeart/2005/8/layout/orgChart1#1"/>
    <dgm:cxn modelId="{B2DAFABE-891F-4CAA-9089-9CEBF6D23449}" type="presParOf" srcId="{E133203A-5E0E-428D-AA57-DDDC749DD74E}" destId="{1FB83B4E-0AE7-4B75-B4F7-C462D903ADDB}" srcOrd="1" destOrd="11" presId="urn:microsoft.com/office/officeart/2005/8/layout/orgChart1#1"/>
    <dgm:cxn modelId="{5FB27EA3-D69B-454F-9D64-72E64CD7B6FA}" type="presParOf" srcId="{E133203A-5E0E-428D-AA57-DDDC749DD74E}" destId="{78CD47D1-E7A4-493C-9780-258171467B60}" srcOrd="2" destOrd="11" presId="urn:microsoft.com/office/officeart/2005/8/layout/orgChart1#1"/>
    <dgm:cxn modelId="{516DAFC6-E120-4522-A39B-DF097D9EA46C}" type="presParOf" srcId="{C222F948-C899-474A-818A-F2485CE9CCAC}" destId="{9C357F52-4F7F-4F14-ACBE-3315D0EAB597}" srcOrd="2" destOrd="0" presId="urn:microsoft.com/office/officeart/2005/8/layout/orgChart1#1"/>
    <dgm:cxn modelId="{8331BC3A-DA25-48B6-A29A-E36002D510B3}" type="presParOf" srcId="{9C357F52-4F7F-4F14-ACBE-3315D0EAB597}" destId="{6A650F2D-E7C3-41F3-A3DD-61CFB67E0679}" srcOrd="0" destOrd="2" presId="urn:microsoft.com/office/officeart/2005/8/layout/orgChart1#1"/>
    <dgm:cxn modelId="{DA91D586-44CA-418D-87D3-AD5EA6AC6C09}" type="presOf" srcId="{7231973B-CE3C-40EC-8F25-A3B980291CD3}" destId="{6A650F2D-E7C3-41F3-A3DD-61CFB67E0679}" srcOrd="0" destOrd="0" presId="urn:microsoft.com/office/officeart/2005/8/layout/orgChart1#1"/>
    <dgm:cxn modelId="{EEBD62A9-51AC-42DE-96DA-F60F5384B529}" type="presParOf" srcId="{9C357F52-4F7F-4F14-ACBE-3315D0EAB597}" destId="{8C5E29E9-A547-435A-99B0-9D64797BA5F4}" srcOrd="1" destOrd="2" presId="urn:microsoft.com/office/officeart/2005/8/layout/orgChart1#1"/>
    <dgm:cxn modelId="{B0EC68A7-9400-49C1-9566-18A6ECF56D20}" type="presParOf" srcId="{8C5E29E9-A547-435A-99B0-9D64797BA5F4}" destId="{272055DE-863C-4097-8E85-128A2BD2FC1E}" srcOrd="0" destOrd="1" presId="urn:microsoft.com/office/officeart/2005/8/layout/orgChart1#1"/>
    <dgm:cxn modelId="{71D4A87C-5790-416B-B7D3-5E4D7663F82C}" type="presOf" srcId="{350A376A-DBB5-4D5B-887B-E8CA46AC56C3}" destId="{272055DE-863C-4097-8E85-128A2BD2FC1E}" srcOrd="0" destOrd="0" presId="urn:microsoft.com/office/officeart/2005/8/layout/orgChart1#1"/>
    <dgm:cxn modelId="{C8930D17-60D9-4E53-8D6B-046F90003DB7}" type="presParOf" srcId="{272055DE-863C-4097-8E85-128A2BD2FC1E}" destId="{71C9C98C-EC4A-4D08-AD0F-C96112BAD7D4}" srcOrd="0" destOrd="0" presId="urn:microsoft.com/office/officeart/2005/8/layout/orgChart1#1"/>
    <dgm:cxn modelId="{EAC9CD0D-28F1-4ED7-8562-010F844B1882}" type="presOf" srcId="{350A376A-DBB5-4D5B-887B-E8CA46AC56C3}" destId="{71C9C98C-EC4A-4D08-AD0F-C96112BAD7D4}" srcOrd="0" destOrd="0" presId="urn:microsoft.com/office/officeart/2005/8/layout/orgChart1#1"/>
    <dgm:cxn modelId="{BA332EA8-3EBB-4B68-A0C5-3D7F18F49777}" type="presParOf" srcId="{272055DE-863C-4097-8E85-128A2BD2FC1E}" destId="{8949B3FC-9021-436B-914E-54F0FC1E2FD9}" srcOrd="1" destOrd="0" presId="urn:microsoft.com/office/officeart/2005/8/layout/orgChart1#1"/>
    <dgm:cxn modelId="{C8D70463-AD85-4475-B591-D20C9C5CD7EC}" type="presOf" srcId="{350A376A-DBB5-4D5B-887B-E8CA46AC56C3}" destId="{8949B3FC-9021-436B-914E-54F0FC1E2FD9}" srcOrd="0" destOrd="0" presId="urn:microsoft.com/office/officeart/2005/8/layout/orgChart1#1"/>
    <dgm:cxn modelId="{3AC774C9-110E-4065-8916-51547E8DA193}" type="presParOf" srcId="{8C5E29E9-A547-435A-99B0-9D64797BA5F4}" destId="{202F7F79-4862-405C-A662-F9EF711D96DE}" srcOrd="1" destOrd="1" presId="urn:microsoft.com/office/officeart/2005/8/layout/orgChart1#1"/>
    <dgm:cxn modelId="{B921BB76-1A8E-4E7C-9952-ACCD043C5118}" type="presParOf" srcId="{8C5E29E9-A547-435A-99B0-9D64797BA5F4}" destId="{51D99CD7-8C8F-41B6-8D0E-B6B8FDA33165}" srcOrd="2" destOrd="1" presId="urn:microsoft.com/office/officeart/2005/8/layout/orgChart1#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6850" cy="4194810"/>
        <a:chOff x="0" y="0"/>
        <a:chExt cx="5276850" cy="4194810"/>
      </a:xfrm>
    </dsp:grpSpPr>
    <dsp:sp modelId="{069F9178-5262-4E5E-99DC-FFB2B578BEB0}">
      <dsp:nvSpPr>
        <dsp:cNvPr id="5" name="任意多边形 4"/>
        <dsp:cNvSpPr/>
      </dsp:nvSpPr>
      <dsp:spPr bwMode="white">
        <a:xfrm>
          <a:off x="374245" y="1151603"/>
          <a:ext cx="2374418" cy="1290107"/>
        </a:xfrm>
        <a:custGeom>
          <a:avLst/>
          <a:gdLst/>
          <a:ahLst/>
          <a:cxnLst/>
          <a:pathLst>
            <a:path w="3739" h="2032">
              <a:moveTo>
                <a:pt x="3739" y="0"/>
              </a:moveTo>
              <a:lnTo>
                <a:pt x="3739"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374245" y="1151603"/>
        <a:ext cx="2374418" cy="1290107"/>
      </dsp:txXfrm>
    </dsp:sp>
    <dsp:sp modelId="{6F4611F6-B91E-C04B-8134-EC475D23AEDB}">
      <dsp:nvSpPr>
        <dsp:cNvPr id="8" name="任意多边形 7"/>
        <dsp:cNvSpPr/>
      </dsp:nvSpPr>
      <dsp:spPr bwMode="white">
        <a:xfrm>
          <a:off x="1279917" y="1151603"/>
          <a:ext cx="1468746" cy="1290107"/>
        </a:xfrm>
        <a:custGeom>
          <a:avLst/>
          <a:gdLst/>
          <a:ahLst/>
          <a:cxnLst/>
          <a:pathLst>
            <a:path w="2313" h="2032">
              <a:moveTo>
                <a:pt x="2313" y="0"/>
              </a:moveTo>
              <a:lnTo>
                <a:pt x="2313"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1279917" y="1151603"/>
        <a:ext cx="1468746" cy="1290107"/>
      </dsp:txXfrm>
    </dsp:sp>
    <dsp:sp modelId="{803AD8D7-4230-1B4A-9150-396CB3AA7377}">
      <dsp:nvSpPr>
        <dsp:cNvPr id="11" name="任意多边形 10"/>
        <dsp:cNvSpPr/>
      </dsp:nvSpPr>
      <dsp:spPr bwMode="white">
        <a:xfrm>
          <a:off x="2185589" y="1151603"/>
          <a:ext cx="563074" cy="1290107"/>
        </a:xfrm>
        <a:custGeom>
          <a:avLst/>
          <a:gdLst/>
          <a:ahLst/>
          <a:cxnLst/>
          <a:pathLst>
            <a:path w="887" h="2032">
              <a:moveTo>
                <a:pt x="887" y="0"/>
              </a:moveTo>
              <a:lnTo>
                <a:pt x="887"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2185589" y="1151603"/>
        <a:ext cx="563074" cy="1290107"/>
      </dsp:txXfrm>
    </dsp:sp>
    <dsp:sp modelId="{C57CE01A-5DE9-4A80-915A-500FA2EBA88E}">
      <dsp:nvSpPr>
        <dsp:cNvPr id="14" name="任意多边形 13"/>
        <dsp:cNvSpPr/>
      </dsp:nvSpPr>
      <dsp:spPr bwMode="white">
        <a:xfrm>
          <a:off x="2748663" y="1151603"/>
          <a:ext cx="342599" cy="1290107"/>
        </a:xfrm>
        <a:custGeom>
          <a:avLst/>
          <a:gdLst/>
          <a:ahLst/>
          <a:cxnLst/>
          <a:pathLst>
            <a:path w="540" h="2032">
              <a:moveTo>
                <a:pt x="0" y="0"/>
              </a:moveTo>
              <a:lnTo>
                <a:pt x="0" y="1908"/>
              </a:lnTo>
              <a:lnTo>
                <a:pt x="540" y="1908"/>
              </a:lnTo>
              <a:lnTo>
                <a:pt x="540"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342599" cy="1290107"/>
      </dsp:txXfrm>
    </dsp:sp>
    <dsp:sp modelId="{685578E0-04B6-4AFB-8332-CDFD6DBED3EE}">
      <dsp:nvSpPr>
        <dsp:cNvPr id="17" name="任意多边形 16"/>
        <dsp:cNvSpPr/>
      </dsp:nvSpPr>
      <dsp:spPr bwMode="white">
        <a:xfrm>
          <a:off x="2748663" y="1151603"/>
          <a:ext cx="1248271" cy="1290107"/>
        </a:xfrm>
        <a:custGeom>
          <a:avLst/>
          <a:gdLst/>
          <a:ahLst/>
          <a:cxnLst/>
          <a:pathLst>
            <a:path w="1966" h="2032">
              <a:moveTo>
                <a:pt x="0" y="0"/>
              </a:moveTo>
              <a:lnTo>
                <a:pt x="0" y="1908"/>
              </a:lnTo>
              <a:lnTo>
                <a:pt x="1966" y="1908"/>
              </a:lnTo>
              <a:lnTo>
                <a:pt x="1966"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1248271" cy="1290107"/>
      </dsp:txXfrm>
    </dsp:sp>
    <dsp:sp modelId="{52DEF224-5C5C-4EA1-9053-F4707532ACEC}">
      <dsp:nvSpPr>
        <dsp:cNvPr id="20" name="任意多边形 19"/>
        <dsp:cNvSpPr/>
      </dsp:nvSpPr>
      <dsp:spPr bwMode="white">
        <a:xfrm>
          <a:off x="2748663" y="1151603"/>
          <a:ext cx="2153943" cy="1290107"/>
        </a:xfrm>
        <a:custGeom>
          <a:avLst/>
          <a:gdLst/>
          <a:ahLst/>
          <a:cxnLst/>
          <a:pathLst>
            <a:path w="3392" h="2032">
              <a:moveTo>
                <a:pt x="0" y="0"/>
              </a:moveTo>
              <a:lnTo>
                <a:pt x="0" y="1908"/>
              </a:lnTo>
              <a:lnTo>
                <a:pt x="3392" y="1908"/>
              </a:lnTo>
              <a:lnTo>
                <a:pt x="3392"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2153943" cy="1290107"/>
      </dsp:txXfrm>
    </dsp:sp>
    <dsp:sp modelId="{6A650F2D-E7C3-41F3-A3DD-61CFB67E0679}">
      <dsp:nvSpPr>
        <dsp:cNvPr id="23" name="任意多边形 22"/>
        <dsp:cNvSpPr/>
      </dsp:nvSpPr>
      <dsp:spPr bwMode="white">
        <a:xfrm>
          <a:off x="2647691" y="1151603"/>
          <a:ext cx="100971" cy="499302"/>
        </a:xfrm>
        <a:custGeom>
          <a:avLst/>
          <a:gdLst/>
          <a:ahLst/>
          <a:cxnLst/>
          <a:pathLst>
            <a:path w="159" h="786">
              <a:moveTo>
                <a:pt x="159" y="0"/>
              </a:moveTo>
              <a:lnTo>
                <a:pt x="159" y="786"/>
              </a:lnTo>
              <a:lnTo>
                <a:pt x="0" y="786"/>
              </a:lnTo>
            </a:path>
          </a:pathLst>
        </a:custGeom>
      </dsp:spPr>
      <dsp:style>
        <a:lnRef idx="2">
          <a:schemeClr val="accent1">
            <a:shade val="60000"/>
          </a:schemeClr>
        </a:lnRef>
        <a:fillRef idx="0">
          <a:schemeClr val="accent1"/>
        </a:fillRef>
        <a:effectRef idx="0">
          <a:scrgbClr r="0" g="0" b="0"/>
        </a:effectRef>
        <a:fontRef idx="minor"/>
      </dsp:style>
      <dsp:txXfrm>
        <a:off x="2647691" y="1151603"/>
        <a:ext cx="100971" cy="499302"/>
      </dsp:txXfrm>
    </dsp:sp>
    <dsp:sp modelId="{BD4ED274-DD0F-4C30-A712-E06ACBAA88C6}">
      <dsp:nvSpPr>
        <dsp:cNvPr id="3" name="矩形 2"/>
        <dsp:cNvSpPr/>
      </dsp:nvSpPr>
      <dsp:spPr bwMode="white">
        <a:xfrm>
          <a:off x="2374418" y="777358"/>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总经理</a:t>
          </a:r>
          <a:endParaRPr lang="zh-CN" altLang="en-US" dirty="0" smtClean="0"/>
        </a:p>
        <a:p>
          <a:pPr lvl="0">
            <a:lnSpc>
              <a:spcPct val="100000"/>
            </a:lnSpc>
            <a:spcBef>
              <a:spcPct val="0"/>
            </a:spcBef>
            <a:spcAft>
              <a:spcPct val="35000"/>
            </a:spcAft>
          </a:pPr>
          <a:r>
            <a:rPr lang="zh-CN" altLang="en-US" smtClean="0"/>
            <a:t> </a:t>
          </a:r>
          <a:endParaRPr lang="zh-CN" altLang="en-US" dirty="0"/>
        </a:p>
      </dsp:txBody>
      <dsp:txXfrm>
        <a:off x="2374418" y="777358"/>
        <a:ext cx="748489" cy="374245"/>
      </dsp:txXfrm>
    </dsp:sp>
    <dsp:sp modelId="{1A73D20B-CF54-4068-B790-5ED39DD27DAE}">
      <dsp:nvSpPr>
        <dsp:cNvPr id="6" name="矩形 5"/>
        <dsp:cNvSpPr/>
      </dsp:nvSpPr>
      <dsp:spPr bwMode="white">
        <a:xfrm>
          <a:off x="0"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研发部</a:t>
          </a:r>
          <a:endParaRPr lang="en-US" altLang="zh-CN" dirty="0" smtClean="0"/>
        </a:p>
      </dsp:txBody>
      <dsp:txXfrm>
        <a:off x="0" y="2441710"/>
        <a:ext cx="748489" cy="374245"/>
      </dsp:txXfrm>
    </dsp:sp>
    <dsp:sp modelId="{F0682E93-1DA3-B24A-ABA1-CACCE3F21129}">
      <dsp:nvSpPr>
        <dsp:cNvPr id="9" name="矩形 8"/>
        <dsp:cNvSpPr/>
      </dsp:nvSpPr>
      <dsp:spPr bwMode="white">
        <a:xfrm>
          <a:off x="905672"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生产部</a:t>
          </a:r>
          <a:endParaRPr lang="en-US" altLang="zh-CN" dirty="0" smtClean="0"/>
        </a:p>
      </dsp:txBody>
      <dsp:txXfrm>
        <a:off x="905672" y="2441710"/>
        <a:ext cx="748489" cy="374245"/>
      </dsp:txXfrm>
    </dsp:sp>
    <dsp:sp modelId="{04F9910D-4D95-B749-8E83-871088C33DF1}">
      <dsp:nvSpPr>
        <dsp:cNvPr id="12" name="矩形 11"/>
        <dsp:cNvSpPr/>
      </dsp:nvSpPr>
      <dsp:spPr bwMode="white">
        <a:xfrm>
          <a:off x="1811344"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质量</a:t>
          </a:r>
          <a:r>
            <a:rPr lang="zh-CN" altLang="en-US" dirty="0" smtClean="0"/>
            <a:t>部</a:t>
          </a:r>
          <a:endParaRPr lang="en-US" altLang="zh-CN" dirty="0" smtClean="0"/>
        </a:p>
      </dsp:txBody>
      <dsp:txXfrm>
        <a:off x="1811344" y="2441710"/>
        <a:ext cx="748489" cy="374245"/>
      </dsp:txXfrm>
    </dsp:sp>
    <dsp:sp modelId="{8580F0C5-290E-4F16-B97B-26CB4F9357A5}">
      <dsp:nvSpPr>
        <dsp:cNvPr id="15" name="矩形 14"/>
        <dsp:cNvSpPr/>
      </dsp:nvSpPr>
      <dsp:spPr bwMode="white">
        <a:xfrm>
          <a:off x="2717016"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人事</a:t>
          </a:r>
          <a:r>
            <a:rPr lang="zh-CN" altLang="en-US" dirty="0" smtClean="0"/>
            <a:t>部</a:t>
          </a:r>
          <a:endParaRPr lang="en-US" altLang="zh-CN" dirty="0" smtClean="0"/>
        </a:p>
      </dsp:txBody>
      <dsp:txXfrm>
        <a:off x="2717016" y="2441710"/>
        <a:ext cx="748489" cy="374245"/>
      </dsp:txXfrm>
    </dsp:sp>
    <dsp:sp modelId="{D36CBDD8-3914-497E-A1DC-B1B1E2934E0F}">
      <dsp:nvSpPr>
        <dsp:cNvPr id="18" name="矩形 17"/>
        <dsp:cNvSpPr/>
      </dsp:nvSpPr>
      <dsp:spPr bwMode="white">
        <a:xfrm>
          <a:off x="3622689"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采购部</a:t>
          </a:r>
          <a:endParaRPr lang="en-US" altLang="zh-CN" dirty="0" smtClean="0"/>
        </a:p>
      </dsp:txBody>
      <dsp:txXfrm>
        <a:off x="3622689" y="2441710"/>
        <a:ext cx="748489" cy="374245"/>
      </dsp:txXfrm>
    </dsp:sp>
    <dsp:sp modelId="{80B83EFE-FBF8-4965-BC75-67FEA92EC6BC}">
      <dsp:nvSpPr>
        <dsp:cNvPr id="21" name="矩形 20"/>
        <dsp:cNvSpPr/>
      </dsp:nvSpPr>
      <dsp:spPr bwMode="white">
        <a:xfrm>
          <a:off x="4528361"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销售</a:t>
          </a:r>
          <a:r>
            <a:rPr lang="zh-CN" altLang="en-US" dirty="0" smtClean="0"/>
            <a:t>部</a:t>
          </a:r>
          <a:endParaRPr lang="en-US" altLang="zh-CN" dirty="0" smtClean="0"/>
        </a:p>
      </dsp:txBody>
      <dsp:txXfrm>
        <a:off x="4528361" y="2441710"/>
        <a:ext cx="748489" cy="374245"/>
      </dsp:txXfrm>
    </dsp:sp>
    <dsp:sp modelId="{71C9C98C-EC4A-4D08-AD0F-C96112BAD7D4}">
      <dsp:nvSpPr>
        <dsp:cNvPr id="24" name="矩形 23"/>
        <dsp:cNvSpPr/>
      </dsp:nvSpPr>
      <dsp:spPr bwMode="white">
        <a:xfrm>
          <a:off x="1899202" y="1463783"/>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smtClean="0"/>
            <a:t>管理者</a:t>
          </a:r>
          <a:r>
            <a:rPr lang="zh-CN" altLang="en-US" smtClean="0"/>
            <a:t>代表</a:t>
          </a:r>
          <a:r>
            <a:rPr lang="zh-CN" altLang="en-US" smtClean="0"/>
            <a:t> </a:t>
          </a:r>
          <a:endParaRPr lang="zh-CN" altLang="en-US" dirty="0"/>
        </a:p>
      </dsp:txBody>
      <dsp:txXfrm>
        <a:off x="1899202" y="1463783"/>
        <a:ext cx="748489" cy="374245"/>
      </dsp:txXfrm>
    </dsp:sp>
    <dsp:sp modelId="{CD1A02F8-07DD-4C53-BEF4-E6121253C81E}">
      <dsp:nvSpPr>
        <dsp:cNvPr id="4" name="矩形 3" hidden="1"/>
        <dsp:cNvSpPr/>
      </dsp:nvSpPr>
      <dsp:spPr>
        <a:xfrm>
          <a:off x="2374418" y="777358"/>
          <a:ext cx="149698" cy="374245"/>
        </a:xfrm>
        <a:prstGeom prst="rect">
          <a:avLst/>
        </a:prstGeom>
      </dsp:spPr>
      <dsp:txXfrm>
        <a:off x="2374418" y="777358"/>
        <a:ext cx="149698" cy="374245"/>
      </dsp:txXfrm>
    </dsp:sp>
    <dsp:sp modelId="{17E752A5-3A74-4981-A293-EA594B994D1B}">
      <dsp:nvSpPr>
        <dsp:cNvPr id="7" name="矩形 6" hidden="1"/>
        <dsp:cNvSpPr/>
      </dsp:nvSpPr>
      <dsp:spPr>
        <a:xfrm>
          <a:off x="0" y="2441710"/>
          <a:ext cx="149698" cy="374245"/>
        </a:xfrm>
        <a:prstGeom prst="rect">
          <a:avLst/>
        </a:prstGeom>
      </dsp:spPr>
      <dsp:txXfrm>
        <a:off x="0" y="2441710"/>
        <a:ext cx="149698" cy="374245"/>
      </dsp:txXfrm>
    </dsp:sp>
    <dsp:sp modelId="{D309E7A2-1C35-BF42-A628-27A0E6538F09}">
      <dsp:nvSpPr>
        <dsp:cNvPr id="10" name="矩形 9" hidden="1"/>
        <dsp:cNvSpPr/>
      </dsp:nvSpPr>
      <dsp:spPr>
        <a:xfrm>
          <a:off x="905672" y="2441710"/>
          <a:ext cx="149698" cy="374245"/>
        </a:xfrm>
        <a:prstGeom prst="rect">
          <a:avLst/>
        </a:prstGeom>
      </dsp:spPr>
      <dsp:txXfrm>
        <a:off x="905672" y="2441710"/>
        <a:ext cx="149698" cy="374245"/>
      </dsp:txXfrm>
    </dsp:sp>
    <dsp:sp modelId="{8D1B0084-4405-E749-A2B6-314E1D7B4AC4}">
      <dsp:nvSpPr>
        <dsp:cNvPr id="13" name="矩形 12" hidden="1"/>
        <dsp:cNvSpPr/>
      </dsp:nvSpPr>
      <dsp:spPr>
        <a:xfrm>
          <a:off x="1811344" y="2441710"/>
          <a:ext cx="149698" cy="374245"/>
        </a:xfrm>
        <a:prstGeom prst="rect">
          <a:avLst/>
        </a:prstGeom>
      </dsp:spPr>
      <dsp:txXfrm>
        <a:off x="1811344" y="2441710"/>
        <a:ext cx="149698" cy="374245"/>
      </dsp:txXfrm>
    </dsp:sp>
    <dsp:sp modelId="{68B44A41-30E5-46EF-9FB6-9A281F17122D}">
      <dsp:nvSpPr>
        <dsp:cNvPr id="16" name="矩形 15" hidden="1"/>
        <dsp:cNvSpPr/>
      </dsp:nvSpPr>
      <dsp:spPr>
        <a:xfrm>
          <a:off x="2717016" y="2441710"/>
          <a:ext cx="149698" cy="374245"/>
        </a:xfrm>
        <a:prstGeom prst="rect">
          <a:avLst/>
        </a:prstGeom>
      </dsp:spPr>
      <dsp:txXfrm>
        <a:off x="2717016" y="2441710"/>
        <a:ext cx="149698" cy="374245"/>
      </dsp:txXfrm>
    </dsp:sp>
    <dsp:sp modelId="{FA015AFA-DD5D-4699-88E9-76046E967116}">
      <dsp:nvSpPr>
        <dsp:cNvPr id="19" name="矩形 18" hidden="1"/>
        <dsp:cNvSpPr/>
      </dsp:nvSpPr>
      <dsp:spPr>
        <a:xfrm>
          <a:off x="3622689" y="2441710"/>
          <a:ext cx="149698" cy="374245"/>
        </a:xfrm>
        <a:prstGeom prst="rect">
          <a:avLst/>
        </a:prstGeom>
      </dsp:spPr>
      <dsp:txXfrm>
        <a:off x="3622689" y="2441710"/>
        <a:ext cx="149698" cy="374245"/>
      </dsp:txXfrm>
    </dsp:sp>
    <dsp:sp modelId="{EED55DFF-3EBF-4359-B85F-4CA8A0CE34BD}">
      <dsp:nvSpPr>
        <dsp:cNvPr id="22" name="矩形 21" hidden="1"/>
        <dsp:cNvSpPr/>
      </dsp:nvSpPr>
      <dsp:spPr>
        <a:xfrm>
          <a:off x="4528361" y="2441710"/>
          <a:ext cx="149698" cy="374245"/>
        </a:xfrm>
        <a:prstGeom prst="rect">
          <a:avLst/>
        </a:prstGeom>
      </dsp:spPr>
      <dsp:txXfrm>
        <a:off x="4528361" y="2441710"/>
        <a:ext cx="149698" cy="374245"/>
      </dsp:txXfrm>
    </dsp:sp>
    <dsp:sp modelId="{8949B3FC-9021-436B-914E-54F0FC1E2FD9}">
      <dsp:nvSpPr>
        <dsp:cNvPr id="25" name="矩形 24" hidden="1"/>
        <dsp:cNvSpPr/>
      </dsp:nvSpPr>
      <dsp:spPr>
        <a:xfrm>
          <a:off x="1811344" y="1910283"/>
          <a:ext cx="149698" cy="374245"/>
        </a:xfrm>
        <a:prstGeom prst="rect">
          <a:avLst/>
        </a:prstGeom>
      </dsp:spPr>
      <dsp:txXfrm>
        <a:off x="1811344" y="1910283"/>
        <a:ext cx="149698" cy="3742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51</Pages>
  <Words>28507</Words>
  <Characters>29367</Characters>
  <Lines>181</Lines>
  <Paragraphs>51</Paragraphs>
  <TotalTime>1</TotalTime>
  <ScaleCrop>false</ScaleCrop>
  <LinksUpToDate>false</LinksUpToDate>
  <CharactersWithSpaces>30425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2010-12-04T02:16:00Z</dcterms:created>
  <dc:creator>acer</dc:creator>
  <cp:lastModifiedBy>伊人</cp:lastModifiedBy>
  <cp:lastPrinted>2011-01-03T03:42:00Z</cp:lastPrinted>
  <dcterms:modified xsi:type="dcterms:W3CDTF">2023-10-07T07:43:57Z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F25EB10ADD3F43C3A90EA1E0376C7A4A_13</vt:lpwstr>
  </property>
</Properties>
</file>