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44"/>
          <w:sz w:val="44"/>
          <w:szCs w:val="44"/>
          <w:lang w:val="en-US" w:eastAsia="zh-CN" w:bidi="ar-SA"/>
        </w:rPr>
        <w:t xml:space="preserve">6.9其他质量体系程序信息 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  <w:bookmarkStart w:id="0" w:name="_GoBack"/>
      <w:bookmarkEnd w:id="0"/>
    </w:p>
    <w:p>
      <w:pPr>
        <w:pStyle w:val="9"/>
        <w:jc w:val="center"/>
      </w:pPr>
      <w:r>
        <w:rPr>
          <w:rFonts w:hint="eastAsia"/>
          <w:b/>
          <w:bCs/>
        </w:rPr>
        <w:t>其他质量体系程序信息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both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</w:rPr>
              <w:t xml:space="preserve"> 风险管理控制程序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</w:rPr>
              <w:t>不良事件与质量事故报告控制程序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</w:rPr>
              <w:t>客户反馈和投诉控制程序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见附件6.9-1</w:t>
            </w:r>
          </w:p>
        </w:tc>
      </w:tr>
    </w:tbl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jc w:val="both"/>
        <w:rPr>
          <w:rFonts w:hint="eastAsia" w:ascii="Times New Roman" w:hAnsi="Times New Roman" w:cs="Times New Roman"/>
          <w:b/>
          <w:bCs/>
          <w:i/>
          <w:iCs/>
          <w:color w:val="0000FF"/>
          <w:lang w:val="zh-CN"/>
        </w:rPr>
      </w:pPr>
    </w:p>
    <w:p>
      <w:pPr>
        <w:jc w:val="both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  <w:t>【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</w:rPr>
        <w:t>不属于上述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(6.2，6.3-6.8)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</w:rPr>
        <w:t>内容，但对此次申报较为重要的其他信息。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  <w:t>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</w:pPr>
    </w:p>
    <w:p>
      <w:pPr>
        <w:pStyle w:val="9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6561FD1"/>
    <w:rsid w:val="4B950155"/>
    <w:rsid w:val="543A6A17"/>
    <w:rsid w:val="5854681A"/>
    <w:rsid w:val="58967250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2023-04-20T06:26:18Z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