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6.3生产制造信息</w:t>
      </w:r>
    </w:p>
    <w:p>
      <w:pPr>
        <w:pStyle w:val="9"/>
        <w:rPr>
          <w:rFonts w:hint="eastAsia"/>
          <w:lang w:val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1"/>
        </w:numPr>
        <w:overflowPunct w:val="0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产品描述信息</w:t>
      </w:r>
    </w:p>
    <w:p>
      <w:pPr>
        <w:pStyle w:val="9"/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1.1 器械工作原理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(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经鼻肠营养导管通常由鼻腔经食道插入胃，在胃肠蠕动的推动下滑移进入十二指肠或空肠内，或借助胃镜/十二指肠镜辅助插入十二指肠或空肠，并经X射线显影等方式确定置管位置，与相关给营养器械配合，用于向胃肠道引入营养液等，部分多腔鼻肠管还可用于胃部冲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)</w:t>
      </w:r>
    </w:p>
    <w:p>
      <w:pPr>
        <w:pStyle w:val="2"/>
        <w:ind w:firstLine="241" w:firstLineChars="100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【跟前面2.3产品描述中的信息保持一致】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2" w:after="72" w:line="360" w:lineRule="auto"/>
        <w:ind w:left="0" w:leftChars="0" w:firstLine="420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1.2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总体生产工艺的简要说明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生产工艺简要说明如下：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(</w:t>
      </w:r>
    </w:p>
    <w:p>
      <w:pPr>
        <w:pStyle w:val="2"/>
        <w:ind w:firstLine="241" w:firstLineChars="100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生产领料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组件组装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标签打印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包装封口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灭菌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成品检验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入库。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)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【生产工艺以客户提供的为准，需要与后续体系审核的内容一致】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</w:p>
    <w:p>
      <w:pPr>
        <w:numPr>
          <w:ilvl w:val="0"/>
          <w:numId w:val="1"/>
        </w:numPr>
        <w:overflowPunct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一般生产信息</w:t>
      </w:r>
    </w:p>
    <w:p>
      <w:pPr>
        <w:pStyle w:val="9"/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2.1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生产器械或其部件的所有地址和联络信息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{</w:t>
      </w:r>
    </w:p>
    <w:tbl>
      <w:tblPr>
        <w:tblStyle w:val="6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3805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器械或其部件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名称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地址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(包括注册地址和生产地址)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联络信息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【需要与BOM清单中的信息一致，后续体系审核时会核查向信息】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/>
        <w:textAlignment w:val="auto"/>
        <w:rPr>
          <w:rFonts w:hint="eastAsia"/>
          <w:sz w:val="24"/>
          <w:szCs w:val="24"/>
          <w:highlight w:val="none"/>
          <w:lang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  <w:t xml:space="preserve">2.2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  <w:t>外包生产、重要组件或原材料的生产（如动物组织和药品）、关键工艺过程、灭菌等情况的所有重要供应商名称和地址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1.外包生产：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{申报产品无外包生产。}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外包生产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/>
        <w:textAlignment w:val="auto"/>
        <w:rPr>
          <w:rFonts w:hint="default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679" w:leftChars="228" w:hanging="1200" w:hangingChars="500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  <w:t>重要组件或原材料的生产（如动物组织和药品）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7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重要组件或原材料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numPr>
          <w:ilvl w:val="0"/>
          <w:numId w:val="0"/>
        </w:numPr>
        <w:ind w:left="480" w:leftChars="0" w:firstLine="480"/>
        <w:rPr>
          <w:rFonts w:hint="default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679" w:leftChars="228" w:hanging="1200" w:hangingChars="5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3.关键工艺过程：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{申报产品关键工艺过程在本公司生产。}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7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关键工艺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679" w:leftChars="228" w:hanging="1200" w:hangingChars="500"/>
        <w:textAlignment w:val="auto"/>
        <w:rPr>
          <w:rFonts w:hint="default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679" w:leftChars="228" w:hanging="1200" w:hangingChars="500"/>
        <w:textAlignment w:val="auto"/>
        <w:rPr>
          <w:rFonts w:hint="default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679" w:leftChars="228" w:hanging="1200" w:hangingChars="500"/>
        <w:textAlignment w:val="auto"/>
        <w:rPr>
          <w:rFonts w:hint="default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4.灭菌：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{申报产品为在企业内灭菌。}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7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灭菌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如适用，应当提供外包生产、重要组件或原材料的生产（如动物组织和药品）、关键工艺过程、灭菌等情况的所有重要供应商名称和地址。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/>
        <w:textAlignment w:val="auto"/>
        <w:rPr>
          <w:rFonts w:hint="eastAsia" w:cs="Times New Roman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243AB"/>
    <w:multiLevelType w:val="singleLevel"/>
    <w:tmpl w:val="E87243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13F50B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2023-04-20T06:20:49Z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