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5"/>
        <w:rPr>
          <w:rFonts w:hint="eastAsia" w:eastAsia="楷体_GB2312"/>
          <w:b/>
          <w:bCs w:val="0"/>
          <w:color w:val="000000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b/>
          <w:bCs w:val="0"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44"/>
          <w:szCs w:val="44"/>
          <w:lang w:val="en-US" w:eastAsia="zh-CN" w:bidi="ar-SA"/>
        </w:rPr>
        <w:t xml:space="preserve"> 3.8其他资料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9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9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9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免于进行临床评价的第二类医疗器械的安全性及有效性说明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不适用。</w:t>
      </w:r>
      <w:r>
        <w:rPr>
          <w:rFonts w:hint="eastAsia" w:cs="Times New Roman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  <w:t>【如适用，则需要考虑以下罗列的要求】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列入免于临床评价医疗器械目录产品对比说明技术指导原则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一、适用范围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本指导原则适用于列入《免于临床评价医疗器械目录》（以下简称《目录》）的第二类、第三类医疗器械注册时的对比说明，不适用于按医疗器械管理的体外诊断试剂。对比说明指开展申报产品与《目录》所述产品等同性论证的过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二、对比说明要求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对于列入《目录》产品，注册申请人需提交申报产品相关信息与《目录》所述内容的对比资料和申报产品与已获准境内注册的《目录》中医疗器械的对比说明。具体需提交的资料要求如下：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（一）提交申报产品相关信息与《目录》所述内容的对比资料；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（二）提交申报产品与《目录》中已获准境内注册医疗器械的对比说明，对比说明应当包括《申报产品与目录中已获准境内注册医疗器械对比表》（见附件）和相应支持性资料。若经对比，申报产品与对比产品存在差异，还应提交差异部分对安全有效性影响的分析研究资料。二者的差异不应引起不同的安全有效性问题，即申报产品未出现对比产品不存在的且可能引发重大风险和/或引起显著影响有效性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提交的上述资料应能证明申报产品与《目录》所述的产品具有基本等同性。若无法证明申报产品与《目录》所述的产品具有基本等同性，则应开展临床评价。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申报产品与目录中已获准境内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注册医疗器械对比表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</w:p>
    <w:tbl>
      <w:tblPr>
        <w:tblStyle w:val="6"/>
        <w:tblW w:w="942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17"/>
        <w:gridCol w:w="1704"/>
        <w:gridCol w:w="1377"/>
        <w:gridCol w:w="1637"/>
        <w:gridCol w:w="163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对比项目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目录中医疗器械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申报产品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差异性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支持性资料概述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分析研究资料概述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基本原理（工作原理/作用机理）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结构组成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产品制造材料或与人体接触部分的制造材料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性能要求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灭菌/消毒方式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适用范围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使用方法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  <w:t>……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注：对比项目可根据实际情况予以增加。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应该像之前做临床评价一样：1）做对比：</w:t>
      </w:r>
      <w:r>
        <w:rPr>
          <w:rFonts w:hint="eastAsia" w:ascii="宋体" w:hAnsi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至少包括上面所列的项目。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参考对比产品，以及临床豁免目录</w:t>
      </w:r>
      <w:r>
        <w:rPr>
          <w:rFonts w:hint="eastAsia" w:ascii="宋体" w:hAnsi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进行描述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；2）提供对比信息来源的依据；3）提供差异不影响产品安全有效的说明，及其证据；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】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一次性使用的医疗器械的无法重复使用的支持性资料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不适用。申报产品并非一次性使用的医疗器械。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免于进行临床评价的第二类医疗器械，申请人应当按照《列入免于进行临床评价医疗器械目录产品对比说明技术指导原则》，从基本原理、结构组成、性能、安全性、适用范围等方面，证明产品的安全有效性。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</w:rPr>
        <w:t>对于一次性使用的医疗器械，还应当提供证明其无法重复使用的支持性资料。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eastAsia="zh-CN"/>
        </w:rPr>
        <w:t>如不适用，应当提供相关说明。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eastAsia="仿宋_GB231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/>
          <w:color w:val="0000FF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7CA05"/>
    <w:multiLevelType w:val="singleLevel"/>
    <w:tmpl w:val="4C27CA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3DD5C0D"/>
    <w:rsid w:val="04D55F72"/>
    <w:rsid w:val="19DA2300"/>
    <w:rsid w:val="1E907AE9"/>
    <w:rsid w:val="1F8D5F3B"/>
    <w:rsid w:val="3B07083A"/>
    <w:rsid w:val="42491C0F"/>
    <w:rsid w:val="46561FD1"/>
    <w:rsid w:val="4B950155"/>
    <w:rsid w:val="543A6A17"/>
    <w:rsid w:val="5854681A"/>
    <w:rsid w:val="5B3D4524"/>
    <w:rsid w:val="638C3F6B"/>
    <w:rsid w:val="73041C9C"/>
    <w:rsid w:val="740B0FFB"/>
    <w:rsid w:val="7E186F95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1023</Words>
  <Characters>1025</Characters>
  <Lines>1</Lines>
  <Paragraphs>1</Paragraphs>
  <TotalTime>0</TotalTime>
  <ScaleCrop>false</ScaleCrop>
  <LinksUpToDate>false</LinksUpToDate>
  <CharactersWithSpaces>1103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2023-04-20T06:57:13Z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