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5"/>
        <w:jc w:val="both"/>
        <w:rPr>
          <w:rFonts w:hint="eastAsia" w:eastAsia="楷体_GB2312"/>
          <w:b/>
          <w:bCs w:val="0"/>
          <w:color w:val="000000"/>
          <w:sz w:val="32"/>
          <w:szCs w:val="32"/>
          <w:lang w:val="en-US" w:eastAsia="zh-CN"/>
        </w:rPr>
      </w:pPr>
    </w:p>
    <w:p>
      <w:pPr>
        <w:pStyle w:val="5"/>
        <w:rPr>
          <w:rFonts w:hint="default" w:ascii="Times New Roman" w:hAnsi="Times New Roman" w:eastAsia="黑体" w:cs="Times New Roman"/>
          <w:b/>
          <w:bCs w:val="0"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44"/>
          <w:szCs w:val="44"/>
          <w:lang w:val="en-US" w:eastAsia="zh-CN" w:bidi="ar-SA"/>
        </w:rPr>
        <w:t xml:space="preserve"> 3.7稳定性研究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0" w:name="OLE_LINK2"/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bookmarkEnd w:id="0"/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货架有效期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2"/>
        <w:textAlignment w:val="auto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  <w:t>(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  <w:t>产品为一次性无菌产品，对其货架有效期进行了研究。详细见附件3.7-1 货架有效期研究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  <w:t>和</w:t>
      </w:r>
      <w:r>
        <w:rPr>
          <w:rFonts w:hint="default" w:cs="Times New Roman"/>
          <w:b/>
          <w:bCs w:val="0"/>
          <w:i/>
          <w:iCs/>
          <w:color w:val="0000FF"/>
          <w:sz w:val="24"/>
          <w:lang w:val="en-US" w:eastAsia="zh-CN"/>
        </w:rPr>
        <w:t>附件3</w:t>
      </w:r>
      <w:r>
        <w:rPr>
          <w:rFonts w:hint="eastAsia" w:cs="Times New Roman"/>
          <w:b/>
          <w:bCs w:val="0"/>
          <w:i/>
          <w:iCs/>
          <w:color w:val="0000FF"/>
          <w:sz w:val="24"/>
          <w:lang w:val="en-US" w:eastAsia="zh-CN"/>
        </w:rPr>
        <w:t>.7-2 &lt;</w:t>
      </w:r>
      <w:r>
        <w:rPr>
          <w:rFonts w:hint="default" w:cs="Times New Roman"/>
          <w:b/>
          <w:bCs w:val="0"/>
          <w:i/>
          <w:iCs/>
          <w:color w:val="0000FF"/>
          <w:sz w:val="24"/>
          <w:lang w:val="en-US" w:eastAsia="zh-CN"/>
        </w:rPr>
        <w:t>包装验证方案和报告</w:t>
      </w:r>
      <w:r>
        <w:rPr>
          <w:rFonts w:hint="eastAsia" w:cs="Times New Roman"/>
          <w:b/>
          <w:bCs w:val="0"/>
          <w:i/>
          <w:iCs/>
          <w:color w:val="0000FF"/>
          <w:sz w:val="24"/>
          <w:lang w:val="en-US" w:eastAsia="zh-CN"/>
        </w:rPr>
        <w:t>&gt;</w:t>
      </w: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  <w:t>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2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1" w:firstLineChars="1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  <w:t>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2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  <w:t>如适用，应当提供货架有效期和包装研究资料，证明在货架有效期内，在生产企业规定的运输贮存条件下，产品可保持性能功能满足使用要求，具有微生物限度要求的产品还应当符合微生物限度要求，以无菌状态交付的产品还应保持无菌状态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2"/>
        <w:textAlignment w:val="auto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kern w:val="2"/>
          <w:sz w:val="24"/>
          <w:szCs w:val="24"/>
          <w:lang w:val="en-US" w:eastAsia="zh-CN" w:bidi="ar-SA"/>
        </w:rPr>
        <w:t>】</w:t>
      </w:r>
    </w:p>
    <w:p>
      <w:pPr>
        <w:pStyle w:val="2"/>
        <w:ind w:firstLine="44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使用稳定性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4"/>
          <w:lang w:val="en-US" w:eastAsia="zh-CN"/>
        </w:rPr>
      </w:pPr>
      <w:r>
        <w:rPr>
          <w:rFonts w:hint="eastAsia" w:cs="Times New Roman"/>
          <w:bCs/>
          <w:sz w:val="24"/>
          <w:lang w:val="en-US" w:eastAsia="zh-CN"/>
        </w:rPr>
        <w:t>不适用，产品为一次性无菌产品，不涉及使用稳定性。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cs="Times New Roman"/>
          <w:b/>
          <w:bCs w:val="0"/>
          <w:i/>
          <w:iCs/>
          <w:color w:val="0000FF"/>
          <w:sz w:val="24"/>
          <w:lang w:eastAsia="zh-CN"/>
        </w:rPr>
      </w:pPr>
      <w:r>
        <w:rPr>
          <w:rFonts w:hint="eastAsia" w:cs="Times New Roman"/>
          <w:b/>
          <w:bCs w:val="0"/>
          <w:i/>
          <w:iCs/>
          <w:color w:val="0000FF"/>
          <w:sz w:val="24"/>
          <w:lang w:eastAsia="zh-CN"/>
        </w:rPr>
        <w:t>【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cs="Times New Roman"/>
          <w:b/>
          <w:bCs w:val="0"/>
          <w:i/>
          <w:iCs/>
          <w:color w:val="0000FF"/>
          <w:sz w:val="24"/>
          <w:lang w:eastAsia="zh-CN"/>
        </w:rPr>
      </w:pPr>
      <w:r>
        <w:rPr>
          <w:rFonts w:hint="eastAsia" w:cs="Times New Roman"/>
          <w:b/>
          <w:bCs w:val="0"/>
          <w:i/>
          <w:iCs/>
          <w:color w:val="0000FF"/>
          <w:sz w:val="24"/>
          <w:lang w:eastAsia="zh-CN"/>
        </w:rPr>
        <w:t>如适用，应当提供使用稳定性/可靠性研究资料，证明在生产企业规定的使用期限/使用次数内，在正常使用、维护和校准（如适用）情况下，产品的性能功能满足使用要求。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cs="Times New Roman"/>
          <w:b/>
          <w:bCs w:val="0"/>
          <w:i/>
          <w:iCs/>
          <w:color w:val="0000FF"/>
          <w:sz w:val="24"/>
          <w:lang w:eastAsia="zh-CN"/>
        </w:rPr>
      </w:pPr>
      <w:r>
        <w:rPr>
          <w:rFonts w:hint="eastAsia" w:cs="Times New Roman"/>
          <w:b/>
          <w:bCs w:val="0"/>
          <w:i/>
          <w:iCs/>
          <w:color w:val="0000FF"/>
          <w:sz w:val="24"/>
          <w:lang w:eastAsia="zh-CN"/>
        </w:rPr>
        <w:t>】</w:t>
      </w:r>
    </w:p>
    <w:p>
      <w:pPr>
        <w:pStyle w:val="2"/>
        <w:rPr>
          <w:rFonts w:hint="default" w:ascii="Times New Roman" w:hAnsi="Times New Roman" w:eastAsia="宋体" w:cs="Times New Roman"/>
          <w:bCs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运输稳定性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default" w:cs="Times New Roman"/>
          <w:b/>
          <w:bCs w:val="0"/>
          <w:i/>
          <w:iCs/>
          <w:color w:val="0000FF"/>
          <w:sz w:val="24"/>
          <w:lang w:val="en-US" w:eastAsia="zh-CN"/>
        </w:rPr>
      </w:pPr>
      <w:r>
        <w:rPr>
          <w:rFonts w:hint="eastAsia" w:cs="Times New Roman"/>
          <w:b/>
          <w:bCs w:val="0"/>
          <w:i/>
          <w:iCs/>
          <w:color w:val="0000FF"/>
          <w:sz w:val="24"/>
          <w:lang w:val="en-US" w:eastAsia="zh-CN"/>
        </w:rPr>
        <w:t>(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default" w:cs="Times New Roman"/>
          <w:b/>
          <w:bCs w:val="0"/>
          <w:i/>
          <w:iCs/>
          <w:color w:val="0000FF"/>
          <w:sz w:val="24"/>
          <w:lang w:val="en-US" w:eastAsia="zh-CN"/>
        </w:rPr>
      </w:pPr>
      <w:r>
        <w:rPr>
          <w:rFonts w:hint="default" w:cs="Times New Roman"/>
          <w:b/>
          <w:bCs w:val="0"/>
          <w:i/>
          <w:iCs/>
          <w:color w:val="0000FF"/>
          <w:sz w:val="24"/>
          <w:lang w:val="en-US" w:eastAsia="zh-CN"/>
        </w:rPr>
        <w:t>申报产品为二类医疗器械，</w:t>
      </w:r>
      <w:r>
        <w:rPr>
          <w:rFonts w:hint="eastAsia" w:cs="Times New Roman"/>
          <w:b/>
          <w:bCs w:val="0"/>
          <w:i/>
          <w:iCs/>
          <w:color w:val="0000FF"/>
          <w:sz w:val="24"/>
          <w:lang w:val="en-US" w:eastAsia="zh-CN"/>
        </w:rPr>
        <w:t>一次性</w:t>
      </w:r>
      <w:r>
        <w:rPr>
          <w:rFonts w:hint="default" w:cs="Times New Roman"/>
          <w:b/>
          <w:bCs w:val="0"/>
          <w:i/>
          <w:iCs/>
          <w:color w:val="0000FF"/>
          <w:sz w:val="24"/>
          <w:lang w:val="en-US" w:eastAsia="zh-CN"/>
        </w:rPr>
        <w:t>无菌产品，所以按产品自身特性要求，用一般规格</w:t>
      </w:r>
      <w:r>
        <w:rPr>
          <w:rFonts w:hint="eastAsia" w:cs="Times New Roman"/>
          <w:b/>
          <w:bCs w:val="0"/>
          <w:i/>
          <w:iCs/>
          <w:color w:val="0000FF"/>
          <w:sz w:val="24"/>
          <w:lang w:val="en-US" w:eastAsia="zh-CN"/>
        </w:rPr>
        <w:t>瓦楞纸箱</w:t>
      </w:r>
      <w:r>
        <w:rPr>
          <w:rFonts w:hint="default" w:cs="Times New Roman"/>
          <w:b/>
          <w:bCs w:val="0"/>
          <w:i/>
          <w:iCs/>
          <w:color w:val="0000FF"/>
          <w:sz w:val="24"/>
          <w:lang w:val="en-US" w:eastAsia="zh-CN"/>
        </w:rPr>
        <w:t>包装，对</w:t>
      </w:r>
      <w:r>
        <w:rPr>
          <w:rFonts w:hint="eastAsia" w:cs="Times New Roman"/>
          <w:b/>
          <w:bCs w:val="0"/>
          <w:i/>
          <w:iCs/>
          <w:color w:val="0000FF"/>
          <w:sz w:val="24"/>
          <w:lang w:val="en-US" w:eastAsia="zh-CN"/>
        </w:rPr>
        <w:t>灭菌后的</w:t>
      </w:r>
      <w:r>
        <w:rPr>
          <w:rFonts w:hint="default" w:cs="Times New Roman"/>
          <w:b/>
          <w:bCs w:val="0"/>
          <w:i/>
          <w:iCs/>
          <w:color w:val="0000FF"/>
          <w:sz w:val="24"/>
          <w:lang w:val="en-US" w:eastAsia="zh-CN"/>
        </w:rPr>
        <w:t>产品运输存贮环境进行了试验，试验结果符合要求，详见附件3</w:t>
      </w:r>
      <w:r>
        <w:rPr>
          <w:rFonts w:hint="eastAsia" w:cs="Times New Roman"/>
          <w:b/>
          <w:bCs w:val="0"/>
          <w:i/>
          <w:iCs/>
          <w:color w:val="0000FF"/>
          <w:sz w:val="24"/>
          <w:lang w:val="en-US" w:eastAsia="zh-CN"/>
        </w:rPr>
        <w:t>.7-2 &lt;</w:t>
      </w:r>
      <w:r>
        <w:rPr>
          <w:rFonts w:hint="default" w:cs="Times New Roman"/>
          <w:b/>
          <w:bCs w:val="0"/>
          <w:i/>
          <w:iCs/>
          <w:color w:val="0000FF"/>
          <w:sz w:val="24"/>
          <w:lang w:val="en-US" w:eastAsia="zh-CN"/>
        </w:rPr>
        <w:t>包装验证方案和报告</w:t>
      </w:r>
      <w:r>
        <w:rPr>
          <w:rFonts w:hint="eastAsia" w:cs="Times New Roman"/>
          <w:b/>
          <w:bCs w:val="0"/>
          <w:i/>
          <w:iCs/>
          <w:color w:val="0000FF"/>
          <w:sz w:val="24"/>
          <w:lang w:val="en-US" w:eastAsia="zh-CN"/>
        </w:rPr>
        <w:t>&gt;</w:t>
      </w:r>
      <w:r>
        <w:rPr>
          <w:rFonts w:hint="default" w:cs="Times New Roman"/>
          <w:b/>
          <w:bCs w:val="0"/>
          <w:i/>
          <w:iCs/>
          <w:color w:val="0000FF"/>
          <w:sz w:val="24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default" w:cs="Times New Roman"/>
          <w:b/>
          <w:bCs w:val="0"/>
          <w:i/>
          <w:iCs/>
          <w:color w:val="0000FF"/>
          <w:sz w:val="24"/>
          <w:lang w:val="en-US" w:eastAsia="zh-CN"/>
        </w:rPr>
      </w:pPr>
      <w:r>
        <w:rPr>
          <w:rFonts w:hint="eastAsia" w:cs="Times New Roman"/>
          <w:b/>
          <w:bCs w:val="0"/>
          <w:i/>
          <w:iCs/>
          <w:color w:val="0000FF"/>
          <w:sz w:val="24"/>
          <w:lang w:val="en-US" w:eastAsia="zh-CN"/>
        </w:rPr>
        <w:t>)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cs="Times New Roman"/>
          <w:b/>
          <w:bCs w:val="0"/>
          <w:i/>
          <w:iCs/>
          <w:color w:val="0000FF"/>
          <w:sz w:val="24"/>
          <w:lang w:val="en-US" w:eastAsia="zh-CN"/>
        </w:rPr>
      </w:pPr>
      <w:r>
        <w:rPr>
          <w:rFonts w:hint="eastAsia" w:cs="Times New Roman"/>
          <w:b/>
          <w:bCs w:val="0"/>
          <w:i/>
          <w:iCs/>
          <w:color w:val="0000FF"/>
          <w:sz w:val="24"/>
          <w:lang w:val="en-US" w:eastAsia="zh-CN"/>
        </w:rPr>
        <w:t>【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cs="Times New Roman"/>
          <w:b/>
          <w:bCs w:val="0"/>
          <w:i/>
          <w:iCs/>
          <w:color w:val="0000FF"/>
          <w:sz w:val="24"/>
          <w:lang w:eastAsia="zh-CN"/>
        </w:rPr>
      </w:pPr>
      <w:r>
        <w:rPr>
          <w:rFonts w:hint="eastAsia" w:cs="Times New Roman"/>
          <w:b/>
          <w:bCs w:val="0"/>
          <w:i/>
          <w:iCs/>
          <w:color w:val="0000FF"/>
          <w:sz w:val="24"/>
          <w:lang w:eastAsia="zh-CN"/>
        </w:rPr>
        <w:t>应当提供运输稳定性和包装研究资料，证明在生产企业规定的运输条件下，运输过程中的环境条件（例如：震动、振动、温度和湿度的波动）不会对医疗器械的特性和性能，包括完整性和清洁度，造成不利影响。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default" w:cs="Times New Roman"/>
          <w:b/>
          <w:bCs w:val="0"/>
          <w:i/>
          <w:iCs/>
          <w:color w:val="0000FF"/>
          <w:sz w:val="24"/>
          <w:lang w:val="en-US" w:eastAsia="zh-CN"/>
        </w:rPr>
      </w:pPr>
      <w:r>
        <w:rPr>
          <w:rFonts w:hint="eastAsia" w:cs="Times New Roman"/>
          <w:b/>
          <w:bCs w:val="0"/>
          <w:i/>
          <w:iCs/>
          <w:color w:val="0000FF"/>
          <w:sz w:val="24"/>
          <w:lang w:val="en-US" w:eastAsia="zh-CN"/>
        </w:rPr>
        <w:t>】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="仿宋_GB2312"/>
          <w:lang w:val="en-US" w:eastAsia="zh-CN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96EDE"/>
    <w:multiLevelType w:val="singleLevel"/>
    <w:tmpl w:val="2C996E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3DD5C0D"/>
    <w:rsid w:val="04D55F72"/>
    <w:rsid w:val="19DA2300"/>
    <w:rsid w:val="1E907AE9"/>
    <w:rsid w:val="3B07083A"/>
    <w:rsid w:val="42491C0F"/>
    <w:rsid w:val="46561FD1"/>
    <w:rsid w:val="4B950155"/>
    <w:rsid w:val="4F282635"/>
    <w:rsid w:val="543A6A17"/>
    <w:rsid w:val="5854681A"/>
    <w:rsid w:val="5B3D4524"/>
    <w:rsid w:val="638C3F6B"/>
    <w:rsid w:val="73041C9C"/>
    <w:rsid w:val="7E186F95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2023-04-20T05:54:26Z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