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5"/>
        <w:rPr>
          <w:rFonts w:hint="eastAsia" w:eastAsia="楷体_GB2312"/>
          <w:b/>
          <w:bCs w:val="0"/>
          <w:color w:val="000000"/>
          <w:sz w:val="32"/>
          <w:szCs w:val="32"/>
          <w:lang w:val="en-US" w:eastAsia="zh-CN"/>
        </w:rPr>
      </w:pPr>
    </w:p>
    <w:p>
      <w:pPr>
        <w:pStyle w:val="5"/>
        <w:rPr>
          <w:rFonts w:hint="eastAsia" w:ascii="Times New Roman" w:hAnsi="Times New Roman" w:eastAsia="黑体" w:cs="Times New Roman"/>
          <w:b/>
          <w:bCs w:val="0"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44"/>
          <w:szCs w:val="44"/>
          <w:lang w:val="en-US" w:eastAsia="zh-CN" w:bidi="ar-SA"/>
        </w:rPr>
        <w:t>3.6非临床文献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申报产品相关的已发表的非临床研究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 w:bidi="ar-SA"/>
        </w:rPr>
        <w:t>产品无相关的非临床文献/书目。</w:t>
      </w:r>
    </w:p>
    <w:p>
      <w:pPr>
        <w:numPr>
          <w:ilvl w:val="0"/>
          <w:numId w:val="0"/>
        </w:numPr>
        <w:ind w:leftChars="0"/>
        <w:rPr>
          <w:rFonts w:hint="default" w:eastAsia="仿宋_GB2312"/>
          <w:lang w:val="en-US" w:eastAsia="zh-CN"/>
        </w:rPr>
      </w:pPr>
    </w:p>
    <w:p>
      <w:pPr>
        <w:pStyle w:val="2"/>
        <w:rPr>
          <w:rFonts w:hint="default" w:eastAsia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提供与申报产品相关的已发表的非临床研究（如尸体研究、生物力学研究等）文献/书目列表，并提供相关内容的复印件（外文应同时提供翻译件）。如未检索到与申报产品相关的非临床文献/书目，应当提供相关的声明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】</w:t>
      </w:r>
    </w:p>
    <w:p>
      <w:pPr>
        <w:pStyle w:val="2"/>
        <w:rPr>
          <w:rFonts w:hint="default" w:eastAsia="仿宋_GB2312"/>
          <w:lang w:val="en-US" w:eastAsia="zh-CN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96EDE"/>
    <w:multiLevelType w:val="singleLevel"/>
    <w:tmpl w:val="2C996E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3DD5C0D"/>
    <w:rsid w:val="04D55F72"/>
    <w:rsid w:val="19DA2300"/>
    <w:rsid w:val="1E907AE9"/>
    <w:rsid w:val="3B07083A"/>
    <w:rsid w:val="3D071C5C"/>
    <w:rsid w:val="42491C0F"/>
    <w:rsid w:val="46561FD1"/>
    <w:rsid w:val="4B950155"/>
    <w:rsid w:val="543A6A17"/>
    <w:rsid w:val="5854681A"/>
    <w:rsid w:val="5B3D4524"/>
    <w:rsid w:val="638C3F6B"/>
    <w:rsid w:val="73041C9C"/>
    <w:rsid w:val="7E186F95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2023-04-20T05:45:03Z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