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3" w:firstLineChars="200"/>
        <w:jc w:val="center"/>
        <w:rPr>
          <w:rFonts w:hint="eastAsia" w:eastAsia="楷体_GB2312"/>
          <w:b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楷体_GB2312"/>
          <w:b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楷体_GB2312"/>
          <w:b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楷体_GB2312"/>
          <w:b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楷体_GB2312"/>
          <w:b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楷体_GB2312"/>
          <w:b/>
          <w:bCs w:val="0"/>
          <w:color w:val="000000"/>
          <w:sz w:val="32"/>
          <w:szCs w:val="32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黑体" w:hAnsi="黑体" w:eastAsia="黑体" w:cs="黑体"/>
          <w:b/>
          <w:bCs w:val="0"/>
          <w:kern w:val="44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44"/>
          <w:sz w:val="44"/>
          <w:szCs w:val="44"/>
          <w:lang w:val="en-US" w:eastAsia="zh-CN"/>
        </w:rPr>
        <w:t>3.5研究资料</w:t>
      </w:r>
    </w:p>
    <w:p>
      <w:pPr>
        <w:pStyle w:val="6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11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/>
          <w:iCs/>
          <w:color w:val="0000FF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p>
      <w:pPr>
        <w:pStyle w:val="11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pStyle w:val="11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pStyle w:val="11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spacing w:line="560" w:lineRule="exact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</w:rPr>
        <w:t>化学和物理性能研究</w:t>
      </w:r>
    </w:p>
    <w:p>
      <w:pPr>
        <w:numPr>
          <w:ilvl w:val="1"/>
          <w:numId w:val="1"/>
        </w:numPr>
        <w:spacing w:line="560" w:lineRule="exact"/>
        <w:ind w:leftChars="0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产品化学/材料表征、物理和/或机械性能</w:t>
      </w:r>
    </w:p>
    <w:p>
      <w:pPr>
        <w:pStyle w:val="6"/>
        <w:numPr>
          <w:ilvl w:val="2"/>
          <w:numId w:val="1"/>
        </w:numPr>
        <w:spacing w:line="360" w:lineRule="auto"/>
        <w:ind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化学/材料表征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{</w:t>
      </w:r>
    </w:p>
    <w:tbl>
      <w:tblPr>
        <w:tblStyle w:val="7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618"/>
        <w:gridCol w:w="760"/>
        <w:gridCol w:w="1282"/>
        <w:gridCol w:w="1854"/>
        <w:gridCol w:w="2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部件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组成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材料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接触方式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接触时间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接触部位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}</w:t>
      </w:r>
    </w:p>
    <w:p>
      <w:pPr>
        <w:pStyle w:val="6"/>
        <w:numPr>
          <w:ilvl w:val="2"/>
          <w:numId w:val="1"/>
        </w:numPr>
        <w:spacing w:line="360" w:lineRule="auto"/>
        <w:ind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物理和/或机械性能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{</w:t>
      </w:r>
    </w:p>
    <w:tbl>
      <w:tblPr>
        <w:tblStyle w:val="7"/>
        <w:tblW w:w="5027" w:type="pct"/>
        <w:tblInd w:w="-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229"/>
        <w:gridCol w:w="2305"/>
        <w:gridCol w:w="2757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7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试验项目</w:t>
            </w:r>
          </w:p>
        </w:tc>
        <w:tc>
          <w:tcPr>
            <w:tcW w:w="134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性能指标</w:t>
            </w:r>
          </w:p>
        </w:tc>
        <w:tc>
          <w:tcPr>
            <w:tcW w:w="160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检验方法</w:t>
            </w:r>
          </w:p>
        </w:tc>
        <w:tc>
          <w:tcPr>
            <w:tcW w:w="89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确定依据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42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7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XXX</w:t>
            </w:r>
          </w:p>
        </w:tc>
        <w:tc>
          <w:tcPr>
            <w:tcW w:w="134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XXX</w:t>
            </w:r>
          </w:p>
        </w:tc>
        <w:tc>
          <w:tcPr>
            <w:tcW w:w="160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XXX</w:t>
            </w:r>
          </w:p>
        </w:tc>
        <w:tc>
          <w:tcPr>
            <w:tcW w:w="89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{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根据产品自身性能确定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7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XXX</w:t>
            </w:r>
          </w:p>
        </w:tc>
        <w:tc>
          <w:tcPr>
            <w:tcW w:w="134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XXX</w:t>
            </w:r>
          </w:p>
        </w:tc>
        <w:tc>
          <w:tcPr>
            <w:tcW w:w="160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XXX</w:t>
            </w:r>
          </w:p>
        </w:tc>
        <w:tc>
          <w:tcPr>
            <w:tcW w:w="89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{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根据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等同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产品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及申报产品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自身性能确定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7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XXX</w:t>
            </w:r>
          </w:p>
        </w:tc>
        <w:tc>
          <w:tcPr>
            <w:tcW w:w="134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XXX</w:t>
            </w:r>
          </w:p>
        </w:tc>
        <w:tc>
          <w:tcPr>
            <w:tcW w:w="160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XXX</w:t>
            </w:r>
          </w:p>
        </w:tc>
        <w:tc>
          <w:tcPr>
            <w:tcW w:w="89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{根据ISO XX确认}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7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XXX</w:t>
            </w:r>
          </w:p>
        </w:tc>
        <w:tc>
          <w:tcPr>
            <w:tcW w:w="134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XXX</w:t>
            </w:r>
          </w:p>
        </w:tc>
        <w:tc>
          <w:tcPr>
            <w:tcW w:w="160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XXX</w:t>
            </w:r>
          </w:p>
        </w:tc>
        <w:tc>
          <w:tcPr>
            <w:tcW w:w="89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{根据GB XX确认}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7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.....</w:t>
            </w:r>
          </w:p>
        </w:tc>
        <w:tc>
          <w:tcPr>
            <w:tcW w:w="134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0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7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.....</w:t>
            </w:r>
          </w:p>
        </w:tc>
        <w:tc>
          <w:tcPr>
            <w:tcW w:w="134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0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试验项目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 xml:space="preserve">,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性能指标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 xml:space="preserve">,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检验方法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均需要与技术要求中的内容一致，需要覆盖技术要求中的全部内容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燃爆风险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/>
          <w:i/>
          <w:iCs/>
          <w:color w:val="0000FF"/>
          <w:sz w:val="24"/>
          <w:szCs w:val="24"/>
          <w:lang w:val="en-US" w:eastAsia="zh-CN"/>
        </w:rPr>
        <w:t xml:space="preserve">   (</w:t>
      </w:r>
      <w:r>
        <w:rPr>
          <w:rFonts w:hint="default"/>
          <w:b/>
          <w:bCs/>
          <w:i/>
          <w:iCs/>
          <w:color w:val="0000FF"/>
          <w:sz w:val="24"/>
          <w:szCs w:val="24"/>
          <w:lang w:val="en-US" w:eastAsia="zh-CN"/>
        </w:rPr>
        <w:t>不适用，申报产品并无易燃、易爆物质或与其他可燃物、致燃物联合使用的医疗器械。</w:t>
      </w:r>
      <w:r>
        <w:rPr>
          <w:rFonts w:hint="eastAsia"/>
          <w:b/>
          <w:bCs/>
          <w:i/>
          <w:iCs/>
          <w:color w:val="0000FF"/>
          <w:sz w:val="24"/>
          <w:szCs w:val="24"/>
          <w:lang w:val="en-US" w:eastAsia="zh-CN"/>
        </w:rPr>
        <w:t>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联合使用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/>
          <w:sz w:val="13"/>
          <w:szCs w:val="13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/>
        <w:textAlignment w:val="auto"/>
        <w:rPr>
          <w:rFonts w:hint="default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/>
          <w:i/>
          <w:iCs/>
          <w:color w:val="0000FF"/>
          <w:sz w:val="24"/>
          <w:szCs w:val="24"/>
          <w:lang w:val="en-US" w:eastAsia="zh-CN"/>
        </w:rPr>
        <w:t xml:space="preserve">  (不适用，申报产品不预计与其他产品联合使用。)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/>
        <w:textAlignment w:val="auto"/>
        <w:rPr>
          <w:rFonts w:hint="eastAsia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/>
        <w:textAlignment w:val="auto"/>
        <w:rPr>
          <w:rFonts w:hint="eastAsia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/>
        <w:textAlignment w:val="auto"/>
        <w:rPr>
          <w:rFonts w:hint="eastAsia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如申报产品预期与其他医疗器械、药品、非医疗器械产品联合使用实现同一预期用途，应当提供证明联合使用安全有效的研究资料，包括互联基本信息（连接类型、接口、协议、最低性能）、联合使用风险及控制措施、联合使用上的限制，兼容性研究等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/>
        <w:textAlignment w:val="auto"/>
        <w:rPr>
          <w:rFonts w:hint="eastAsia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联合药物使用的，应当提供药物相容性研究资料，证明药品和器械联合使用的性能符合其适应证和预期用途。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/>
        <w:textAlignment w:val="auto"/>
        <w:rPr>
          <w:rFonts w:hint="eastAsia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 xml:space="preserve">1.4 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量效关系和能量安全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Chars="0"/>
        <w:jc w:val="both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sz w:val="24"/>
          <w:szCs w:val="24"/>
          <w:lang w:val="en-US" w:eastAsia="zh-CN" w:bidi="ar-SA"/>
        </w:rPr>
      </w:pPr>
      <w:r>
        <w:rPr>
          <w:rFonts w:hint="eastAsia" w:ascii="Tahoma" w:hAnsi="Tahoma" w:eastAsia="宋体" w:cs="Times New Roman"/>
          <w:b/>
          <w:bCs/>
          <w:i/>
          <w:iCs/>
          <w:color w:val="0000FF"/>
          <w:sz w:val="24"/>
          <w:szCs w:val="24"/>
          <w:lang w:val="en-US" w:eastAsia="zh-CN" w:bidi="ar-SA"/>
        </w:rPr>
        <w:t xml:space="preserve">  (不适用。申报产品不向患者提供能量或物质治疗的医疗器械。)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/>
        <w:textAlignment w:val="auto"/>
        <w:rPr>
          <w:rFonts w:hint="eastAsia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/>
        <w:textAlignment w:val="auto"/>
        <w:rPr>
          <w:rFonts w:hint="eastAsia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对于向患者提供能量或物质治疗的医疗器械，应当提供量效关系和能量安全性研究资料，提供证明治疗参数设置的安全性、有效性、合理性，以及除预期靶组织外，能量不会对正常组织造成不可接受的伤害的研究资料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/>
        <w:textAlignment w:val="auto"/>
        <w:rPr>
          <w:rFonts w:hint="eastAsia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  <w:t>电气系统安全性研究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(</w:t>
      </w:r>
      <w:r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不适用，申报产品不涉及电气安全。</w:t>
      </w:r>
      <w:r>
        <w:rPr>
          <w:rFonts w:hint="eastAsi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pacing w:line="560" w:lineRule="exact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  <w:t>辐射安全研究</w:t>
      </w: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(</w:t>
      </w:r>
      <w:r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不适用，申报产品不涉及电气安全。</w:t>
      </w:r>
      <w:r>
        <w:rPr>
          <w:rFonts w:hint="eastAsi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)</w:t>
      </w: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ind w:firstLine="241" w:firstLineChars="100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560" w:lineRule="exact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  <w:t>软件研究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软件</w:t>
      </w:r>
    </w:p>
    <w:p>
      <w:pPr>
        <w:pStyle w:val="2"/>
        <w:ind w:firstLine="241" w:firstLineChars="100"/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(</w:t>
      </w:r>
      <w:r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不适用，申报产品不涉及软件</w:t>
      </w:r>
      <w:r>
        <w:rPr>
          <w:rFonts w:hint="eastAsi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)</w:t>
      </w:r>
    </w:p>
    <w:p>
      <w:pPr>
        <w:pStyle w:val="2"/>
        <w:ind w:firstLine="241" w:firstLineChars="100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网络安全</w:t>
      </w:r>
    </w:p>
    <w:p>
      <w:pPr>
        <w:pStyle w:val="2"/>
        <w:ind w:firstLine="241" w:firstLineChars="100"/>
        <w:rPr>
          <w:rFonts w:hint="default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Tahoma" w:hAnsi="Tahoma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 xml:space="preserve"> (不适用，申报产品不涉及软件)</w:t>
      </w:r>
    </w:p>
    <w:p>
      <w:pPr>
        <w:pStyle w:val="2"/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现成软件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不适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用。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人工智能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不适用。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互操作性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不适用。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不适用。</w:t>
      </w:r>
    </w:p>
    <w:p>
      <w:pPr>
        <w:pStyle w:val="2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spacing w:line="560" w:lineRule="exact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color w:val="000000"/>
          <w:sz w:val="32"/>
          <w:szCs w:val="32"/>
          <w:lang w:val="en-US" w:eastAsia="zh-CN"/>
        </w:rPr>
        <w:t>生物</w:t>
      </w: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  <w:t>学特性研究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Style w:val="15"/>
          <w:lang w:val="en-US" w:eastAsia="zh-CN" w:bidi="ar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Cs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  <w:t>产品</w:t>
      </w:r>
      <w:r>
        <w:rPr>
          <w:rFonts w:hint="eastAsia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  <w:t>{具体组件}</w:t>
      </w:r>
      <w:r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highlight w:val="none"/>
        </w:rPr>
        <w:t>与使用者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  <w:t>通过</w:t>
      </w:r>
      <w:r>
        <w:rPr>
          <w:rFonts w:hint="eastAsia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  <w:t>{气体、液体}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  <w:t>与人体{部位}{直接、间接</w:t>
      </w:r>
      <w:r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highlight w:val="none"/>
        </w:rPr>
        <w:t>接触</w:t>
      </w:r>
      <w:r>
        <w:rPr>
          <w:rFonts w:hint="eastAsia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  <w:t xml:space="preserve"> }</w:t>
      </w:r>
      <w:r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highlight w:val="none"/>
        </w:rPr>
        <w:t>，</w:t>
      </w:r>
      <w:r>
        <w:rPr>
          <w:rFonts w:hint="default" w:ascii="Times New Roman" w:hAnsi="Times New Roman" w:eastAsia="宋体" w:cs="Times New Roman"/>
          <w:bCs/>
          <w:color w:val="000000"/>
          <w:sz w:val="24"/>
          <w:lang w:val="en-US" w:eastAsia="zh-CN"/>
        </w:rPr>
        <w:t>对产品</w:t>
      </w:r>
      <w:r>
        <w:rPr>
          <w:rFonts w:hint="eastAsia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  <w:t>{具体组件}</w:t>
      </w:r>
      <w:r>
        <w:rPr>
          <w:rFonts w:hint="default" w:ascii="Times New Roman" w:hAnsi="Times New Roman" w:eastAsia="宋体" w:cs="Times New Roman"/>
          <w:bCs/>
          <w:color w:val="000000"/>
          <w:sz w:val="24"/>
          <w:lang w:val="en-US" w:eastAsia="zh-CN"/>
        </w:rPr>
        <w:t>进行生物学评价，详细内容如下：</w:t>
      </w:r>
    </w:p>
    <w:p>
      <w:pPr>
        <w:pStyle w:val="2"/>
        <w:rPr>
          <w:rFonts w:hint="default" w:ascii="Times New Roman" w:hAnsi="Times New Roman" w:eastAsia="宋体" w:cs="Times New Roman"/>
          <w:bCs/>
          <w:color w:val="000000"/>
          <w:sz w:val="24"/>
          <w:lang w:val="en-US" w:eastAsia="zh-CN"/>
        </w:rPr>
      </w:pPr>
    </w:p>
    <w:tbl>
      <w:tblPr>
        <w:tblStyle w:val="7"/>
        <w:tblW w:w="829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015"/>
        <w:gridCol w:w="2280"/>
        <w:gridCol w:w="19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3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5.1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产品所用材料的描述及与人体接触的性质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  <w:t>(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2986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5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sz w:val="24"/>
                <w:highlight w:val="none"/>
                <w:lang w:val="en-US" w:eastAsia="zh-CN"/>
              </w:rPr>
              <w:t>与人体接触的材料</w:t>
            </w:r>
          </w:p>
        </w:tc>
        <w:tc>
          <w:tcPr>
            <w:tcW w:w="2986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sz w:val="24"/>
                <w:highlight w:val="none"/>
                <w:lang w:val="en-US" w:eastAsia="zh-CN"/>
              </w:rPr>
              <w:t>人体接触的性质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sz w:val="24"/>
                <w:highlight w:val="none"/>
                <w:lang w:val="en-US" w:eastAsia="zh-CN"/>
              </w:rPr>
              <w:t>接触时间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5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/>
                <w:iCs/>
                <w:color w:val="0000FF"/>
                <w:sz w:val="24"/>
                <w:highlight w:val="none"/>
                <w:lang w:val="en-US" w:eastAsia="zh-CN"/>
              </w:rPr>
              <w:t>PP</w:t>
            </w:r>
          </w:p>
        </w:tc>
        <w:tc>
          <w:tcPr>
            <w:tcW w:w="2986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sz w:val="24"/>
                <w:highlight w:val="none"/>
                <w:lang w:val="en-US" w:eastAsia="zh-CN"/>
              </w:rPr>
              <w:t>表面器械，口腔粘膜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sz w:val="24"/>
                <w:highlight w:val="none"/>
                <w:lang w:val="en-US" w:eastAsia="zh-CN"/>
              </w:rPr>
              <w:t>A-短期(≤24h)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  <w:t>)</w:t>
      </w:r>
    </w:p>
    <w:p>
      <w:pPr>
        <w:pStyle w:val="3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5.2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申报产品的化学信息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ascii="Times New Roman" w:hAnsi="Times New Roman" w:cs="Times New Roman"/>
          <w:b/>
          <w:bCs w:val="0"/>
          <w:i/>
          <w:iCs/>
          <w:color w:val="0000FF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 w:val="0"/>
          <w:i/>
          <w:iCs/>
          <w:color w:val="0000FF"/>
          <w:kern w:val="2"/>
          <w:sz w:val="24"/>
          <w:szCs w:val="24"/>
          <w:highlight w:val="none"/>
          <w:lang w:val="en-US" w:eastAsia="zh-CN" w:bidi="ar-SA"/>
        </w:rPr>
        <w:t>{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kern w:val="2"/>
          <w:sz w:val="24"/>
          <w:szCs w:val="24"/>
          <w:highlight w:val="none"/>
          <w:lang w:val="en-US" w:eastAsia="zh-CN" w:bidi="ar-SA"/>
        </w:rPr>
        <w:t>申报</w:t>
      </w:r>
      <w:r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lang w:val="en-US" w:eastAsia="zh-CN"/>
        </w:rPr>
        <w:t>产品</w:t>
      </w:r>
      <w:r>
        <w:rPr>
          <w:rFonts w:hint="eastAsia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  <w:t>{具体组件}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kern w:val="2"/>
          <w:sz w:val="24"/>
          <w:szCs w:val="24"/>
          <w:highlight w:val="none"/>
          <w:lang w:val="en-US" w:eastAsia="zh-CN" w:bidi="ar-SA"/>
        </w:rPr>
        <w:t>的材质为：</w:t>
      </w:r>
    </w:p>
    <w:tbl>
      <w:tblPr>
        <w:tblStyle w:val="8"/>
        <w:tblW w:w="0" w:type="auto"/>
        <w:tblInd w:w="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3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2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i/>
                <w:iCs/>
                <w:color w:val="0000FF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/>
                <w:iCs/>
                <w:color w:val="0000FF"/>
                <w:sz w:val="21"/>
                <w:szCs w:val="21"/>
                <w:highlight w:val="none"/>
                <w:lang w:val="en-US" w:eastAsia="zh-CN"/>
              </w:rPr>
              <w:t>部件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/>
                <w:iCs/>
                <w:color w:val="0000FF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2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/>
                <w:iCs/>
                <w:color w:val="0000FF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sz w:val="21"/>
                <w:szCs w:val="21"/>
                <w:highlight w:val="none"/>
              </w:rPr>
              <w:t>无纺布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2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/>
                <w:iCs/>
                <w:color w:val="0000FF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XXX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sz w:val="21"/>
                <w:szCs w:val="21"/>
                <w:highlight w:val="none"/>
                <w:lang w:eastAsia="zh-CN"/>
              </w:rPr>
              <w:t>硅胶50°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2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/>
                <w:iCs/>
                <w:color w:val="0000FF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XXX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sz w:val="21"/>
                <w:szCs w:val="21"/>
                <w:highlight w:val="none"/>
                <w:lang w:eastAsia="zh-CN"/>
              </w:rPr>
              <w:t>PC+ABS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2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/>
                <w:iCs/>
                <w:color w:val="0000FF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sz w:val="21"/>
                <w:szCs w:val="21"/>
                <w:highlight w:val="none"/>
                <w:lang w:eastAsia="zh-CN"/>
              </w:rPr>
              <w:t>PC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ascii="Times New Roman" w:hAnsi="Times New Roman" w:cs="Times New Roman"/>
          <w:b/>
          <w:bCs w:val="0"/>
          <w:i/>
          <w:iCs/>
          <w:color w:val="0000FF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 w:val="0"/>
          <w:i/>
          <w:iCs/>
          <w:color w:val="0000FF"/>
          <w:kern w:val="2"/>
          <w:sz w:val="24"/>
          <w:szCs w:val="24"/>
          <w:highlight w:val="none"/>
          <w:lang w:val="en-US" w:eastAsia="zh-CN" w:bidi="ar-SA"/>
        </w:rPr>
        <w:t>}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描述申报产品的物理和/或化学信息并考虑材料表征（如适用），如器械的物理作用可能产生生物学风险，应当进行评价。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】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5.3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生物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学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评价的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策略、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依据和方法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</w:pPr>
      <w:r>
        <w:rPr>
          <w:rFonts w:hint="eastAsia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  <w:t>(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  <w:t>产品</w:t>
      </w:r>
      <w:r>
        <w:rPr>
          <w:rFonts w:hint="eastAsia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  <w:t>{具体组件}</w:t>
      </w:r>
      <w:r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highlight w:val="none"/>
        </w:rPr>
        <w:t>与使用者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  <w:t>通过</w:t>
      </w:r>
      <w:r>
        <w:rPr>
          <w:rFonts w:hint="eastAsia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  <w:t>{气体、液体}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  <w:t>与人体{部位}{直接、间接</w:t>
      </w:r>
      <w:r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highlight w:val="none"/>
        </w:rPr>
        <w:t>接触</w:t>
      </w:r>
      <w:r>
        <w:rPr>
          <w:rFonts w:hint="eastAsia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  <w:t xml:space="preserve"> }</w:t>
      </w:r>
      <w:r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highlight w:val="none"/>
        </w:rPr>
        <w:t>，按照GB/T 16886.1-2011《医疗器械生物学评价 第1部分：风险管理过程中的评价与试验》附录A，产品属于表面器械，与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  <w:t>口腔粘膜间接接触</w:t>
      </w:r>
      <w:r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highlight w:val="none"/>
        </w:rPr>
        <w:t>，与人体接触时间≤24h，应评价细胞毒性，致敏，刺激或皮内反应。应按照GB/T 16886.5-2017《医疗器械生物学评价 第5部分：体外细胞毒性试验》进行细胞毒性试验，按照GB/T 16886.10-2017《医疗器械生物学评价 第10部分：刺激与迟发型超敏反应试验》进行致敏和</w:t>
      </w:r>
      <w:r>
        <w:rPr>
          <w:rFonts w:hint="eastAsia" w:ascii="Times New Roman" w:hAnsi="Times New Roman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  <w:t>皮内反应</w:t>
      </w:r>
      <w:r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highlight w:val="none"/>
        </w:rPr>
        <w:t>试验。</w:t>
      </w:r>
      <w:r>
        <w:rPr>
          <w:rFonts w:hint="eastAsia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  <w:t>)</w:t>
      </w:r>
    </w:p>
    <w:p>
      <w:pPr>
        <w:pStyle w:val="3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5.4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已有数据和结果的评价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(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生物学试验的测试结果如下：</w:t>
      </w:r>
    </w:p>
    <w:tbl>
      <w:tblPr>
        <w:tblStyle w:val="7"/>
        <w:tblW w:w="9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302"/>
        <w:gridCol w:w="1691"/>
        <w:gridCol w:w="2791"/>
        <w:gridCol w:w="90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检测项目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  <w:tc>
          <w:tcPr>
            <w:tcW w:w="27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检测结果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单项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结论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测试报告编号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细胞毒测试MTT法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GB/T 16886.5-2017</w:t>
            </w:r>
          </w:p>
        </w:tc>
        <w:tc>
          <w:tcPr>
            <w:tcW w:w="27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实验过程中，测试样品100%浓度浸提液的细胞活力百分比大于70%，测试样品浸提液呈现对L-929小鼠成纤维细胞无毒性影倾向性。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{补充检测报告号}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皮内反应试验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GB/T 16886.10-2017</w:t>
            </w:r>
          </w:p>
        </w:tc>
        <w:tc>
          <w:tcPr>
            <w:tcW w:w="27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本次实验条件下，实验样品的极性和非极性浸提液在兔子皮肤上未发现皮内刺激反应。每种浸提液的测试组和相应对照组的平均记分只差不大于1.0.样品皮内反应符合实验标准要求。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{补充检测报告号}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皮肤致敏实验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GB/T 16886.10-2017</w:t>
            </w:r>
          </w:p>
        </w:tc>
        <w:tc>
          <w:tcPr>
            <w:tcW w:w="27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实验过程中，实验组皮肤致敏反应未超过对照组。在本次试验条件下，试验样品在豚鼠皮肤未发现致敏反应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4"/>
                <w:szCs w:val="24"/>
                <w:lang w:val="en-US" w:eastAsia="zh-CN" w:bidi="ar-SA"/>
              </w:rPr>
              <w:t>{补充检测报告号}</w:t>
            </w:r>
          </w:p>
        </w:tc>
      </w:tr>
    </w:tbl>
    <w:p>
      <w:pPr>
        <w:pStyle w:val="3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)</w:t>
      </w:r>
    </w:p>
    <w:p>
      <w:pPr>
        <w:pStyle w:val="3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5.5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选择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或豁免生物学试验的理由和论证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highlight w:val="yellow"/>
          <w:lang w:val="en-US" w:eastAsia="zh-CN"/>
        </w:rPr>
      </w:pPr>
      <w:r>
        <w:rPr>
          <w:rFonts w:hint="eastAsia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highlight w:val="none"/>
        </w:rPr>
        <w:t>由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  <w:t>5.1</w:t>
      </w:r>
      <w:r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highlight w:val="none"/>
        </w:rPr>
        <w:t>和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  <w:t>5.3</w:t>
      </w:r>
      <w:r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highlight w:val="none"/>
        </w:rPr>
        <w:t>可知，器械需要按照GB/T 16886.5-2017《医疗器械生物学评价 第5部分：体外细胞毒性试验》进行细胞毒性试验，按照GB/T 16886.10-2017《医疗器械生物学评价 第10部分：刺激与迟发型超敏反应试验》进行致敏和</w:t>
      </w:r>
      <w:r>
        <w:rPr>
          <w:rFonts w:hint="eastAsia" w:ascii="Times New Roman" w:hAnsi="Times New Roman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  <w:t>皮内反应</w:t>
      </w:r>
      <w:r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highlight w:val="none"/>
        </w:rPr>
        <w:t>试验。</w:t>
      </w:r>
      <w:r>
        <w:rPr>
          <w:rFonts w:hint="eastAsia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  <w:t>)</w:t>
      </w:r>
    </w:p>
    <w:p>
      <w:pPr>
        <w:pStyle w:val="3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5.6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完成生物学评价所需的其他数据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结论：经过评价，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申报产品</w:t>
      </w:r>
      <w:r>
        <w:rPr>
          <w:rFonts w:hint="eastAsia" w:cs="Times New Roman"/>
          <w:b/>
          <w:bCs w:val="0"/>
          <w:i/>
          <w:iCs/>
          <w:color w:val="0000FF"/>
          <w:sz w:val="24"/>
          <w:highlight w:val="none"/>
          <w:lang w:val="en-US" w:eastAsia="zh-CN"/>
        </w:rPr>
        <w:t>{具体组件}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的生物相容性符合预期使用和法规的要求。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其他附件详见：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附件</w:t>
      </w:r>
      <w:r>
        <w:rPr>
          <w:rFonts w:hint="eastAsia"/>
          <w:sz w:val="24"/>
          <w:szCs w:val="24"/>
          <w:lang w:val="en-US" w:eastAsia="zh-CN"/>
        </w:rPr>
        <w:t>3.5-6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生物相容性报告。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【若医疗器械材料可能释放颗粒进入患者和使用者体内，从而产生与颗粒尺寸和性质相关风险，如纳米材料，对所有包含、产生或由其组成的医疗器械，应当提供相关生物学风险研究资料。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若根据申报产品预期用途，其会被人体吸收、代谢，如可吸收产品，应当提供所用材料/物质与人体组织、细胞和体液之间相容性的研究资料。】</w:t>
      </w:r>
    </w:p>
    <w:p>
      <w:pPr>
        <w:pStyle w:val="2"/>
        <w:rPr>
          <w:rFonts w:hint="default"/>
          <w:lang w:val="en-US"/>
        </w:rPr>
      </w:pPr>
    </w:p>
    <w:p>
      <w:pPr>
        <w:pStyle w:val="2"/>
        <w:rPr>
          <w:rFonts w:hint="default"/>
          <w:lang w:val="en-US"/>
        </w:rPr>
      </w:pPr>
    </w:p>
    <w:p>
      <w:pPr>
        <w:pStyle w:val="2"/>
        <w:rPr>
          <w:rFonts w:hint="default"/>
          <w:lang w:val="en-US"/>
        </w:rPr>
      </w:pPr>
    </w:p>
    <w:p>
      <w:pPr>
        <w:pStyle w:val="2"/>
        <w:rPr>
          <w:rFonts w:hint="default"/>
          <w:lang w:val="en-US"/>
        </w:rPr>
      </w:pPr>
    </w:p>
    <w:p>
      <w:pPr>
        <w:pStyle w:val="2"/>
        <w:rPr>
          <w:rFonts w:hint="default"/>
          <w:lang w:val="en-US"/>
        </w:rPr>
      </w:pPr>
    </w:p>
    <w:p>
      <w:pPr>
        <w:pStyle w:val="2"/>
        <w:rPr>
          <w:rFonts w:hint="default"/>
          <w:lang w:val="en-US"/>
        </w:rPr>
      </w:pPr>
    </w:p>
    <w:p>
      <w:pPr>
        <w:pStyle w:val="2"/>
        <w:rPr>
          <w:rFonts w:hint="default"/>
          <w:lang w:val="en-US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  <w:t>生物源材料的安全性研究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本产品不含具有生物安全风险的动物源性材料或生物活性物质，故此项研究资料不适用。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【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对于含有同种异体材料、动物源性材料或生物活性物质等具有生物安全风险的产品，应当提供相应生物安全性研究资料。</w:t>
      </w:r>
    </w:p>
    <w:p>
      <w:pPr>
        <w:spacing w:line="560" w:lineRule="exact"/>
        <w:ind w:firstLine="482" w:firstLineChars="200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生物安全性研究资料应当包括：</w:t>
      </w:r>
    </w:p>
    <w:p>
      <w:pPr>
        <w:spacing w:line="560" w:lineRule="exact"/>
        <w:ind w:firstLine="482" w:firstLineChars="200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（1）相应材料或物质的情况，组织、细胞和材料的获取、加工、保存、测试和处理过程。</w:t>
      </w:r>
    </w:p>
    <w:p>
      <w:pPr>
        <w:spacing w:line="560" w:lineRule="exact"/>
        <w:ind w:firstLine="482" w:firstLineChars="200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（2）阐述来源，并说明生产过程中灭活和去除病毒和/或传染性因子的工艺过程，提供有效性验证数据或相关资料。</w:t>
      </w:r>
    </w:p>
    <w:p>
      <w:pPr>
        <w:spacing w:line="560" w:lineRule="exact"/>
        <w:ind w:firstLine="482" w:firstLineChars="200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（3）说明降低免疫原性物质的方法和/或工艺过程，提供质量控制指标与验证性实验数据或相关资料。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（4）支持生物源材料安全性的其他资料。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】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  <w:t>清洁、消毒、灭菌研究</w:t>
      </w:r>
    </w:p>
    <w:p>
      <w:pPr>
        <w:pStyle w:val="3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bookmarkStart w:id="0" w:name="_Toc25624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7.1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清洁、消毒研究</w:t>
      </w:r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 xml:space="preserve">   不适用，本产品属于一次性无菌产品，不涉及清洁、消毒。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bookmarkStart w:id="1" w:name="_Toc28760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7.2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灭菌研究</w:t>
      </w:r>
      <w:bookmarkEnd w:id="1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 xml:space="preserve">7.2.1 灭菌研究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(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我司产品出厂前经环氧乙烷灭菌，灭菌工艺和无菌保证水平符合相关法规标准。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灭菌验证方案和报告见附件3.5-7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)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【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生产企业灭菌：应当明确灭菌工艺（方法和参数）和无菌保证水平（SAL），并提供灭菌验证及确认的相关研究资料。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】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7.2.2 残留毒性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(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产品采用环氧乙烷灭菌，灭菌完成后，移出灭菌柜放置于解析间物料层架上，通过强制排风解析，解析时间为7天。出厂时，环氧乙烷残留量应不大于10μg/g，依据GB 18279.1-2015《医疗保健产品灭菌 环氧乙烷 第1部分：医疗器械灭菌过程的开发、确认和常规控制的要求》进行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控制，具体见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附件3.5-7及《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产品注册检验报告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)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  <w:t>动物试验研究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不适用。本产品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无动物研究试验研究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【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为避免开展不必要的动物试验，医疗器械是否开展动物试验研究应当进行科学决策，并提供论证/说明资料。经决策需通过动物试验研究验证/确认产品风险控制措施有效性的，应当提供动物试验研究资料，研究资料应当包括试验目的、实验动物信息、受试器械和对照信息、动物数量、评价指标和试验结果、动物试验设计要素的确定依据等内容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u w:val="none"/>
          <w:lang w:val="en-US" w:eastAsia="zh-CN" w:bidi="ar-SA"/>
        </w:rPr>
        <w:t>】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  <w:t>证明产品安全性、有效性的其他研究资料。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highlight w:val="none"/>
          <w:lang w:val="en-US" w:eastAsia="zh-CN" w:bidi="ar-SA"/>
        </w:rPr>
        <w:t>无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en-US" w:eastAsia="zh-CN" w:bidi="ar-SA"/>
        </w:rPr>
        <w:t>。</w:t>
      </w:r>
    </w:p>
    <w:p>
      <w:pPr>
        <w:spacing w:line="560" w:lineRule="exact"/>
        <w:jc w:val="both"/>
        <w:rPr>
          <w:rFonts w:eastAsia="楷体_GB2312"/>
          <w:bCs/>
          <w:color w:val="000000"/>
          <w:sz w:val="32"/>
          <w:szCs w:val="32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pStyle w:val="11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pStyle w:val="11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pStyle w:val="11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pStyle w:val="11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pStyle w:val="11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pStyle w:val="11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pStyle w:val="11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11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rPr>
          <w:rFonts w:hint="eastAsia"/>
          <w:color w:val="0000FF"/>
          <w:lang w:val="en-US" w:eastAsia="zh-CN"/>
        </w:rPr>
      </w:pPr>
    </w:p>
    <w:p>
      <w:pPr>
        <w:rPr>
          <w:rFonts w:hint="eastAsia"/>
          <w:color w:val="0000FF"/>
          <w:lang w:val="en-US" w:eastAsia="zh-CN"/>
        </w:rPr>
      </w:pPr>
    </w:p>
    <w:p>
      <w:pPr>
        <w:pStyle w:val="11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4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C697D"/>
    <w:multiLevelType w:val="multilevel"/>
    <w:tmpl w:val="1D4C69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3DD5C0D"/>
    <w:rsid w:val="04D55F72"/>
    <w:rsid w:val="19DA2300"/>
    <w:rsid w:val="1E907AE9"/>
    <w:rsid w:val="3492283C"/>
    <w:rsid w:val="3B07083A"/>
    <w:rsid w:val="42491C0F"/>
    <w:rsid w:val="46561FD1"/>
    <w:rsid w:val="4B950155"/>
    <w:rsid w:val="543A6A17"/>
    <w:rsid w:val="5854681A"/>
    <w:rsid w:val="5B3D4524"/>
    <w:rsid w:val="638C3F6B"/>
    <w:rsid w:val="73041C9C"/>
    <w:rsid w:val="7E186F95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41"/>
    <w:basedOn w:val="9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2023-04-20T04:05:11Z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