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hint="eastAsia" w:ascii="宋体" w:hAnsi="宋体" w:eastAsia="宋体" w:cs="宋体"/>
          <w:b/>
          <w:bCs/>
          <w:i w:val="0"/>
          <w:iCs w:val="0"/>
          <w:color w:val="auto"/>
          <w:kern w:val="0"/>
          <w:sz w:val="24"/>
          <w:szCs w:val="24"/>
          <w:lang w:val="en-US" w:eastAsia="zh-CN" w:bidi="ar-SA"/>
        </w:rPr>
      </w:pPr>
    </w:p>
    <w:p>
      <w:pPr>
        <w:pStyle w:val="9"/>
        <w:rPr>
          <w:rFonts w:hint="eastAsia" w:ascii="宋体" w:hAnsi="宋体" w:eastAsia="宋体" w:cs="宋体"/>
          <w:b/>
          <w:bCs/>
          <w:i w:val="0"/>
          <w:iCs w:val="0"/>
          <w:color w:val="auto"/>
          <w:kern w:val="0"/>
          <w:sz w:val="24"/>
          <w:szCs w:val="24"/>
          <w:lang w:val="en-US" w:eastAsia="zh-CN" w:bidi="ar-SA"/>
        </w:rPr>
      </w:pPr>
    </w:p>
    <w:p>
      <w:pPr>
        <w:pStyle w:val="9"/>
        <w:rPr>
          <w:rFonts w:hint="eastAsia" w:ascii="宋体" w:hAnsi="宋体" w:eastAsia="宋体" w:cs="宋体"/>
          <w:b/>
          <w:bCs/>
          <w:i w:val="0"/>
          <w:iCs w:val="0"/>
          <w:color w:val="auto"/>
          <w:kern w:val="0"/>
          <w:sz w:val="24"/>
          <w:szCs w:val="24"/>
          <w:lang w:val="en-US" w:eastAsia="zh-CN" w:bidi="ar-SA"/>
        </w:rPr>
      </w:pPr>
    </w:p>
    <w:p>
      <w:pPr>
        <w:pStyle w:val="9"/>
        <w:rPr>
          <w:rFonts w:hint="eastAsia" w:ascii="宋体" w:hAnsi="宋体" w:eastAsia="宋体" w:cs="宋体"/>
          <w:b/>
          <w:bCs/>
          <w:i w:val="0"/>
          <w:iCs w:val="0"/>
          <w:color w:val="auto"/>
          <w:kern w:val="0"/>
          <w:sz w:val="24"/>
          <w:szCs w:val="24"/>
          <w:lang w:val="en-US" w:eastAsia="zh-CN" w:bidi="ar-SA"/>
        </w:rPr>
      </w:pPr>
    </w:p>
    <w:p>
      <w:pPr>
        <w:spacing w:line="560" w:lineRule="exact"/>
        <w:ind w:firstLine="640" w:firstLineChars="200"/>
        <w:jc w:val="center"/>
        <w:rPr>
          <w:rFonts w:eastAsia="楷体_GB2312"/>
          <w:bCs/>
          <w:color w:val="000000"/>
          <w:sz w:val="32"/>
          <w:szCs w:val="32"/>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b/>
          <w:bCs w:val="0"/>
          <w:kern w:val="44"/>
          <w:sz w:val="44"/>
          <w:szCs w:val="44"/>
          <w:lang w:val="en-US" w:eastAsia="zh-CN"/>
        </w:rPr>
      </w:pPr>
      <w:r>
        <w:rPr>
          <w:rFonts w:hint="eastAsia" w:ascii="黑体" w:hAnsi="黑体" w:eastAsia="黑体" w:cs="黑体"/>
          <w:b/>
          <w:bCs w:val="0"/>
          <w:kern w:val="44"/>
          <w:sz w:val="44"/>
          <w:szCs w:val="44"/>
          <w:lang w:val="en-US" w:eastAsia="zh-CN"/>
        </w:rPr>
        <w:t>3.4产品技术要求及检验报告</w:t>
      </w:r>
    </w:p>
    <w:p>
      <w:pPr>
        <w:spacing w:line="560" w:lineRule="exact"/>
        <w:ind w:firstLine="640" w:firstLineChars="200"/>
        <w:jc w:val="center"/>
        <w:rPr>
          <w:rFonts w:eastAsia="楷体_GB2312"/>
          <w:bCs/>
          <w:color w:val="000000"/>
          <w:sz w:val="32"/>
          <w:szCs w:val="32"/>
        </w:rPr>
      </w:pPr>
    </w:p>
    <w:p>
      <w:pPr>
        <w:pStyle w:val="9"/>
        <w:rPr>
          <w:rFonts w:eastAsia="楷体_GB2312"/>
          <w:bCs/>
          <w:color w:val="000000"/>
          <w:sz w:val="32"/>
          <w:szCs w:val="32"/>
        </w:rPr>
      </w:pPr>
    </w:p>
    <w:p>
      <w:pPr>
        <w:pStyle w:val="9"/>
        <w:rPr>
          <w:rFonts w:eastAsia="楷体_GB2312"/>
          <w:bCs/>
          <w:color w:val="000000"/>
          <w:sz w:val="32"/>
          <w:szCs w:val="32"/>
        </w:rPr>
      </w:pPr>
    </w:p>
    <w:p>
      <w:pPr>
        <w:pStyle w:val="9"/>
        <w:rPr>
          <w:rFonts w:eastAsia="楷体_GB2312"/>
          <w:bCs/>
          <w:color w:val="000000"/>
          <w:sz w:val="32"/>
          <w:szCs w:val="32"/>
        </w:rPr>
      </w:pPr>
    </w:p>
    <w:p>
      <w:pPr>
        <w:pStyle w:val="9"/>
        <w:rPr>
          <w:rFonts w:eastAsia="楷体_GB2312"/>
          <w:bCs/>
          <w:color w:val="000000"/>
          <w:sz w:val="32"/>
          <w:szCs w:val="32"/>
        </w:rPr>
      </w:pPr>
    </w:p>
    <w:p>
      <w:pPr>
        <w:spacing w:line="360" w:lineRule="auto"/>
        <w:ind w:firstLine="640"/>
        <w:jc w:val="left"/>
        <w:rPr>
          <w:rFonts w:hint="eastAsia" w:ascii="宋体" w:hAnsi="宋体" w:eastAsia="宋体" w:cs="宋体"/>
          <w:b/>
          <w:bCs/>
          <w:color w:val="auto"/>
          <w:sz w:val="28"/>
          <w:szCs w:val="28"/>
        </w:rPr>
      </w:pPr>
      <w:r>
        <w:rPr>
          <w:rFonts w:hint="eastAsia" w:ascii="宋体" w:hAnsi="宋体" w:eastAsia="宋体" w:cs="宋体"/>
          <w:sz w:val="28"/>
          <w:szCs w:val="28"/>
          <w:lang w:eastAsia="zh-CN"/>
        </w:rPr>
        <w:t>产品名称：</w:t>
      </w:r>
      <w:r>
        <w:rPr>
          <w:rFonts w:hint="eastAsia" w:ascii="宋体" w:hAnsi="宋体" w:eastAsia="宋体" w:cs="宋体"/>
          <w:b/>
          <w:bCs/>
          <w:i/>
          <w:iCs/>
          <w:color w:val="0000FF"/>
          <w:sz w:val="28"/>
          <w:szCs w:val="28"/>
          <w:lang w:eastAsia="zh-CN"/>
        </w:rPr>
        <w:t>{</w:t>
      </w:r>
      <w:r>
        <w:rPr>
          <w:rFonts w:hint="eastAsia" w:ascii="宋体" w:hAnsi="宋体" w:cs="宋体"/>
          <w:b/>
          <w:bCs/>
          <w:i/>
          <w:iCs/>
          <w:color w:val="0000FF"/>
          <w:sz w:val="28"/>
          <w:szCs w:val="28"/>
          <w:lang w:eastAsia="zh-CN"/>
        </w:rPr>
        <w:t>填写产品名称</w:t>
      </w:r>
      <w:r>
        <w:rPr>
          <w:rFonts w:hint="eastAsia" w:ascii="宋体" w:hAnsi="宋体" w:eastAsia="宋体" w:cs="宋体"/>
          <w:b/>
          <w:bCs/>
          <w:i/>
          <w:iCs/>
          <w:color w:val="0000FF"/>
          <w:sz w:val="28"/>
          <w:szCs w:val="28"/>
          <w:lang w:eastAsia="zh-CN"/>
        </w:rPr>
        <w:t>}</w:t>
      </w:r>
    </w:p>
    <w:p>
      <w:pPr>
        <w:spacing w:line="360" w:lineRule="auto"/>
        <w:ind w:left="2038" w:leftChars="304" w:hanging="1400" w:hangingChars="500"/>
        <w:jc w:val="left"/>
        <w:rPr>
          <w:rFonts w:hint="eastAsia" w:ascii="宋体" w:hAnsi="宋体" w:eastAsia="宋体" w:cs="宋体"/>
          <w:b/>
          <w:bCs/>
          <w:color w:val="auto"/>
          <w:sz w:val="28"/>
          <w:szCs w:val="28"/>
        </w:rPr>
      </w:pPr>
      <w:r>
        <w:rPr>
          <w:rFonts w:hint="eastAsia" w:ascii="宋体" w:hAnsi="宋体" w:eastAsia="宋体" w:cs="宋体"/>
          <w:sz w:val="28"/>
          <w:szCs w:val="28"/>
          <w:lang w:eastAsia="zh-CN"/>
        </w:rPr>
        <w:t>产品型号：</w:t>
      </w:r>
      <w:r>
        <w:rPr>
          <w:rFonts w:hint="eastAsia" w:ascii="宋体" w:hAnsi="宋体" w:eastAsia="宋体" w:cs="宋体"/>
          <w:b/>
          <w:bCs/>
          <w:i/>
          <w:iCs/>
          <w:color w:val="0000FF"/>
          <w:sz w:val="28"/>
          <w:szCs w:val="28"/>
          <w:lang w:val="en-US" w:eastAsia="zh-CN"/>
        </w:rPr>
        <w:t>{</w:t>
      </w:r>
      <w:r>
        <w:rPr>
          <w:rFonts w:hint="eastAsia" w:ascii="宋体" w:hAnsi="宋体" w:cs="宋体"/>
          <w:b/>
          <w:bCs/>
          <w:i/>
          <w:iCs/>
          <w:color w:val="0000FF"/>
          <w:sz w:val="28"/>
          <w:szCs w:val="28"/>
          <w:lang w:val="en-US" w:eastAsia="zh-CN"/>
        </w:rPr>
        <w:t>填写产品型号</w:t>
      </w:r>
      <w:r>
        <w:rPr>
          <w:rFonts w:hint="eastAsia" w:ascii="宋体" w:hAnsi="宋体" w:eastAsia="宋体" w:cs="宋体"/>
          <w:b/>
          <w:bCs/>
          <w:i/>
          <w:iCs/>
          <w:color w:val="0000FF"/>
          <w:sz w:val="28"/>
          <w:szCs w:val="28"/>
          <w:lang w:val="en-US" w:eastAsia="zh-CN"/>
        </w:rPr>
        <w:t>}</w:t>
      </w:r>
    </w:p>
    <w:p>
      <w:pPr>
        <w:spacing w:line="360" w:lineRule="auto"/>
        <w:ind w:firstLine="640"/>
        <w:jc w:val="left"/>
        <w:rPr>
          <w:rFonts w:hint="eastAsia" w:ascii="宋体" w:hAnsi="宋体" w:eastAsia="宋体" w:cs="宋体"/>
          <w:sz w:val="24"/>
          <w:szCs w:val="24"/>
        </w:rPr>
      </w:pPr>
    </w:p>
    <w:p>
      <w:pPr>
        <w:spacing w:line="360" w:lineRule="auto"/>
        <w:ind w:firstLine="640"/>
        <w:jc w:val="left"/>
        <w:rPr>
          <w:rFonts w:hint="eastAsia" w:ascii="宋体" w:hAnsi="宋体" w:eastAsia="宋体" w:cs="宋体"/>
          <w:sz w:val="24"/>
          <w:szCs w:val="24"/>
        </w:rPr>
      </w:pPr>
    </w:p>
    <w:p>
      <w:pPr>
        <w:spacing w:line="360" w:lineRule="auto"/>
        <w:ind w:firstLine="640"/>
        <w:jc w:val="left"/>
        <w:rPr>
          <w:rFonts w:hint="eastAsia" w:ascii="宋体" w:hAnsi="宋体" w:eastAsia="宋体" w:cs="宋体"/>
          <w:sz w:val="28"/>
          <w:szCs w:val="28"/>
          <w:u w:val="single"/>
        </w:rPr>
      </w:pPr>
      <w:r>
        <w:rPr>
          <w:rFonts w:hint="eastAsia" w:ascii="宋体" w:hAnsi="宋体" w:eastAsia="宋体" w:cs="宋体"/>
          <w:sz w:val="28"/>
          <w:szCs w:val="28"/>
        </w:rPr>
        <w:t>编制：</w:t>
      </w:r>
      <w:r>
        <w:rPr>
          <w:rFonts w:hint="eastAsia" w:ascii="宋体" w:hAnsi="宋体" w:eastAsia="宋体" w:cs="宋体"/>
          <w:sz w:val="28"/>
          <w:szCs w:val="28"/>
          <w:u w:val="single"/>
        </w:rPr>
        <w:t xml:space="preserve">                  </w:t>
      </w:r>
      <w:r>
        <w:rPr>
          <w:rFonts w:hint="eastAsia" w:ascii="宋体" w:hAnsi="宋体" w:eastAsia="宋体" w:cs="宋体"/>
          <w:sz w:val="28"/>
          <w:szCs w:val="28"/>
        </w:rPr>
        <w:t>日期：</w:t>
      </w:r>
      <w:r>
        <w:rPr>
          <w:rFonts w:hint="eastAsia" w:ascii="宋体" w:hAnsi="宋体" w:eastAsia="宋体" w:cs="宋体"/>
          <w:sz w:val="28"/>
          <w:szCs w:val="28"/>
          <w:u w:val="single"/>
        </w:rPr>
        <w:t xml:space="preserve">                  </w:t>
      </w:r>
    </w:p>
    <w:p>
      <w:pPr>
        <w:spacing w:line="360" w:lineRule="auto"/>
        <w:ind w:firstLine="640"/>
        <w:jc w:val="both"/>
        <w:rPr>
          <w:rFonts w:hint="eastAsia" w:ascii="宋体" w:hAnsi="宋体" w:eastAsia="宋体" w:cs="宋体"/>
          <w:sz w:val="28"/>
          <w:szCs w:val="28"/>
          <w:u w:val="single"/>
        </w:rPr>
      </w:pPr>
      <w:r>
        <w:rPr>
          <w:rFonts w:hint="eastAsia" w:ascii="宋体" w:hAnsi="宋体" w:cs="宋体"/>
          <w:sz w:val="28"/>
          <w:szCs w:val="28"/>
          <w:lang w:val="en-US" w:eastAsia="zh-CN"/>
        </w:rPr>
        <w:t>审批</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rPr>
        <w:t>日期：</w:t>
      </w:r>
      <w:r>
        <w:rPr>
          <w:rFonts w:hint="eastAsia" w:ascii="宋体" w:hAnsi="宋体" w:eastAsia="宋体" w:cs="宋体"/>
          <w:sz w:val="28"/>
          <w:szCs w:val="28"/>
          <w:u w:val="single"/>
        </w:rPr>
        <w:t xml:space="preserve">                  </w:t>
      </w:r>
    </w:p>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eastAsia="zh-CN"/>
        </w:rPr>
      </w:pPr>
    </w:p>
    <w:p>
      <w:pPr>
        <w:pStyle w:val="2"/>
        <w:rPr>
          <w:rFonts w:hint="eastAsia" w:ascii="宋体" w:hAnsi="宋体" w:eastAsia="宋体" w:cs="宋体"/>
          <w:b/>
          <w:bCs/>
          <w:kern w:val="0"/>
          <w:sz w:val="28"/>
          <w:szCs w:val="28"/>
          <w:lang w:eastAsia="zh-CN"/>
        </w:rPr>
      </w:pPr>
    </w:p>
    <w:p>
      <w:pPr>
        <w:pStyle w:val="2"/>
        <w:rPr>
          <w:rFonts w:hint="eastAsia" w:ascii="宋体" w:hAnsi="宋体" w:eastAsia="宋体" w:cs="宋体"/>
          <w:b/>
          <w:bCs/>
          <w:kern w:val="0"/>
          <w:sz w:val="28"/>
          <w:szCs w:val="28"/>
          <w:lang w:eastAsia="zh-CN"/>
        </w:rPr>
      </w:pPr>
    </w:p>
    <w:p>
      <w:pPr>
        <w:pStyle w:val="9"/>
        <w:rPr>
          <w:rFonts w:hint="eastAsia" w:ascii="宋体" w:hAnsi="宋体" w:eastAsia="宋体" w:cs="宋体"/>
          <w:lang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kern w:val="0"/>
          <w:sz w:val="28"/>
          <w:szCs w:val="28"/>
          <w:lang w:eastAsia="zh-CN"/>
        </w:rPr>
      </w:pPr>
    </w:p>
    <w:p>
      <w:pPr>
        <w:pStyle w:val="2"/>
        <w:rPr>
          <w:rFonts w:hint="eastAsia"/>
          <w:lang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default" w:ascii="宋体" w:hAnsi="宋体" w:eastAsia="宋体" w:cs="宋体"/>
          <w:i/>
          <w:iCs/>
          <w:color w:val="0000FF"/>
          <w:lang w:val="en-US" w:eastAsia="zh-CN"/>
        </w:rPr>
      </w:pPr>
      <w:r>
        <w:rPr>
          <w:rFonts w:hint="eastAsia" w:ascii="宋体" w:hAnsi="宋体" w:cs="宋体"/>
          <w:b/>
          <w:bCs/>
          <w:i/>
          <w:iCs/>
          <w:color w:val="0000FF"/>
          <w:kern w:val="0"/>
          <w:sz w:val="28"/>
          <w:szCs w:val="28"/>
          <w:lang w:val="en-US" w:eastAsia="zh-CN"/>
        </w:rPr>
        <w:t>{填写申报企业公司名称}</w:t>
      </w:r>
    </w:p>
    <w:p>
      <w:pPr>
        <w:pStyle w:val="9"/>
        <w:jc w:val="center"/>
        <w:rPr>
          <w:rFonts w:hint="eastAsia" w:ascii="宋体" w:hAnsi="宋体" w:eastAsia="宋体" w:cs="宋体"/>
          <w:b/>
          <w:bCs/>
          <w:kern w:val="0"/>
          <w:sz w:val="28"/>
          <w:szCs w:val="28"/>
          <w:lang w:val="en-US" w:eastAsia="zh-CN"/>
        </w:rPr>
      </w:pPr>
    </w:p>
    <w:p>
      <w:pPr>
        <w:pStyle w:val="2"/>
        <w:rPr>
          <w:rFonts w:eastAsia="楷体_GB2312"/>
          <w:bCs/>
          <w:color w:val="000000"/>
          <w:sz w:val="32"/>
          <w:szCs w:val="32"/>
        </w:rPr>
      </w:pPr>
    </w:p>
    <w:p>
      <w:pPr>
        <w:numPr>
          <w:ilvl w:val="0"/>
          <w:numId w:val="1"/>
        </w:numPr>
        <w:overflowPunct w:val="0"/>
        <w:spacing w:line="360" w:lineRule="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申报产品适用标准情况</w:t>
      </w:r>
    </w:p>
    <w:p>
      <w:pPr>
        <w:pStyle w:val="2"/>
        <w:rPr>
          <w:rFonts w:hint="default"/>
          <w:b/>
          <w:bCs/>
          <w:i/>
          <w:iCs/>
          <w:color w:val="0000FF"/>
          <w:lang w:val="en-US" w:eastAsia="zh-CN"/>
        </w:rPr>
      </w:pPr>
      <w:r>
        <w:rPr>
          <w:rFonts w:hint="eastAsia"/>
          <w:b/>
          <w:bCs/>
          <w:i/>
          <w:iCs/>
          <w:color w:val="0000FF"/>
          <w:lang w:val="en-US" w:eastAsia="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5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eastAsia="宋体" w:cs="Times New Roman"/>
                <w:b/>
                <w:bCs/>
                <w:i/>
                <w:iCs/>
                <w:color w:val="0000FF"/>
                <w:kern w:val="2"/>
                <w:sz w:val="24"/>
                <w:szCs w:val="24"/>
                <w:lang w:val="en-US" w:eastAsia="zh-CN" w:bidi="ar-SA"/>
              </w:rPr>
            </w:pPr>
            <w:r>
              <w:rPr>
                <w:rFonts w:hint="default" w:ascii="Times New Roman" w:hAnsi="Times New Roman" w:eastAsia="宋体" w:cs="Times New Roman"/>
                <w:b/>
                <w:bCs/>
                <w:i/>
                <w:iCs/>
                <w:color w:val="0000FF"/>
                <w:sz w:val="24"/>
                <w:szCs w:val="24"/>
              </w:rPr>
              <w:t>标准编号</w:t>
            </w:r>
          </w:p>
        </w:tc>
        <w:tc>
          <w:tcPr>
            <w:tcW w:w="5952"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eastAsia="宋体" w:cs="Times New Roman"/>
                <w:b/>
                <w:bCs/>
                <w:i/>
                <w:iCs/>
                <w:color w:val="0000FF"/>
                <w:kern w:val="2"/>
                <w:sz w:val="24"/>
                <w:szCs w:val="24"/>
                <w:lang w:val="en-US" w:eastAsia="zh-CN" w:bidi="ar-SA"/>
              </w:rPr>
            </w:pPr>
            <w:r>
              <w:rPr>
                <w:rFonts w:hint="default" w:ascii="Times New Roman" w:hAnsi="Times New Roman" w:eastAsia="宋体" w:cs="Times New Roman"/>
                <w:b/>
                <w:bCs/>
                <w:i/>
                <w:iCs/>
                <w:color w:val="0000FF"/>
                <w:sz w:val="24"/>
                <w:szCs w:val="24"/>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default" w:ascii="Times New Roman" w:hAnsi="Times New Roman" w:eastAsia="宋体" w:cs="Times New Roman"/>
                <w:b/>
                <w:bCs/>
                <w:i/>
                <w:iCs/>
                <w:color w:val="0000FF"/>
                <w:kern w:val="2"/>
                <w:sz w:val="24"/>
                <w:szCs w:val="24"/>
                <w:lang w:val="en-US" w:eastAsia="zh-CN" w:bidi="ar-SA"/>
              </w:rPr>
            </w:pPr>
            <w:r>
              <w:rPr>
                <w:rFonts w:hint="default" w:ascii="Times New Roman" w:hAnsi="Times New Roman" w:eastAsia="宋体" w:cs="Times New Roman"/>
                <w:b/>
                <w:bCs/>
                <w:i/>
                <w:iCs/>
                <w:color w:val="0000FF"/>
                <w:sz w:val="24"/>
                <w:szCs w:val="24"/>
              </w:rPr>
              <w:t>GB/T 191—2008</w:t>
            </w:r>
          </w:p>
        </w:tc>
        <w:tc>
          <w:tcPr>
            <w:tcW w:w="5952"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b/>
                <w:bCs/>
                <w:i/>
                <w:iCs/>
                <w:color w:val="0000FF"/>
                <w:kern w:val="2"/>
                <w:sz w:val="24"/>
                <w:szCs w:val="24"/>
                <w:lang w:val="en-US" w:eastAsia="zh-CN" w:bidi="ar-SA"/>
              </w:rPr>
            </w:pPr>
            <w:r>
              <w:rPr>
                <w:rFonts w:hint="default" w:ascii="Times New Roman" w:hAnsi="Times New Roman" w:eastAsia="宋体" w:cs="Times New Roman"/>
                <w:b/>
                <w:bCs/>
                <w:i/>
                <w:iCs/>
                <w:color w:val="0000FF"/>
                <w:sz w:val="24"/>
                <w:szCs w:val="24"/>
              </w:rPr>
              <w:t>《包装储运图示标志》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default" w:ascii="Times New Roman" w:hAnsi="Times New Roman" w:eastAsia="宋体" w:cs="Times New Roman"/>
                <w:b/>
                <w:bCs/>
                <w:i/>
                <w:iCs/>
                <w:color w:val="0000FF"/>
                <w:kern w:val="2"/>
                <w:sz w:val="24"/>
                <w:szCs w:val="24"/>
                <w:lang w:val="en-US" w:eastAsia="zh-CN" w:bidi="ar-SA"/>
              </w:rPr>
            </w:pPr>
            <w:r>
              <w:rPr>
                <w:rFonts w:hint="default" w:ascii="Times New Roman" w:hAnsi="Times New Roman" w:eastAsia="宋体" w:cs="Times New Roman"/>
                <w:b/>
                <w:bCs/>
                <w:i/>
                <w:iCs/>
                <w:color w:val="0000FF"/>
                <w:sz w:val="24"/>
                <w:szCs w:val="24"/>
              </w:rPr>
              <w:t>GB/T 16886.1—2011</w:t>
            </w:r>
          </w:p>
        </w:tc>
        <w:tc>
          <w:tcPr>
            <w:tcW w:w="5952"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b/>
                <w:bCs/>
                <w:i/>
                <w:iCs/>
                <w:color w:val="0000FF"/>
                <w:kern w:val="2"/>
                <w:sz w:val="24"/>
                <w:szCs w:val="24"/>
                <w:lang w:val="en-US" w:eastAsia="zh-CN" w:bidi="ar-SA"/>
              </w:rPr>
            </w:pPr>
            <w:r>
              <w:rPr>
                <w:rFonts w:hint="default" w:ascii="Times New Roman" w:hAnsi="Times New Roman" w:eastAsia="宋体" w:cs="Times New Roman"/>
                <w:b/>
                <w:bCs/>
                <w:i/>
                <w:iCs/>
                <w:color w:val="0000FF"/>
                <w:sz w:val="24"/>
                <w:szCs w:val="24"/>
              </w:rPr>
              <w:t>《医疗器械生物学评价第1部分：风险管理过程中的评价与试验》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b/>
                <w:bCs/>
                <w:i/>
                <w:iCs/>
                <w:color w:val="0000FF"/>
                <w:kern w:val="2"/>
                <w:sz w:val="24"/>
                <w:szCs w:val="24"/>
                <w:lang w:val="en-US" w:eastAsia="zh-CN" w:bidi="ar-SA"/>
              </w:rPr>
            </w:pPr>
            <w:r>
              <w:rPr>
                <w:rFonts w:hint="default" w:ascii="Times New Roman" w:hAnsi="Times New Roman" w:eastAsia="宋体" w:cs="Times New Roman"/>
                <w:b/>
                <w:bCs/>
                <w:i/>
                <w:iCs/>
                <w:color w:val="0000FF"/>
                <w:sz w:val="24"/>
                <w:szCs w:val="24"/>
              </w:rPr>
              <w:t>GB/T16886.5—201</w:t>
            </w:r>
            <w:r>
              <w:rPr>
                <w:rFonts w:hint="default" w:ascii="Times New Roman" w:hAnsi="Times New Roman" w:eastAsia="宋体" w:cs="Times New Roman"/>
                <w:b/>
                <w:bCs/>
                <w:i/>
                <w:iCs/>
                <w:color w:val="0000FF"/>
                <w:sz w:val="24"/>
                <w:szCs w:val="24"/>
                <w:lang w:val="en-US" w:eastAsia="zh-CN"/>
              </w:rPr>
              <w:t>7</w:t>
            </w:r>
          </w:p>
        </w:tc>
        <w:tc>
          <w:tcPr>
            <w:tcW w:w="5952"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b/>
                <w:bCs/>
                <w:i/>
                <w:iCs/>
                <w:color w:val="0000FF"/>
                <w:kern w:val="2"/>
                <w:sz w:val="24"/>
                <w:szCs w:val="24"/>
                <w:lang w:val="en-US" w:eastAsia="zh-CN" w:bidi="ar-SA"/>
              </w:rPr>
            </w:pPr>
            <w:r>
              <w:rPr>
                <w:rFonts w:hint="default" w:ascii="Times New Roman" w:hAnsi="Times New Roman" w:eastAsia="宋体" w:cs="Times New Roman"/>
                <w:b/>
                <w:bCs/>
                <w:i/>
                <w:iCs/>
                <w:color w:val="0000FF"/>
                <w:sz w:val="24"/>
                <w:szCs w:val="24"/>
              </w:rPr>
              <w:t>《医疗器械生物学评价第5部分：体外细胞毒性试验》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b/>
                <w:bCs/>
                <w:i/>
                <w:iCs/>
                <w:color w:val="0000FF"/>
                <w:kern w:val="2"/>
                <w:sz w:val="24"/>
                <w:szCs w:val="24"/>
                <w:lang w:val="en-US" w:eastAsia="zh-CN" w:bidi="ar-SA"/>
              </w:rPr>
            </w:pPr>
            <w:r>
              <w:rPr>
                <w:rFonts w:hint="default" w:ascii="Times New Roman" w:hAnsi="Times New Roman" w:eastAsia="宋体" w:cs="Times New Roman"/>
                <w:b/>
                <w:bCs/>
                <w:i/>
                <w:iCs/>
                <w:color w:val="0000FF"/>
                <w:sz w:val="24"/>
                <w:szCs w:val="24"/>
              </w:rPr>
              <w:t>GB/T16886.10—201</w:t>
            </w:r>
            <w:r>
              <w:rPr>
                <w:rFonts w:hint="default" w:ascii="Times New Roman" w:hAnsi="Times New Roman" w:eastAsia="宋体" w:cs="Times New Roman"/>
                <w:b/>
                <w:bCs/>
                <w:i/>
                <w:iCs/>
                <w:color w:val="0000FF"/>
                <w:sz w:val="24"/>
                <w:szCs w:val="24"/>
                <w:lang w:val="en-US" w:eastAsia="zh-CN"/>
              </w:rPr>
              <w:t>7</w:t>
            </w:r>
          </w:p>
        </w:tc>
        <w:tc>
          <w:tcPr>
            <w:tcW w:w="5952"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b/>
                <w:bCs/>
                <w:i/>
                <w:iCs/>
                <w:color w:val="0000FF"/>
                <w:kern w:val="2"/>
                <w:sz w:val="24"/>
                <w:szCs w:val="24"/>
                <w:lang w:val="en-US" w:eastAsia="zh-CN" w:bidi="ar-SA"/>
              </w:rPr>
            </w:pPr>
            <w:r>
              <w:rPr>
                <w:rFonts w:hint="default" w:ascii="Times New Roman" w:hAnsi="Times New Roman" w:eastAsia="宋体" w:cs="Times New Roman"/>
                <w:b/>
                <w:bCs/>
                <w:i/>
                <w:iCs/>
                <w:color w:val="0000FF"/>
                <w:sz w:val="24"/>
                <w:szCs w:val="24"/>
              </w:rPr>
              <w:t>《医疗器械生物学评价第10部分：刺激与迟发型超敏反应试验》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b/>
                <w:bCs/>
                <w:i/>
                <w:iCs/>
                <w:color w:val="0000FF"/>
                <w:kern w:val="2"/>
                <w:sz w:val="24"/>
                <w:szCs w:val="24"/>
                <w:lang w:val="en-US" w:eastAsia="zh-CN" w:bidi="ar-SA"/>
              </w:rPr>
            </w:pPr>
            <w:r>
              <w:rPr>
                <w:rFonts w:hint="default" w:ascii="Times New Roman" w:hAnsi="Times New Roman" w:eastAsia="宋体" w:cs="Times New Roman"/>
                <w:b/>
                <w:bCs/>
                <w:i/>
                <w:iCs/>
                <w:color w:val="0000FF"/>
                <w:sz w:val="24"/>
                <w:szCs w:val="24"/>
              </w:rPr>
              <w:t>GB/T 16886.7-2015</w:t>
            </w:r>
          </w:p>
        </w:tc>
        <w:tc>
          <w:tcPr>
            <w:tcW w:w="5952"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b/>
                <w:bCs/>
                <w:i/>
                <w:iCs/>
                <w:color w:val="0000FF"/>
                <w:kern w:val="2"/>
                <w:sz w:val="24"/>
                <w:szCs w:val="24"/>
                <w:lang w:val="en-US" w:eastAsia="zh-CN" w:bidi="ar-SA"/>
              </w:rPr>
            </w:pPr>
            <w:r>
              <w:rPr>
                <w:rFonts w:hint="default" w:ascii="Times New Roman" w:hAnsi="Times New Roman" w:eastAsia="宋体" w:cs="Times New Roman"/>
                <w:b/>
                <w:bCs/>
                <w:i/>
                <w:iCs/>
                <w:color w:val="0000FF"/>
                <w:sz w:val="24"/>
                <w:szCs w:val="24"/>
              </w:rPr>
              <w:t>医疗器械生物学评价 第7部分：环氧乙烷灭菌残留量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b/>
                <w:bCs/>
                <w:i/>
                <w:iCs/>
                <w:color w:val="0000FF"/>
                <w:kern w:val="2"/>
                <w:sz w:val="24"/>
                <w:szCs w:val="24"/>
                <w:lang w:val="en-US" w:eastAsia="zh-CN" w:bidi="ar-SA"/>
              </w:rPr>
            </w:pPr>
            <w:r>
              <w:rPr>
                <w:rFonts w:hint="default" w:ascii="Times New Roman" w:hAnsi="Times New Roman" w:eastAsia="宋体" w:cs="Times New Roman"/>
                <w:b/>
                <w:bCs/>
                <w:i/>
                <w:iCs/>
                <w:color w:val="0000FF"/>
                <w:sz w:val="24"/>
                <w:szCs w:val="24"/>
              </w:rPr>
              <w:t>YY/T 0316</w:t>
            </w:r>
            <w:r>
              <w:rPr>
                <w:rFonts w:hint="eastAsia" w:ascii="Times New Roman" w:hAnsi="Times New Roman" w:eastAsia="宋体" w:cs="Times New Roman"/>
                <w:b/>
                <w:bCs/>
                <w:i/>
                <w:iCs/>
                <w:color w:val="0000FF"/>
                <w:sz w:val="24"/>
                <w:szCs w:val="24"/>
                <w:lang w:val="en-US" w:eastAsia="zh-CN"/>
              </w:rPr>
              <w:t>-</w:t>
            </w:r>
            <w:r>
              <w:rPr>
                <w:rFonts w:hint="default" w:ascii="Times New Roman" w:hAnsi="Times New Roman" w:eastAsia="宋体" w:cs="Times New Roman"/>
                <w:b/>
                <w:bCs/>
                <w:i/>
                <w:iCs/>
                <w:color w:val="0000FF"/>
                <w:sz w:val="24"/>
                <w:szCs w:val="24"/>
              </w:rPr>
              <w:t>2016</w:t>
            </w:r>
          </w:p>
        </w:tc>
        <w:tc>
          <w:tcPr>
            <w:tcW w:w="5952"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b/>
                <w:bCs/>
                <w:i/>
                <w:iCs/>
                <w:color w:val="0000FF"/>
                <w:kern w:val="2"/>
                <w:sz w:val="24"/>
                <w:szCs w:val="24"/>
                <w:lang w:val="en-US" w:eastAsia="zh-CN" w:bidi="ar-SA"/>
              </w:rPr>
            </w:pPr>
            <w:r>
              <w:rPr>
                <w:rFonts w:hint="default" w:ascii="Times New Roman" w:hAnsi="Times New Roman" w:eastAsia="宋体" w:cs="Times New Roman"/>
                <w:b/>
                <w:bCs/>
                <w:i/>
                <w:iCs/>
                <w:color w:val="0000FF"/>
                <w:sz w:val="24"/>
                <w:szCs w:val="24"/>
              </w:rPr>
              <w:t>《医疗器械风险管理对医疗器械的应用》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default" w:ascii="Times New Roman" w:hAnsi="Times New Roman" w:eastAsia="宋体" w:cs="Times New Roman"/>
                <w:b/>
                <w:bCs/>
                <w:i/>
                <w:iCs/>
                <w:color w:val="0000FF"/>
                <w:kern w:val="2"/>
                <w:sz w:val="24"/>
                <w:szCs w:val="24"/>
                <w:lang w:val="en-US" w:eastAsia="zh-CN" w:bidi="ar-SA"/>
              </w:rPr>
            </w:pPr>
            <w:r>
              <w:rPr>
                <w:rFonts w:hint="default" w:ascii="Times New Roman" w:hAnsi="Times New Roman" w:eastAsia="宋体" w:cs="Times New Roman"/>
                <w:b/>
                <w:bCs/>
                <w:i/>
                <w:iCs/>
                <w:color w:val="0000FF"/>
                <w:sz w:val="24"/>
                <w:szCs w:val="24"/>
              </w:rPr>
              <w:t>YY/T 0466.1</w:t>
            </w:r>
            <w:r>
              <w:rPr>
                <w:rFonts w:hint="eastAsia" w:ascii="Times New Roman" w:hAnsi="Times New Roman" w:eastAsia="宋体" w:cs="Times New Roman"/>
                <w:b/>
                <w:bCs/>
                <w:i/>
                <w:iCs/>
                <w:color w:val="0000FF"/>
                <w:sz w:val="24"/>
                <w:szCs w:val="24"/>
                <w:lang w:val="en-US" w:eastAsia="zh-CN"/>
              </w:rPr>
              <w:t>-</w:t>
            </w:r>
            <w:r>
              <w:rPr>
                <w:rFonts w:hint="default" w:ascii="Times New Roman" w:hAnsi="Times New Roman" w:eastAsia="宋体" w:cs="Times New Roman"/>
                <w:b/>
                <w:bCs/>
                <w:i/>
                <w:iCs/>
                <w:color w:val="0000FF"/>
                <w:sz w:val="24"/>
                <w:szCs w:val="24"/>
              </w:rPr>
              <w:t>2016</w:t>
            </w:r>
          </w:p>
        </w:tc>
        <w:tc>
          <w:tcPr>
            <w:tcW w:w="5952"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b/>
                <w:bCs/>
                <w:i/>
                <w:iCs/>
                <w:color w:val="0000FF"/>
                <w:kern w:val="2"/>
                <w:sz w:val="24"/>
                <w:szCs w:val="24"/>
                <w:lang w:val="en-US" w:eastAsia="zh-CN" w:bidi="ar-SA"/>
              </w:rPr>
            </w:pPr>
            <w:r>
              <w:rPr>
                <w:rFonts w:hint="default" w:ascii="Times New Roman" w:hAnsi="Times New Roman" w:eastAsia="宋体" w:cs="Times New Roman"/>
                <w:b/>
                <w:bCs/>
                <w:i/>
                <w:iCs/>
                <w:color w:val="0000FF"/>
                <w:sz w:val="24"/>
                <w:szCs w:val="24"/>
              </w:rPr>
              <w:t>《医疗器械用于医疗器械标签、标记和提供信息的符号第1部分:通用要求》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default" w:ascii="Times New Roman" w:hAnsi="Times New Roman" w:eastAsia="宋体" w:cs="Times New Roman"/>
                <w:b/>
                <w:bCs/>
                <w:i/>
                <w:iCs/>
                <w:color w:val="0000FF"/>
                <w:kern w:val="2"/>
                <w:sz w:val="24"/>
                <w:szCs w:val="24"/>
                <w:lang w:val="en-US" w:eastAsia="zh-CN" w:bidi="ar-SA"/>
              </w:rPr>
            </w:pPr>
            <w:r>
              <w:rPr>
                <w:rFonts w:hint="default" w:ascii="Times New Roman" w:hAnsi="Times New Roman" w:eastAsia="宋体" w:cs="Times New Roman"/>
                <w:b/>
                <w:bCs/>
                <w:i/>
                <w:iCs/>
                <w:color w:val="0000FF"/>
                <w:sz w:val="24"/>
                <w:szCs w:val="24"/>
              </w:rPr>
              <w:t>YY/T 0483-2004</w:t>
            </w:r>
          </w:p>
        </w:tc>
        <w:tc>
          <w:tcPr>
            <w:tcW w:w="5952"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default" w:ascii="Times New Roman" w:hAnsi="Times New Roman" w:eastAsia="宋体" w:cs="Times New Roman"/>
                <w:b/>
                <w:bCs/>
                <w:i/>
                <w:iCs/>
                <w:color w:val="0000FF"/>
                <w:kern w:val="2"/>
                <w:sz w:val="24"/>
                <w:szCs w:val="24"/>
                <w:lang w:val="en-US" w:eastAsia="zh-CN" w:bidi="ar-SA"/>
              </w:rPr>
            </w:pPr>
            <w:r>
              <w:rPr>
                <w:rFonts w:hint="default" w:ascii="Times New Roman" w:hAnsi="Times New Roman" w:eastAsia="宋体" w:cs="Times New Roman"/>
                <w:b/>
                <w:bCs/>
                <w:i/>
                <w:iCs/>
                <w:color w:val="0000FF"/>
                <w:sz w:val="24"/>
                <w:szCs w:val="24"/>
              </w:rPr>
              <w:t>一次性使用肠营养导管、肠给养器及其连接件 设计与试验方法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default" w:ascii="Times New Roman" w:hAnsi="Times New Roman" w:eastAsia="宋体" w:cs="Times New Roman"/>
                <w:b/>
                <w:bCs/>
                <w:i/>
                <w:iCs/>
                <w:color w:val="0000FF"/>
                <w:kern w:val="2"/>
                <w:sz w:val="24"/>
                <w:szCs w:val="24"/>
                <w:lang w:val="en-US" w:eastAsia="zh-CN" w:bidi="ar-SA"/>
              </w:rPr>
            </w:pPr>
            <w:r>
              <w:rPr>
                <w:rFonts w:hint="default" w:ascii="Times New Roman" w:hAnsi="Times New Roman" w:eastAsia="宋体" w:cs="Times New Roman"/>
                <w:b/>
                <w:bCs/>
                <w:i/>
                <w:iCs/>
                <w:color w:val="0000FF"/>
                <w:sz w:val="24"/>
                <w:szCs w:val="24"/>
              </w:rPr>
              <w:t>YY 0450.1-2020</w:t>
            </w:r>
          </w:p>
        </w:tc>
        <w:tc>
          <w:tcPr>
            <w:tcW w:w="5952"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default" w:ascii="Times New Roman" w:hAnsi="Times New Roman" w:eastAsia="宋体" w:cs="Times New Roman"/>
                <w:b/>
                <w:bCs/>
                <w:i/>
                <w:iCs/>
                <w:color w:val="0000FF"/>
                <w:kern w:val="2"/>
                <w:sz w:val="24"/>
                <w:szCs w:val="24"/>
                <w:lang w:val="en-US" w:eastAsia="zh-CN" w:bidi="ar-SA"/>
              </w:rPr>
            </w:pPr>
            <w:r>
              <w:rPr>
                <w:rFonts w:hint="default" w:ascii="Times New Roman" w:hAnsi="Times New Roman" w:eastAsia="宋体" w:cs="Times New Roman"/>
                <w:b/>
                <w:bCs/>
                <w:i/>
                <w:iCs/>
                <w:color w:val="0000FF"/>
                <w:sz w:val="24"/>
                <w:szCs w:val="24"/>
              </w:rPr>
              <w:t>一次性使用无菌血管内导管辅件 第1部分：导引器械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default" w:ascii="Times New Roman" w:hAnsi="Times New Roman" w:eastAsia="宋体" w:cs="Times New Roman"/>
                <w:b/>
                <w:bCs/>
                <w:i/>
                <w:iCs/>
                <w:color w:val="0000FF"/>
                <w:kern w:val="2"/>
                <w:sz w:val="24"/>
                <w:szCs w:val="24"/>
                <w:lang w:val="en-US" w:eastAsia="zh-CN" w:bidi="ar-SA"/>
              </w:rPr>
            </w:pPr>
            <w:r>
              <w:rPr>
                <w:rFonts w:hint="default" w:ascii="Times New Roman" w:hAnsi="Times New Roman" w:eastAsia="宋体" w:cs="Times New Roman"/>
                <w:b/>
                <w:bCs/>
                <w:i/>
                <w:iCs/>
                <w:color w:val="0000FF"/>
                <w:sz w:val="24"/>
                <w:szCs w:val="24"/>
              </w:rPr>
              <w:t>GB/T 19633.1-2015</w:t>
            </w:r>
          </w:p>
        </w:tc>
        <w:tc>
          <w:tcPr>
            <w:tcW w:w="5952"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default" w:ascii="Times New Roman" w:hAnsi="Times New Roman" w:eastAsia="宋体" w:cs="Times New Roman"/>
                <w:b/>
                <w:bCs/>
                <w:i/>
                <w:iCs/>
                <w:color w:val="0000FF"/>
                <w:kern w:val="2"/>
                <w:sz w:val="24"/>
                <w:szCs w:val="24"/>
                <w:lang w:val="en-US" w:eastAsia="zh-CN" w:bidi="ar-SA"/>
              </w:rPr>
            </w:pPr>
            <w:r>
              <w:rPr>
                <w:rFonts w:hint="default" w:ascii="Times New Roman" w:hAnsi="Times New Roman" w:eastAsia="宋体" w:cs="Times New Roman"/>
                <w:b/>
                <w:bCs/>
                <w:i/>
                <w:iCs/>
                <w:color w:val="0000FF"/>
                <w:sz w:val="24"/>
                <w:szCs w:val="24"/>
              </w:rPr>
              <w:t>最终灭菌医疗器械包装 第1部分：材料、无菌屏障系统和包装系统的要求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default" w:ascii="Times New Roman" w:hAnsi="Times New Roman" w:eastAsia="宋体" w:cs="Times New Roman"/>
                <w:b/>
                <w:bCs/>
                <w:i/>
                <w:iCs/>
                <w:color w:val="0000FF"/>
                <w:kern w:val="2"/>
                <w:sz w:val="24"/>
                <w:szCs w:val="24"/>
                <w:lang w:val="en-US" w:eastAsia="zh-CN" w:bidi="ar-SA"/>
              </w:rPr>
            </w:pPr>
            <w:r>
              <w:rPr>
                <w:rFonts w:hint="default" w:ascii="Times New Roman" w:hAnsi="Times New Roman" w:eastAsia="宋体" w:cs="Times New Roman"/>
                <w:b/>
                <w:bCs/>
                <w:i/>
                <w:iCs/>
                <w:color w:val="0000FF"/>
                <w:sz w:val="24"/>
                <w:szCs w:val="24"/>
              </w:rPr>
              <w:t>GB 18279.1-2015</w:t>
            </w:r>
          </w:p>
        </w:tc>
        <w:tc>
          <w:tcPr>
            <w:tcW w:w="5952"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default" w:ascii="Times New Roman" w:hAnsi="Times New Roman" w:eastAsia="宋体" w:cs="Times New Roman"/>
                <w:b/>
                <w:bCs/>
                <w:i/>
                <w:iCs/>
                <w:color w:val="0000FF"/>
                <w:kern w:val="2"/>
                <w:sz w:val="24"/>
                <w:szCs w:val="24"/>
                <w:lang w:val="en-US" w:eastAsia="zh-CN" w:bidi="ar-SA"/>
              </w:rPr>
            </w:pPr>
            <w:r>
              <w:rPr>
                <w:rFonts w:hint="default" w:ascii="Times New Roman" w:hAnsi="Times New Roman" w:eastAsia="宋体" w:cs="Times New Roman"/>
                <w:b/>
                <w:bCs/>
                <w:i/>
                <w:iCs/>
                <w:color w:val="0000FF"/>
                <w:sz w:val="24"/>
                <w:szCs w:val="24"/>
              </w:rPr>
              <w:t>医疗保健产品灭菌 环氧乙烷 第1部分：医疗器械灭菌过程的开发、确认和常规控制的要求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default" w:ascii="Times New Roman" w:hAnsi="Times New Roman" w:eastAsia="宋体" w:cs="Times New Roman"/>
                <w:b/>
                <w:bCs/>
                <w:i/>
                <w:iCs/>
                <w:color w:val="0000FF"/>
                <w:sz w:val="24"/>
                <w:szCs w:val="24"/>
                <w:lang w:val="en-US" w:eastAsia="zh-CN"/>
              </w:rPr>
            </w:pPr>
            <w:r>
              <w:rPr>
                <w:rFonts w:hint="eastAsia" w:ascii="Times New Roman" w:hAnsi="Times New Roman" w:cs="Times New Roman"/>
                <w:b/>
                <w:bCs/>
                <w:i/>
                <w:iCs/>
                <w:color w:val="0000FF"/>
                <w:sz w:val="24"/>
                <w:szCs w:val="24"/>
                <w:lang w:val="en-US" w:eastAsia="zh-CN"/>
              </w:rPr>
              <w:t>......</w:t>
            </w:r>
          </w:p>
        </w:tc>
        <w:tc>
          <w:tcPr>
            <w:tcW w:w="5952"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default" w:ascii="Times New Roman" w:hAnsi="Times New Roman" w:eastAsia="宋体" w:cs="Times New Roman"/>
                <w:b/>
                <w:bCs/>
                <w:i/>
                <w:iCs/>
                <w:color w:val="0000FF"/>
                <w:sz w:val="24"/>
                <w:szCs w:val="24"/>
              </w:rPr>
            </w:pPr>
          </w:p>
        </w:tc>
      </w:tr>
    </w:tbl>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jc w:val="both"/>
        <w:textAlignment w:val="auto"/>
        <w:rPr>
          <w:rFonts w:hint="eastAsia" w:cs="Times New Roman"/>
          <w:b/>
          <w:bCs/>
          <w:i/>
          <w:iCs/>
          <w:color w:val="0000FF"/>
          <w:sz w:val="28"/>
          <w:szCs w:val="28"/>
          <w:lang w:val="en-US" w:eastAsia="zh-CN"/>
        </w:rPr>
      </w:pPr>
      <w:r>
        <w:rPr>
          <w:rFonts w:hint="eastAsia" w:cs="Times New Roman"/>
          <w:b/>
          <w:bCs/>
          <w:i/>
          <w:iCs/>
          <w:color w:val="0000FF"/>
          <w:sz w:val="28"/>
          <w:szCs w:val="28"/>
          <w:lang w:val="en-US" w:eastAsia="zh-CN"/>
        </w:rPr>
        <w:t>)</w:t>
      </w:r>
    </w:p>
    <w:p>
      <w:pPr>
        <w:pStyle w:val="2"/>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i/>
          <w:iCs/>
          <w:color w:val="0000FF"/>
          <w:kern w:val="2"/>
          <w:sz w:val="24"/>
          <w:szCs w:val="24"/>
          <w:lang w:val="en-US" w:eastAsia="zh-CN" w:bidi="ar-SA"/>
        </w:rPr>
      </w:pPr>
      <w:r>
        <w:rPr>
          <w:rFonts w:hint="eastAsia" w:ascii="宋体" w:hAnsi="宋体" w:eastAsia="宋体" w:cs="宋体"/>
          <w:b/>
          <w:bCs/>
          <w:i/>
          <w:iCs/>
          <w:color w:val="0000FF"/>
          <w:kern w:val="2"/>
          <w:sz w:val="24"/>
          <w:szCs w:val="24"/>
          <w:lang w:val="en-US" w:eastAsia="zh-CN" w:bidi="ar-SA"/>
        </w:rPr>
        <w:t>【以上标准信息，均为举例，在具体的产品申报过程中，需要根据具体的产品来确定】</w:t>
      </w:r>
    </w:p>
    <w:p>
      <w:pPr>
        <w:pStyle w:val="2"/>
        <w:rPr>
          <w:rFonts w:hint="eastAsia"/>
          <w:lang w:val="en-US" w:eastAsia="zh-CN"/>
        </w:rPr>
      </w:pPr>
    </w:p>
    <w:p>
      <w:pPr>
        <w:pStyle w:val="2"/>
        <w:rPr>
          <w:rFonts w:hint="default"/>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Times New Roman" w:hAnsi="Times New Roman" w:eastAsia="宋体" w:cs="Times New Roman"/>
          <w:b/>
          <w:bCs/>
          <w:i/>
          <w:iCs/>
          <w:color w:val="0000FF"/>
          <w:sz w:val="24"/>
          <w:szCs w:val="24"/>
          <w:u w:val="none"/>
          <w:lang w:val="en-US" w:eastAsia="zh-CN"/>
        </w:rPr>
      </w:pPr>
      <w:r>
        <w:rPr>
          <w:rFonts w:hint="eastAsia" w:ascii="Times New Roman" w:hAnsi="Times New Roman" w:eastAsia="宋体" w:cs="Times New Roman"/>
          <w:b/>
          <w:bCs/>
          <w:i/>
          <w:iCs/>
          <w:color w:val="0000FF"/>
          <w:sz w:val="24"/>
          <w:szCs w:val="24"/>
          <w:u w:val="none"/>
          <w:lang w:eastAsia="zh-CN"/>
        </w:rPr>
        <w:t>【</w:t>
      </w:r>
      <w:r>
        <w:rPr>
          <w:rFonts w:hint="eastAsia" w:ascii="Times New Roman" w:hAnsi="Times New Roman" w:eastAsia="宋体" w:cs="Times New Roman"/>
          <w:b/>
          <w:bCs/>
          <w:i/>
          <w:iCs/>
          <w:color w:val="0000FF"/>
          <w:sz w:val="24"/>
          <w:szCs w:val="24"/>
          <w:u w:val="none"/>
        </w:rPr>
        <w:t>申报产品应当符合适用的强制性标准。对于强制性行业标准，若申报产品结构特征、预期用途、使用方式等与强制性标准的适用范围不一致，申请人应当提出不适用强制性标准的说明，并提供经验证的证明性资料。</w:t>
      </w:r>
      <w:r>
        <w:rPr>
          <w:rFonts w:hint="eastAsia" w:ascii="Times New Roman" w:hAnsi="Times New Roman" w:eastAsia="宋体" w:cs="Times New Roman"/>
          <w:b/>
          <w:bCs/>
          <w:i/>
          <w:iCs/>
          <w:color w:val="0000FF"/>
          <w:sz w:val="24"/>
          <w:szCs w:val="24"/>
          <w:u w:val="none"/>
          <w:lang w:eastAsia="zh-CN"/>
        </w:rPr>
        <w:t>】</w:t>
      </w:r>
    </w:p>
    <w:p>
      <w:pPr>
        <w:pStyle w:val="2"/>
        <w:rPr>
          <w:rFonts w:hint="default" w:ascii="Times New Roman" w:hAnsi="Times New Roman" w:eastAsia="宋体" w:cs="Times New Roman"/>
          <w:b/>
          <w:bCs/>
          <w:sz w:val="28"/>
          <w:szCs w:val="28"/>
          <w:lang w:val="en-US" w:eastAsia="zh-CN"/>
        </w:rPr>
      </w:pPr>
    </w:p>
    <w:p>
      <w:pPr>
        <w:keepNext w:val="0"/>
        <w:keepLines w:val="0"/>
        <w:pageBreakBefore w:val="0"/>
        <w:widowControl w:val="0"/>
        <w:numPr>
          <w:ilvl w:val="0"/>
          <w:numId w:val="1"/>
        </w:numPr>
        <w:kinsoku/>
        <w:wordWrap/>
        <w:overflowPunct w:val="0"/>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产品技术要求</w:t>
      </w:r>
    </w:p>
    <w:p>
      <w:pPr>
        <w:keepNext w:val="0"/>
        <w:keepLines w:val="0"/>
        <w:pageBreakBefore w:val="0"/>
        <w:widowControl w:val="0"/>
        <w:numPr>
          <w:ilvl w:val="0"/>
          <w:numId w:val="0"/>
        </w:numPr>
        <w:kinsoku/>
        <w:wordWrap/>
        <w:topLinePunct w:val="0"/>
        <w:autoSpaceDE/>
        <w:autoSpaceDN/>
        <w:bidi w:val="0"/>
        <w:adjustRightInd/>
        <w:snapToGrid/>
        <w:spacing w:line="360" w:lineRule="auto"/>
        <w:ind w:firstLine="240" w:firstLineChars="100"/>
        <w:textAlignment w:val="auto"/>
      </w:pPr>
      <w:r>
        <w:rPr>
          <w:rFonts w:hint="default" w:ascii="Times New Roman" w:hAnsi="Times New Roman" w:eastAsia="宋体" w:cs="Times New Roman"/>
          <w:color w:val="000000"/>
          <w:sz w:val="24"/>
          <w:szCs w:val="24"/>
          <w:lang w:val="en-US" w:eastAsia="zh-CN"/>
        </w:rPr>
        <w:t>见附件</w:t>
      </w:r>
      <w:r>
        <w:rPr>
          <w:rFonts w:hint="default" w:ascii="Times New Roman" w:hAnsi="Times New Roman" w:cs="Times New Roman"/>
          <w:color w:val="000000"/>
          <w:sz w:val="24"/>
          <w:szCs w:val="24"/>
          <w:lang w:val="en-US" w:eastAsia="zh-CN"/>
        </w:rPr>
        <w:t>3.4-1 产品技术要求</w:t>
      </w:r>
      <w:r>
        <w:rPr>
          <w:rFonts w:hint="eastAsia" w:cs="Times New Roman"/>
          <w:color w:val="000000"/>
          <w:sz w:val="24"/>
          <w:szCs w:val="24"/>
          <w:lang w:val="en-US" w:eastAsia="zh-CN"/>
        </w:rPr>
        <w:t>。</w:t>
      </w:r>
    </w:p>
    <w:p>
      <w:pPr>
        <w:pStyle w:val="2"/>
        <w:keepNext w:val="0"/>
        <w:keepLines w:val="0"/>
        <w:pageBreakBefore w:val="0"/>
        <w:widowControl/>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i/>
          <w:iCs/>
          <w:color w:val="0000FF"/>
          <w:kern w:val="2"/>
          <w:sz w:val="24"/>
          <w:szCs w:val="24"/>
          <w:u w:val="none"/>
          <w:lang w:val="en-US" w:eastAsia="zh-CN" w:bidi="ar-SA"/>
        </w:rPr>
      </w:pPr>
    </w:p>
    <w:p>
      <w:pPr>
        <w:pStyle w:val="2"/>
        <w:keepNext w:val="0"/>
        <w:keepLines w:val="0"/>
        <w:pageBreakBefore w:val="0"/>
        <w:widowControl/>
        <w:kinsoku/>
        <w:wordWrap/>
        <w:overflowPunct/>
        <w:topLinePunct w:val="0"/>
        <w:autoSpaceDE/>
        <w:autoSpaceDN/>
        <w:bidi w:val="0"/>
        <w:adjustRightInd w:val="0"/>
        <w:snapToGrid w:val="0"/>
        <w:spacing w:line="360" w:lineRule="auto"/>
        <w:textAlignment w:val="auto"/>
        <w:rPr>
          <w:rFonts w:hint="default"/>
          <w:lang w:val="en-US" w:eastAsia="zh-CN"/>
        </w:rPr>
      </w:pPr>
      <w:r>
        <w:rPr>
          <w:rFonts w:hint="eastAsia" w:ascii="Times New Roman" w:hAnsi="Times New Roman" w:eastAsia="宋体" w:cs="Times New Roman"/>
          <w:b/>
          <w:bCs/>
          <w:i/>
          <w:iCs/>
          <w:color w:val="0000FF"/>
          <w:kern w:val="2"/>
          <w:sz w:val="24"/>
          <w:szCs w:val="24"/>
          <w:u w:val="none"/>
          <w:lang w:val="en-US" w:eastAsia="zh-CN" w:bidi="ar-SA"/>
        </w:rPr>
        <w:t>【医疗器械产品技术要求应当按照《</w:t>
      </w:r>
      <w:r>
        <w:rPr>
          <w:rFonts w:hint="default" w:ascii="Times New Roman" w:hAnsi="Times New Roman" w:eastAsia="宋体" w:cs="Times New Roman"/>
          <w:b/>
          <w:bCs/>
          <w:i/>
          <w:iCs/>
          <w:color w:val="0000FF"/>
          <w:kern w:val="2"/>
          <w:sz w:val="24"/>
          <w:szCs w:val="24"/>
          <w:u w:val="none"/>
          <w:lang w:val="en-US" w:eastAsia="zh-CN" w:bidi="ar-SA"/>
        </w:rPr>
        <w:t>国家药监局关于发布医疗器械产品技术要求编写指导原则的通告（2022年第8号）</w:t>
      </w:r>
      <w:r>
        <w:rPr>
          <w:rFonts w:hint="eastAsia" w:ascii="Times New Roman" w:hAnsi="Times New Roman" w:eastAsia="宋体" w:cs="Times New Roman"/>
          <w:b/>
          <w:bCs/>
          <w:i/>
          <w:iCs/>
          <w:color w:val="0000FF"/>
          <w:kern w:val="2"/>
          <w:sz w:val="24"/>
          <w:szCs w:val="24"/>
          <w:u w:val="none"/>
          <w:lang w:val="en-US" w:eastAsia="zh-CN" w:bidi="ar-SA"/>
        </w:rPr>
        <w:t>》的规定编制。】</w:t>
      </w:r>
    </w:p>
    <w:p>
      <w:pPr>
        <w:pStyle w:val="2"/>
        <w:rPr>
          <w:rFonts w:hint="default"/>
          <w:lang w:val="en-US" w:eastAsia="zh-CN"/>
        </w:rPr>
      </w:pPr>
    </w:p>
    <w:p>
      <w:pPr>
        <w:pStyle w:val="2"/>
        <w:rPr>
          <w:rFonts w:hint="default"/>
          <w:lang w:val="en-US" w:eastAsia="zh-CN"/>
        </w:rPr>
      </w:pPr>
    </w:p>
    <w:p>
      <w:pPr>
        <w:keepNext w:val="0"/>
        <w:keepLines w:val="0"/>
        <w:pageBreakBefore w:val="0"/>
        <w:widowControl w:val="0"/>
        <w:numPr>
          <w:ilvl w:val="0"/>
          <w:numId w:val="1"/>
        </w:numPr>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产品检验报告</w:t>
      </w:r>
    </w:p>
    <w:p>
      <w:pPr>
        <w:keepNext w:val="0"/>
        <w:keepLines w:val="0"/>
        <w:pageBreakBefore w:val="0"/>
        <w:widowControl w:val="0"/>
        <w:numPr>
          <w:ilvl w:val="0"/>
          <w:numId w:val="0"/>
        </w:numPr>
        <w:kinsoku/>
        <w:wordWrap/>
        <w:topLinePunct w:val="0"/>
        <w:autoSpaceDE/>
        <w:autoSpaceDN/>
        <w:bidi w:val="0"/>
        <w:adjustRightInd/>
        <w:snapToGrid/>
        <w:spacing w:line="360" w:lineRule="auto"/>
        <w:ind w:firstLine="240" w:firstLineChars="100"/>
        <w:textAlignment w:val="auto"/>
        <w:rPr>
          <w:rFonts w:ascii="Times New Roman" w:hAnsi="Times New Roman" w:eastAsia="宋体" w:cs="Times New Roman"/>
          <w:kern w:val="2"/>
          <w:sz w:val="21"/>
          <w:szCs w:val="24"/>
          <w:lang w:val="en-US" w:eastAsia="zh-CN" w:bidi="ar-SA"/>
        </w:rPr>
      </w:pPr>
      <w:r>
        <w:rPr>
          <w:rFonts w:hint="default" w:ascii="Times New Roman" w:hAnsi="Times New Roman" w:eastAsia="宋体" w:cs="Times New Roman"/>
          <w:color w:val="000000"/>
          <w:sz w:val="24"/>
          <w:szCs w:val="24"/>
          <w:lang w:val="en-US" w:eastAsia="zh-CN"/>
        </w:rPr>
        <w:t>见附件</w:t>
      </w:r>
      <w:r>
        <w:rPr>
          <w:rFonts w:hint="default" w:ascii="Times New Roman" w:hAnsi="Times New Roman" w:cs="Times New Roman"/>
          <w:color w:val="000000"/>
          <w:sz w:val="24"/>
          <w:szCs w:val="24"/>
          <w:lang w:val="en-US" w:eastAsia="zh-CN"/>
        </w:rPr>
        <w:t>3.4-</w:t>
      </w:r>
      <w:r>
        <w:rPr>
          <w:rFonts w:hint="eastAsia" w:cs="Times New Roman"/>
          <w:color w:val="000000"/>
          <w:sz w:val="24"/>
          <w:szCs w:val="24"/>
          <w:lang w:val="en-US" w:eastAsia="zh-CN"/>
        </w:rPr>
        <w:t>2</w:t>
      </w:r>
      <w:r>
        <w:rPr>
          <w:rFonts w:hint="default" w:ascii="Times New Roman" w:hAnsi="Times New Roman" w:cs="Times New Roman"/>
          <w:color w:val="000000"/>
          <w:sz w:val="24"/>
          <w:szCs w:val="24"/>
          <w:lang w:val="en-US" w:eastAsia="zh-CN"/>
        </w:rPr>
        <w:t xml:space="preserve"> 产品</w:t>
      </w:r>
      <w:r>
        <w:rPr>
          <w:rFonts w:hint="eastAsia" w:cs="Times New Roman"/>
          <w:color w:val="000000"/>
          <w:sz w:val="24"/>
          <w:szCs w:val="24"/>
          <w:lang w:val="en-US" w:eastAsia="zh-CN"/>
        </w:rPr>
        <w:t>检验报告。</w:t>
      </w:r>
    </w:p>
    <w:p>
      <w:pPr>
        <w:bidi w:val="0"/>
        <w:rPr>
          <w:lang w:val="en-US" w:eastAsia="zh-CN"/>
        </w:rPr>
      </w:pPr>
      <w:bookmarkStart w:id="1" w:name="_GoBack"/>
      <w:bookmarkEnd w:id="1"/>
    </w:p>
    <w:p>
      <w:pPr>
        <w:spacing w:line="560" w:lineRule="exact"/>
        <w:rPr>
          <w:rFonts w:hint="eastAsia" w:ascii="Times New Roman" w:hAnsi="Times New Roman" w:eastAsia="宋体" w:cs="Times New Roman"/>
          <w:b/>
          <w:bCs/>
          <w:i/>
          <w:iCs/>
          <w:color w:val="0000FF"/>
          <w:kern w:val="2"/>
          <w:sz w:val="24"/>
          <w:szCs w:val="24"/>
          <w:u w:val="none"/>
          <w:lang w:val="en-US" w:eastAsia="zh-CN" w:bidi="ar-SA"/>
        </w:rPr>
      </w:pPr>
      <w:r>
        <w:rPr>
          <w:rFonts w:hint="eastAsia" w:ascii="Times New Roman" w:hAnsi="Times New Roman" w:eastAsia="宋体" w:cs="Times New Roman"/>
          <w:b/>
          <w:bCs/>
          <w:i/>
          <w:iCs/>
          <w:color w:val="0000FF"/>
          <w:kern w:val="2"/>
          <w:sz w:val="24"/>
          <w:szCs w:val="24"/>
          <w:u w:val="none"/>
          <w:lang w:val="en-US" w:eastAsia="zh-CN" w:bidi="ar-SA"/>
        </w:rPr>
        <w:t>【</w:t>
      </w:r>
    </w:p>
    <w:p>
      <w:pPr>
        <w:spacing w:line="560" w:lineRule="exact"/>
        <w:rPr>
          <w:rFonts w:hint="default" w:ascii="Times New Roman" w:hAnsi="Times New Roman" w:eastAsia="宋体" w:cs="Times New Roman"/>
          <w:b/>
          <w:bCs/>
          <w:i/>
          <w:iCs/>
          <w:color w:val="0000FF"/>
          <w:kern w:val="2"/>
          <w:sz w:val="24"/>
          <w:szCs w:val="24"/>
          <w:u w:val="none"/>
          <w:lang w:val="en-US" w:eastAsia="zh-CN" w:bidi="ar-SA"/>
        </w:rPr>
      </w:pPr>
      <w:r>
        <w:rPr>
          <w:rFonts w:hint="default" w:ascii="Times New Roman" w:hAnsi="Times New Roman" w:eastAsia="宋体" w:cs="Times New Roman"/>
          <w:b/>
          <w:bCs/>
          <w:i/>
          <w:iCs/>
          <w:color w:val="0000FF"/>
          <w:kern w:val="2"/>
          <w:sz w:val="24"/>
          <w:szCs w:val="24"/>
          <w:u w:val="none"/>
          <w:lang w:val="en-US" w:eastAsia="zh-CN" w:bidi="ar-SA"/>
        </w:rPr>
        <w:t xml:space="preserve">可提交以下任一形式的检验报告： </w:t>
      </w:r>
    </w:p>
    <w:p>
      <w:pPr>
        <w:numPr>
          <w:ilvl w:val="0"/>
          <w:numId w:val="0"/>
        </w:numPr>
        <w:spacing w:line="560" w:lineRule="exact"/>
        <w:ind w:firstLine="482" w:firstLineChars="200"/>
        <w:rPr>
          <w:rFonts w:hint="default" w:ascii="Times New Roman" w:hAnsi="Times New Roman" w:eastAsia="宋体" w:cs="Times New Roman"/>
          <w:b/>
          <w:bCs/>
          <w:i/>
          <w:iCs/>
          <w:color w:val="0000FF"/>
          <w:kern w:val="2"/>
          <w:sz w:val="24"/>
          <w:szCs w:val="24"/>
          <w:u w:val="none"/>
          <w:lang w:val="en-US" w:eastAsia="zh-CN" w:bidi="ar-SA"/>
        </w:rPr>
      </w:pPr>
      <w:r>
        <w:rPr>
          <w:rFonts w:hint="eastAsia" w:ascii="Times New Roman" w:hAnsi="Times New Roman" w:eastAsia="宋体" w:cs="Times New Roman"/>
          <w:b/>
          <w:bCs/>
          <w:i/>
          <w:iCs/>
          <w:color w:val="0000FF"/>
          <w:kern w:val="2"/>
          <w:sz w:val="24"/>
          <w:szCs w:val="24"/>
          <w:u w:val="none"/>
          <w:lang w:val="en-US" w:eastAsia="zh-CN" w:bidi="ar-SA"/>
        </w:rPr>
        <w:t>（1）</w:t>
      </w:r>
      <w:r>
        <w:rPr>
          <w:rFonts w:hint="default" w:ascii="Times New Roman" w:hAnsi="Times New Roman" w:eastAsia="宋体" w:cs="Times New Roman"/>
          <w:b/>
          <w:bCs/>
          <w:i/>
          <w:iCs/>
          <w:color w:val="0000FF"/>
          <w:kern w:val="2"/>
          <w:sz w:val="24"/>
          <w:szCs w:val="24"/>
          <w:u w:val="none"/>
          <w:lang w:val="en-US" w:eastAsia="zh-CN" w:bidi="ar-SA"/>
        </w:rPr>
        <w:t>申请人出具的自检报告。 注册申请人通过自检方式提交产品检验报告的，应当提交以下申报资料：</w:t>
      </w:r>
      <w:r>
        <w:rPr>
          <w:rFonts w:hint="eastAsia" w:ascii="Times New Roman" w:hAnsi="Times New Roman" w:eastAsia="宋体" w:cs="Times New Roman"/>
          <w:b/>
          <w:bCs/>
          <w:i/>
          <w:iCs/>
          <w:color w:val="0000FF"/>
          <w:kern w:val="2"/>
          <w:sz w:val="24"/>
          <w:szCs w:val="24"/>
          <w:u w:val="none"/>
          <w:lang w:val="en-US" w:eastAsia="zh-CN" w:bidi="ar-SA"/>
        </w:rPr>
        <w:t>①</w:t>
      </w:r>
      <w:r>
        <w:rPr>
          <w:rFonts w:hint="default" w:ascii="Times New Roman" w:hAnsi="Times New Roman" w:eastAsia="宋体" w:cs="Times New Roman"/>
          <w:b/>
          <w:bCs/>
          <w:i/>
          <w:iCs/>
          <w:color w:val="0000FF"/>
          <w:kern w:val="2"/>
          <w:sz w:val="24"/>
          <w:szCs w:val="24"/>
          <w:u w:val="none"/>
          <w:lang w:val="en-US" w:eastAsia="zh-CN" w:bidi="ar-SA"/>
        </w:rPr>
        <w:t>自检报告。涉及委托检验项目的，还应当提供相关检验机构的资质证明文件。</w:t>
      </w:r>
      <w:r>
        <w:rPr>
          <w:rFonts w:hint="eastAsia" w:ascii="Times New Roman" w:hAnsi="Times New Roman" w:eastAsia="宋体" w:cs="Times New Roman"/>
          <w:b/>
          <w:bCs/>
          <w:i/>
          <w:iCs/>
          <w:color w:val="0000FF"/>
          <w:kern w:val="2"/>
          <w:sz w:val="24"/>
          <w:szCs w:val="24"/>
          <w:u w:val="none"/>
          <w:lang w:val="en-US" w:eastAsia="zh-CN" w:bidi="ar-SA"/>
        </w:rPr>
        <w:t>②</w:t>
      </w:r>
      <w:r>
        <w:rPr>
          <w:rFonts w:hint="default" w:ascii="Times New Roman" w:hAnsi="Times New Roman" w:eastAsia="宋体" w:cs="Times New Roman"/>
          <w:b/>
          <w:bCs/>
          <w:i/>
          <w:iCs/>
          <w:color w:val="0000FF"/>
          <w:kern w:val="2"/>
          <w:sz w:val="24"/>
          <w:szCs w:val="24"/>
          <w:u w:val="none"/>
          <w:lang w:val="en-US" w:eastAsia="zh-CN" w:bidi="ar-SA"/>
        </w:rPr>
        <w:t>具有相应自检能力的声明。注册申请人应当承诺具备产品技术要求中相应具体条款项目自行检验的能力，包括具备相应人员、设备、设施和环境等，并按照质量管理体系要求开展检验。</w:t>
      </w:r>
      <w:r>
        <w:rPr>
          <w:rFonts w:hint="eastAsia" w:ascii="Times New Roman" w:hAnsi="Times New Roman" w:eastAsia="宋体" w:cs="Times New Roman"/>
          <w:b/>
          <w:bCs/>
          <w:i/>
          <w:iCs/>
          <w:color w:val="0000FF"/>
          <w:kern w:val="2"/>
          <w:sz w:val="24"/>
          <w:szCs w:val="24"/>
          <w:u w:val="none"/>
          <w:lang w:val="en-US" w:eastAsia="zh-CN" w:bidi="ar-SA"/>
        </w:rPr>
        <w:t>③</w:t>
      </w:r>
      <w:r>
        <w:rPr>
          <w:rFonts w:hint="default" w:ascii="Times New Roman" w:hAnsi="Times New Roman" w:eastAsia="宋体" w:cs="Times New Roman"/>
          <w:b/>
          <w:bCs/>
          <w:i/>
          <w:iCs/>
          <w:color w:val="0000FF"/>
          <w:kern w:val="2"/>
          <w:sz w:val="24"/>
          <w:szCs w:val="24"/>
          <w:u w:val="none"/>
          <w:lang w:val="en-US" w:eastAsia="zh-CN" w:bidi="ar-SA"/>
        </w:rPr>
        <w:t>质量管理体系相关资料。包括检验用设备（含标准品）配置表；用于医疗器械检验的软件，应当明确其名称、发布版本号、发布日期、供应商或代理商等信息；医疗器械注册自检检验人员信息表；检验相关的质量管理体系文件清单，如质量手册、程序文件、作业指导书等，文件名称中应当包含文件编号信息等。</w:t>
      </w:r>
      <w:r>
        <w:rPr>
          <w:rFonts w:hint="eastAsia" w:ascii="Times New Roman" w:hAnsi="Times New Roman" w:eastAsia="宋体" w:cs="Times New Roman"/>
          <w:b/>
          <w:bCs/>
          <w:i/>
          <w:iCs/>
          <w:color w:val="0000FF"/>
          <w:kern w:val="2"/>
          <w:sz w:val="24"/>
          <w:szCs w:val="24"/>
          <w:u w:val="none"/>
          <w:lang w:val="en-US" w:eastAsia="zh-CN" w:bidi="ar-SA"/>
        </w:rPr>
        <w:t>④</w:t>
      </w:r>
      <w:r>
        <w:rPr>
          <w:rFonts w:hint="default" w:ascii="Times New Roman" w:hAnsi="Times New Roman" w:eastAsia="宋体" w:cs="Times New Roman"/>
          <w:b/>
          <w:bCs/>
          <w:i/>
          <w:iCs/>
          <w:color w:val="0000FF"/>
          <w:kern w:val="2"/>
          <w:sz w:val="24"/>
          <w:szCs w:val="24"/>
          <w:u w:val="none"/>
          <w:lang w:val="en-US" w:eastAsia="zh-CN" w:bidi="ar-SA"/>
        </w:rPr>
        <w:t>关于型号覆盖的说明。提供型号覆盖的相关资料，包括典型性的说明、被覆盖型号/配置与主检型号/配置的差异性分析等。</w:t>
      </w:r>
      <w:r>
        <w:rPr>
          <w:rFonts w:hint="eastAsia" w:ascii="Times New Roman" w:hAnsi="Times New Roman" w:eastAsia="宋体" w:cs="Times New Roman"/>
          <w:b/>
          <w:bCs/>
          <w:i/>
          <w:iCs/>
          <w:color w:val="0000FF"/>
          <w:kern w:val="2"/>
          <w:sz w:val="24"/>
          <w:szCs w:val="24"/>
          <w:u w:val="none"/>
          <w:lang w:val="en-US" w:eastAsia="zh-CN" w:bidi="ar-SA"/>
        </w:rPr>
        <w:t>⑤</w:t>
      </w:r>
      <w:r>
        <w:rPr>
          <w:rFonts w:hint="default" w:ascii="Times New Roman" w:hAnsi="Times New Roman" w:eastAsia="宋体" w:cs="Times New Roman"/>
          <w:b/>
          <w:bCs/>
          <w:i/>
          <w:iCs/>
          <w:color w:val="0000FF"/>
          <w:kern w:val="2"/>
          <w:sz w:val="24"/>
          <w:szCs w:val="24"/>
          <w:u w:val="none"/>
          <w:lang w:val="en-US" w:eastAsia="zh-CN" w:bidi="ar-SA"/>
        </w:rPr>
        <w:t>报告真实性自我保证声明。若注册申请人将相关项目进行委托检验，自我保证声明应当包括提交自行检验样品、委托检验样品一致性的声明。 境内注册申请人自身开展自检的实验室如通过中国合格评定国家认可委员会（CNAS）认可，或者境外注册申请人自身开展自检的实验室通过境外政府或政府认可的相应实验室资质认证机构认可，可不提交本条第</w:t>
      </w:r>
      <w:r>
        <w:rPr>
          <w:rFonts w:hint="eastAsia" w:ascii="Times New Roman" w:hAnsi="Times New Roman" w:eastAsia="宋体" w:cs="Times New Roman"/>
          <w:b/>
          <w:bCs/>
          <w:i/>
          <w:iCs/>
          <w:color w:val="0000FF"/>
          <w:kern w:val="2"/>
          <w:sz w:val="24"/>
          <w:szCs w:val="24"/>
          <w:u w:val="none"/>
          <w:lang w:val="en-US" w:eastAsia="zh-CN" w:bidi="ar-SA"/>
        </w:rPr>
        <w:t>②</w:t>
      </w:r>
      <w:r>
        <w:rPr>
          <w:rFonts w:hint="default" w:ascii="Times New Roman" w:hAnsi="Times New Roman" w:eastAsia="宋体" w:cs="Times New Roman"/>
          <w:b/>
          <w:bCs/>
          <w:i/>
          <w:iCs/>
          <w:color w:val="0000FF"/>
          <w:kern w:val="2"/>
          <w:sz w:val="24"/>
          <w:szCs w:val="24"/>
          <w:u w:val="none"/>
          <w:lang w:val="en-US" w:eastAsia="zh-CN" w:bidi="ar-SA"/>
        </w:rPr>
        <w:t>和</w:t>
      </w:r>
      <w:r>
        <w:rPr>
          <w:rFonts w:hint="eastAsia" w:ascii="Times New Roman" w:hAnsi="Times New Roman" w:eastAsia="宋体" w:cs="Times New Roman"/>
          <w:b/>
          <w:bCs/>
          <w:i/>
          <w:iCs/>
          <w:color w:val="0000FF"/>
          <w:kern w:val="2"/>
          <w:sz w:val="24"/>
          <w:szCs w:val="24"/>
          <w:u w:val="none"/>
          <w:lang w:val="en-US" w:eastAsia="zh-CN" w:bidi="ar-SA"/>
        </w:rPr>
        <w:t>③</w:t>
      </w:r>
      <w:r>
        <w:rPr>
          <w:rFonts w:hint="default" w:ascii="Times New Roman" w:hAnsi="Times New Roman" w:eastAsia="宋体" w:cs="Times New Roman"/>
          <w:b/>
          <w:bCs/>
          <w:i/>
          <w:iCs/>
          <w:color w:val="0000FF"/>
          <w:kern w:val="2"/>
          <w:sz w:val="24"/>
          <w:szCs w:val="24"/>
          <w:u w:val="none"/>
          <w:lang w:val="en-US" w:eastAsia="zh-CN" w:bidi="ar-SA"/>
        </w:rPr>
        <w:t xml:space="preserve">项内容，但应当提交相应认可的证明性文件及相应承检范围的支持性资料。集团公司或其子公司经集团公司授权由相应实验室开展自检的，应当提交授权书。 具体要求见国家药监局关于发布《医疗器械注册自检管理规定》的公告（2021年第126号）（链接：https://www.nmpa.gov.cn/xxgk/ggtg/qtggtg/20211022153823130.html） </w:t>
      </w:r>
    </w:p>
    <w:p>
      <w:pPr>
        <w:numPr>
          <w:ilvl w:val="0"/>
          <w:numId w:val="0"/>
        </w:numPr>
        <w:spacing w:line="560" w:lineRule="exact"/>
        <w:ind w:firstLine="482" w:firstLineChars="200"/>
        <w:rPr>
          <w:rFonts w:hint="default" w:ascii="Times New Roman" w:hAnsi="Times New Roman" w:eastAsia="宋体" w:cs="Times New Roman"/>
          <w:b/>
          <w:bCs/>
          <w:i/>
          <w:iCs/>
          <w:color w:val="0000FF"/>
          <w:kern w:val="2"/>
          <w:sz w:val="24"/>
          <w:szCs w:val="24"/>
          <w:u w:val="none"/>
          <w:lang w:val="en-US" w:eastAsia="zh-CN" w:bidi="ar-SA"/>
        </w:rPr>
      </w:pPr>
      <w:r>
        <w:rPr>
          <w:rFonts w:hint="eastAsia" w:ascii="Times New Roman" w:hAnsi="Times New Roman" w:eastAsia="宋体" w:cs="Times New Roman"/>
          <w:b/>
          <w:bCs/>
          <w:i/>
          <w:iCs/>
          <w:color w:val="0000FF"/>
          <w:kern w:val="2"/>
          <w:sz w:val="24"/>
          <w:szCs w:val="24"/>
          <w:u w:val="none"/>
          <w:lang w:val="en-US" w:eastAsia="zh-CN" w:bidi="ar-SA"/>
        </w:rPr>
        <w:t>（2）</w:t>
      </w:r>
      <w:r>
        <w:rPr>
          <w:rFonts w:hint="default" w:ascii="Times New Roman" w:hAnsi="Times New Roman" w:eastAsia="宋体" w:cs="Times New Roman"/>
          <w:b/>
          <w:bCs/>
          <w:i/>
          <w:iCs/>
          <w:color w:val="0000FF"/>
          <w:kern w:val="2"/>
          <w:sz w:val="24"/>
          <w:szCs w:val="24"/>
          <w:u w:val="none"/>
          <w:lang w:val="en-US" w:eastAsia="zh-CN" w:bidi="ar-SA"/>
        </w:rPr>
        <w:t>委托有资质的医疗器械检验机构出具的检验报告。 按照《医疗器械监督管理条例》第七十五条规定，经国务院认证认可监督管理部门会同国务院药品监督管理部门认定的检验机构，方可对医疗器械实施检验。 根据国家检验检测机构资质认定的相关规定，医疗器械检验检测机构应获得资质认定证书（CMA）。注册申请人应根据产品特点，对受托机构的资质、检验能力、检验范围进行评价。委托检验报告应该加盖CMA公章。若检验机构无法加盖CMA公章，应按照国家药监局综合司关于明确《医疗器械检验工作规范》标注资质认定标志有关事项的通知（药监综科外函〔2020〕746号）执行。(链接：</w:t>
      </w:r>
      <w:r>
        <w:rPr>
          <w:rFonts w:hint="default" w:ascii="Times New Roman" w:hAnsi="Times New Roman" w:eastAsia="宋体" w:cs="Times New Roman"/>
          <w:b/>
          <w:bCs/>
          <w:i/>
          <w:iCs/>
          <w:color w:val="0000FF"/>
          <w:kern w:val="2"/>
          <w:sz w:val="24"/>
          <w:szCs w:val="24"/>
          <w:u w:val="none"/>
          <w:lang w:val="en-US" w:eastAsia="zh-CN" w:bidi="ar-SA"/>
        </w:rPr>
        <w:fldChar w:fldCharType="begin"/>
      </w:r>
      <w:r>
        <w:rPr>
          <w:rFonts w:hint="default" w:ascii="Times New Roman" w:hAnsi="Times New Roman" w:eastAsia="宋体" w:cs="Times New Roman"/>
          <w:b/>
          <w:bCs/>
          <w:i/>
          <w:iCs/>
          <w:color w:val="0000FF"/>
          <w:kern w:val="2"/>
          <w:sz w:val="24"/>
          <w:szCs w:val="24"/>
          <w:u w:val="none"/>
          <w:lang w:val="en-US" w:eastAsia="zh-CN" w:bidi="ar-SA"/>
        </w:rPr>
        <w:instrText xml:space="preserve"> HYPERLINK "https://www.nmpa.gov.cn/xxgk/fgwj/gzwj/gzwjylqx/20201208142412199.html)" </w:instrText>
      </w:r>
      <w:r>
        <w:rPr>
          <w:rFonts w:hint="default" w:ascii="Times New Roman" w:hAnsi="Times New Roman" w:eastAsia="宋体" w:cs="Times New Roman"/>
          <w:b/>
          <w:bCs/>
          <w:i/>
          <w:iCs/>
          <w:color w:val="0000FF"/>
          <w:kern w:val="2"/>
          <w:sz w:val="24"/>
          <w:szCs w:val="24"/>
          <w:u w:val="none"/>
          <w:lang w:val="en-US" w:eastAsia="zh-CN" w:bidi="ar-SA"/>
        </w:rPr>
        <w:fldChar w:fldCharType="separate"/>
      </w:r>
      <w:r>
        <w:rPr>
          <w:rFonts w:hint="default" w:ascii="Times New Roman" w:hAnsi="Times New Roman" w:eastAsia="宋体" w:cs="Times New Roman"/>
          <w:b/>
          <w:bCs/>
          <w:i/>
          <w:iCs/>
          <w:color w:val="0000FF"/>
          <w:kern w:val="2"/>
          <w:sz w:val="24"/>
          <w:szCs w:val="24"/>
          <w:u w:val="none"/>
          <w:lang w:val="en-US" w:eastAsia="zh-CN" w:bidi="ar-SA"/>
        </w:rPr>
        <w:t>https://www.nmpa.gov.cn/xxgk/fgwj/gzwj/gzwjylqx/20201208142412199.html)</w:t>
      </w:r>
      <w:r>
        <w:rPr>
          <w:rFonts w:hint="default" w:ascii="Times New Roman" w:hAnsi="Times New Roman" w:eastAsia="宋体" w:cs="Times New Roman"/>
          <w:b/>
          <w:bCs/>
          <w:i/>
          <w:iCs/>
          <w:color w:val="0000FF"/>
          <w:kern w:val="2"/>
          <w:sz w:val="24"/>
          <w:szCs w:val="24"/>
          <w:u w:val="none"/>
          <w:lang w:val="en-US" w:eastAsia="zh-CN" w:bidi="ar-SA"/>
        </w:rPr>
        <w:fldChar w:fldCharType="end"/>
      </w:r>
    </w:p>
    <w:p>
      <w:pPr>
        <w:bidi w:val="0"/>
        <w:rPr>
          <w:rFonts w:hint="default" w:ascii="Times New Roman" w:hAnsi="Times New Roman" w:eastAsia="宋体" w:cs="Times New Roman"/>
          <w:b/>
          <w:bCs/>
          <w:i/>
          <w:iCs/>
          <w:color w:val="0000FF"/>
          <w:kern w:val="2"/>
          <w:sz w:val="24"/>
          <w:szCs w:val="24"/>
          <w:u w:val="none"/>
          <w:lang w:val="en-US" w:eastAsia="zh-CN" w:bidi="ar-SA"/>
        </w:rPr>
      </w:pPr>
      <w:r>
        <w:rPr>
          <w:rFonts w:hint="eastAsia" w:ascii="Times New Roman" w:hAnsi="Times New Roman" w:eastAsia="宋体" w:cs="Times New Roman"/>
          <w:b/>
          <w:bCs/>
          <w:i/>
          <w:iCs/>
          <w:color w:val="0000FF"/>
          <w:kern w:val="2"/>
          <w:sz w:val="24"/>
          <w:szCs w:val="24"/>
          <w:u w:val="none"/>
          <w:lang w:val="en-US" w:eastAsia="zh-CN" w:bidi="ar-SA"/>
        </w:rPr>
        <w:t>】</w:t>
      </w:r>
    </w:p>
    <w:p>
      <w:pPr>
        <w:bidi w:val="0"/>
        <w:ind w:firstLine="520" w:firstLineChars="0"/>
        <w:jc w:val="left"/>
        <w:rPr>
          <w:rFonts w:hint="default" w:ascii="Times New Roman" w:hAnsi="Times New Roman" w:eastAsia="宋体" w:cs="Times New Roman"/>
          <w:b/>
          <w:bCs/>
          <w:i/>
          <w:iCs/>
          <w:color w:val="0000FF"/>
          <w:kern w:val="2"/>
          <w:sz w:val="24"/>
          <w:szCs w:val="24"/>
          <w:u w:val="none"/>
          <w:lang w:val="en-US" w:eastAsia="zh-CN" w:bidi="ar-SA"/>
        </w:rPr>
      </w:pPr>
    </w:p>
    <w:p>
      <w:pPr>
        <w:bidi w:val="0"/>
        <w:jc w:val="left"/>
        <w:rPr>
          <w:rFonts w:hint="default" w:ascii="Times New Roman" w:hAnsi="Times New Roman" w:eastAsia="宋体" w:cs="Times New Roman"/>
          <w:b/>
          <w:bCs/>
          <w:i/>
          <w:iCs/>
          <w:color w:val="0000FF"/>
          <w:kern w:val="2"/>
          <w:sz w:val="24"/>
          <w:szCs w:val="24"/>
          <w:u w:val="none"/>
          <w:lang w:val="en-US" w:eastAsia="zh-CN" w:bidi="ar-SA"/>
        </w:rPr>
      </w:pPr>
    </w:p>
    <w:p>
      <w:pPr>
        <w:pStyle w:val="9"/>
        <w:rPr>
          <w:rFonts w:hint="eastAsia" w:ascii="宋体" w:hAnsi="宋体" w:eastAsia="宋体" w:cs="宋体"/>
          <w:b/>
          <w:bCs/>
          <w:i w:val="0"/>
          <w:iCs w:val="0"/>
          <w:color w:val="auto"/>
          <w:kern w:val="0"/>
          <w:sz w:val="24"/>
          <w:szCs w:val="24"/>
          <w:lang w:val="en-US" w:eastAsia="zh-CN" w:bidi="ar-SA"/>
        </w:rPr>
      </w:pPr>
    </w:p>
    <w:p>
      <w:pPr>
        <w:pStyle w:val="9"/>
        <w:rPr>
          <w:rFonts w:hint="eastAsia" w:ascii="宋体" w:hAnsi="宋体" w:eastAsia="宋体" w:cs="宋体"/>
          <w:b/>
          <w:bCs/>
          <w:i w:val="0"/>
          <w:iCs w:val="0"/>
          <w:color w:val="auto"/>
          <w:kern w:val="0"/>
          <w:sz w:val="24"/>
          <w:szCs w:val="24"/>
          <w:lang w:val="en-US" w:eastAsia="zh-CN" w:bidi="ar-SA"/>
        </w:rPr>
      </w:pPr>
    </w:p>
    <w:p>
      <w:pPr>
        <w:rPr>
          <w:rFonts w:hint="eastAsia"/>
          <w:color w:val="0000FF"/>
          <w:lang w:val="en-US" w:eastAsia="zh-CN"/>
        </w:rPr>
      </w:pPr>
    </w:p>
    <w:p>
      <w:pPr>
        <w:rPr>
          <w:rFonts w:hint="eastAsia"/>
          <w:color w:val="0000FF"/>
          <w:lang w:val="en-US" w:eastAsia="zh-CN"/>
        </w:rPr>
      </w:pPr>
    </w:p>
    <w:p>
      <w:pPr>
        <w:pStyle w:val="9"/>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7243AB"/>
    <w:multiLevelType w:val="singleLevel"/>
    <w:tmpl w:val="E87243A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3DD5C0D"/>
    <w:rsid w:val="04D55F72"/>
    <w:rsid w:val="19DA2300"/>
    <w:rsid w:val="1E907AE9"/>
    <w:rsid w:val="3B07083A"/>
    <w:rsid w:val="42491C0F"/>
    <w:rsid w:val="46561FD1"/>
    <w:rsid w:val="4B950155"/>
    <w:rsid w:val="543A6A17"/>
    <w:rsid w:val="5854681A"/>
    <w:rsid w:val="5B3D4524"/>
    <w:rsid w:val="638C3F6B"/>
    <w:rsid w:val="73041C9C"/>
    <w:rsid w:val="7D6725BA"/>
    <w:rsid w:val="7E186F95"/>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_Style 2"/>
    <w:qFormat/>
    <w:uiPriority w:val="1"/>
    <w:pPr>
      <w:adjustRightInd w:val="0"/>
      <w:snapToGrid w:val="0"/>
    </w:pPr>
    <w:rPr>
      <w:rFonts w:ascii="Tahoma" w:hAnsi="Tahoma" w:eastAsia="宋体" w:cs="Times New Roman"/>
      <w:sz w:val="22"/>
      <w:szCs w:val="22"/>
      <w:lang w:val="en-US" w:eastAsia="zh-CN" w:bidi="ar-SA"/>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0"/>
    <w:rPr>
      <w:color w:val="0000FF"/>
      <w:u w:val="single"/>
    </w:rPr>
  </w:style>
  <w:style w:type="paragraph" w:customStyle="1" w:styleId="9">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2023-04-20T03:54:19Z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276E00956E904AD9B0009AAEEE1D5F38</vt:lpwstr>
  </property>
</Properties>
</file>