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spacing w:line="4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医疗器械安全和性能基本原则清单</w:t>
      </w:r>
    </w:p>
    <w:p>
      <w:pPr>
        <w:spacing w:line="480" w:lineRule="exact"/>
        <w:jc w:val="center"/>
        <w:rPr>
          <w:rFonts w:hint="eastAsia" w:ascii="方正小标宋简体" w:eastAsia="方正小标宋简体"/>
          <w:color w:val="000000"/>
          <w:sz w:val="44"/>
          <w:szCs w:val="44"/>
        </w:rPr>
      </w:pPr>
    </w:p>
    <w:tbl>
      <w:tblPr>
        <w:tblStyle w:val="6"/>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521"/>
        <w:gridCol w:w="767"/>
        <w:gridCol w:w="1313"/>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rPr>
                <w:rFonts w:ascii="Times New Roman" w:hAnsi="Times New Roman" w:eastAsia="宋体"/>
                <w:color w:val="000000"/>
                <w:kern w:val="2"/>
                <w:sz w:val="21"/>
              </w:rPr>
            </w:pPr>
            <w:r>
              <w:rPr>
                <w:rFonts w:ascii="Times New Roman" w:hAnsi="Times New Roman" w:eastAsia="宋体"/>
                <w:color w:val="000000"/>
                <w:kern w:val="2"/>
                <w:sz w:val="21"/>
              </w:rPr>
              <w:t>条款号</w:t>
            </w:r>
          </w:p>
        </w:tc>
        <w:tc>
          <w:tcPr>
            <w:tcW w:w="4521"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jc w:val="center"/>
              <w:rPr>
                <w:rFonts w:ascii="Times New Roman" w:hAnsi="Times New Roman" w:eastAsia="宋体"/>
                <w:color w:val="000000"/>
                <w:kern w:val="2"/>
                <w:sz w:val="21"/>
              </w:rPr>
            </w:pPr>
            <w:r>
              <w:rPr>
                <w:rFonts w:ascii="Times New Roman" w:hAnsi="Times New Roman" w:eastAsia="宋体"/>
                <w:color w:val="000000"/>
                <w:kern w:val="2"/>
                <w:sz w:val="21"/>
              </w:rPr>
              <w:t>要求</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jc w:val="both"/>
              <w:rPr>
                <w:rFonts w:ascii="Times New Roman" w:hAnsi="Times New Roman" w:eastAsia="宋体"/>
                <w:color w:val="000000"/>
                <w:kern w:val="2"/>
                <w:sz w:val="21"/>
              </w:rPr>
            </w:pPr>
            <w:r>
              <w:rPr>
                <w:rFonts w:ascii="Times New Roman" w:hAnsi="Times New Roman" w:eastAsia="宋体"/>
                <w:color w:val="000000"/>
                <w:kern w:val="2"/>
                <w:sz w:val="21"/>
              </w:rPr>
              <w:t>适用</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right="25" w:rightChars="12"/>
              <w:jc w:val="both"/>
              <w:rPr>
                <w:rFonts w:ascii="Times New Roman" w:hAnsi="Times New Roman" w:eastAsia="宋体"/>
                <w:color w:val="000000"/>
                <w:kern w:val="2"/>
                <w:sz w:val="21"/>
              </w:rPr>
            </w:pPr>
            <w:r>
              <w:rPr>
                <w:rFonts w:ascii="Times New Roman" w:hAnsi="Times New Roman" w:eastAsia="宋体"/>
                <w:color w:val="000000"/>
                <w:kern w:val="2"/>
                <w:sz w:val="21"/>
              </w:rPr>
              <w:t>证明符合性采用的方法</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jc w:val="both"/>
              <w:rPr>
                <w:rFonts w:ascii="Times New Roman" w:hAnsi="Times New Roman" w:eastAsia="宋体"/>
                <w:color w:val="000000"/>
                <w:kern w:val="2"/>
                <w:sz w:val="21"/>
              </w:rPr>
            </w:pPr>
            <w:r>
              <w:rPr>
                <w:rFonts w:ascii="Times New Roman" w:hAnsi="Times New Roman" w:eastAsia="宋体"/>
                <w:color w:val="000000"/>
                <w:kern w:val="2"/>
                <w:sz w:val="21"/>
              </w:rPr>
              <w:t>为符合性提供客观证据的文件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bCs/>
                <w:color w:val="000000"/>
                <w:kern w:val="0"/>
                <w:szCs w:val="18"/>
              </w:rPr>
              <w:t>A</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安全和性能的通用基本原则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建立涵盖所有医疗器械风险管理计划并形成文件；</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识别并分析涵盖所有医疗器械的相关的已知和可预见的危险（源）；</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估计和评价在预期使用和可合理预见的误使用过程中，发生的相关风险；</w:t>
            </w:r>
          </w:p>
          <w:p>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依据A1.3和A1.4相关要求，消除或控制c）点所述的风险；</w:t>
            </w:r>
          </w:p>
          <w:p>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p>
          <w:p>
            <w:pPr>
              <w:spacing w:line="300" w:lineRule="exact"/>
              <w:jc w:val="left"/>
              <w:rPr>
                <w:color w:val="000000"/>
                <w:kern w:val="0"/>
                <w:szCs w:val="18"/>
              </w:rPr>
            </w:pPr>
            <w:r>
              <w:rPr>
                <w:color w:val="000000"/>
                <w:kern w:val="0"/>
                <w:szCs w:val="18"/>
              </w:rPr>
              <w:t>f)</w:t>
            </w:r>
            <w:r>
              <w:rPr>
                <w:color w:val="000000"/>
                <w:kern w:val="0"/>
                <w:szCs w:val="18"/>
              </w:rPr>
              <w:tab/>
            </w:r>
            <w:r>
              <w:rPr>
                <w:color w:val="000000"/>
                <w:kern w:val="0"/>
                <w:szCs w:val="18"/>
              </w:rPr>
              <w:t>基于对e）点所述信息影响的评价，必要时修改控制措施以符合A1.3和A1.4相关要求。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eastAsia="宋体" w:cs="Times New Roman"/>
                <w:color w:val="000000"/>
                <w:kern w:val="0"/>
                <w:sz w:val="21"/>
                <w:szCs w:val="18"/>
                <w:lang w:val="en-US" w:eastAsia="zh-CN" w:bidi="ar-SA"/>
              </w:rPr>
              <w:t>YY/T0287-2017医疗器械质量管理体系、YY/T0316-2016风险管理对医疗器械的应用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6.质量管理体系文件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通过安全设计和生产消除或适当降低风险；</w:t>
            </w:r>
          </w:p>
          <w:p>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适用时，对无法消除的风险采取充分的防护措施，包括必要的警报；</w:t>
            </w:r>
          </w:p>
          <w:p>
            <w:pPr>
              <w:spacing w:line="290" w:lineRule="exact"/>
              <w:jc w:val="left"/>
              <w:rPr>
                <w:color w:val="000000"/>
                <w:kern w:val="0"/>
                <w:szCs w:val="18"/>
              </w:rPr>
            </w:pPr>
            <w:r>
              <w:rPr>
                <w:color w:val="000000"/>
                <w:kern w:val="0"/>
                <w:szCs w:val="18"/>
              </w:rPr>
              <w:t>c)</w:t>
            </w:r>
            <w:r>
              <w:rPr>
                <w:color w:val="000000"/>
                <w:kern w:val="0"/>
                <w:szCs w:val="18"/>
              </w:rPr>
              <w:tab/>
            </w:r>
            <w:r>
              <w:rPr>
                <w:color w:val="000000"/>
                <w:kern w:val="0"/>
                <w:szCs w:val="18"/>
              </w:rPr>
              <w:t>提供安全信息（警告/预防措施/禁忌证），适当时，向使用者提供培训。</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eastAsia="宋体" w:cs="Times New Roman"/>
                <w:color w:val="000000"/>
                <w:kern w:val="0"/>
                <w:sz w:val="21"/>
                <w:szCs w:val="18"/>
                <w:lang w:val="en-US" w:eastAsia="zh-CN" w:bidi="ar-SA"/>
              </w:rPr>
              <w:t>YY/T0316-2016风险管理对医疗器械的应用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p>
            <w:pPr>
              <w:pStyle w:val="14"/>
              <w:numPr>
                <w:ilvl w:val="0"/>
                <w:numId w:val="0"/>
              </w:numPr>
              <w:spacing w:line="300" w:lineRule="exact"/>
              <w:jc w:val="left"/>
              <w:rPr>
                <w:rFonts w:hint="default"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5.产品说明书与标签样稿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申请人应当告知使用者所有相关的剩余风险。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default"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highlight w:val="none"/>
              </w:rPr>
            </w:pPr>
            <w:r>
              <w:rPr>
                <w:color w:val="000000"/>
                <w:kern w:val="0"/>
                <w:szCs w:val="18"/>
                <w:highlight w:val="none"/>
              </w:rPr>
              <w:t>在消除或降低与使用有关的风险时，申请人应该：</w:t>
            </w:r>
          </w:p>
          <w:p>
            <w:pPr>
              <w:spacing w:line="290" w:lineRule="exact"/>
              <w:jc w:val="left"/>
              <w:rPr>
                <w:color w:val="000000"/>
                <w:kern w:val="0"/>
                <w:szCs w:val="18"/>
                <w:highlight w:val="none"/>
              </w:rPr>
            </w:pPr>
            <w:r>
              <w:rPr>
                <w:color w:val="000000"/>
                <w:kern w:val="0"/>
                <w:szCs w:val="18"/>
                <w:highlight w:val="none"/>
              </w:rPr>
              <w:t>a)</w:t>
            </w:r>
            <w:r>
              <w:rPr>
                <w:color w:val="000000"/>
                <w:kern w:val="0"/>
                <w:szCs w:val="18"/>
                <w:highlight w:val="none"/>
              </w:rPr>
              <w:tab/>
            </w:r>
            <w:r>
              <w:rPr>
                <w:color w:val="000000"/>
                <w:kern w:val="0"/>
                <w:szCs w:val="18"/>
                <w:highlight w:val="none"/>
              </w:rPr>
              <w:t>适当降低医疗器械的特性（如人体工程学/可用性）和预期使用环境（如灰尘和湿度）可能带来的风险；</w:t>
            </w:r>
          </w:p>
          <w:p>
            <w:pPr>
              <w:spacing w:line="290" w:lineRule="exact"/>
              <w:jc w:val="left"/>
              <w:rPr>
                <w:color w:val="000000"/>
                <w:kern w:val="0"/>
                <w:szCs w:val="18"/>
                <w:highlight w:val="none"/>
              </w:rPr>
            </w:pPr>
            <w:r>
              <w:rPr>
                <w:color w:val="000000"/>
                <w:kern w:val="0"/>
                <w:szCs w:val="18"/>
                <w:highlight w:val="none"/>
              </w:rPr>
              <w:t>b)</w:t>
            </w:r>
            <w:r>
              <w:rPr>
                <w:color w:val="000000"/>
                <w:kern w:val="0"/>
                <w:szCs w:val="18"/>
                <w:highlight w:val="none"/>
              </w:rPr>
              <w:tab/>
            </w:r>
            <w:r>
              <w:rPr>
                <w:color w:val="000000"/>
                <w:kern w:val="0"/>
                <w:szCs w:val="18"/>
                <w:highlight w:val="none"/>
              </w:rPr>
              <w:t>考虑预期使用者的技术知识、经验、教育背景、培训、身体状况（如适用）以及使用环境。</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highlight w:val="none"/>
                <w:lang w:val="en-US" w:eastAsia="zh-CN"/>
              </w:rPr>
            </w:pPr>
            <w:r>
              <w:rPr>
                <w:rFonts w:hint="eastAsia" w:ascii="Times New Roman" w:hAnsi="Times New Roman"/>
                <w:color w:val="000000"/>
                <w:kern w:val="2"/>
                <w:sz w:val="21"/>
                <w:szCs w:val="18"/>
                <w:highlight w:val="none"/>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highlight w:val="none"/>
                <w:lang w:val="en-US" w:eastAsia="zh-CN" w:bidi="ar-SA"/>
              </w:rPr>
            </w:pPr>
            <w:r>
              <w:rPr>
                <w:rFonts w:hint="eastAsia" w:ascii="Times New Roman" w:hAnsi="Times New Roman" w:eastAsia="宋体" w:cs="Times New Roman"/>
                <w:color w:val="000000"/>
                <w:kern w:val="0"/>
                <w:sz w:val="21"/>
                <w:szCs w:val="18"/>
                <w:highlight w:val="none"/>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color w:val="000000"/>
                <w:kern w:val="2"/>
                <w:sz w:val="21"/>
                <w:szCs w:val="18"/>
                <w:highlight w:val="none"/>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在申请人规定的生命周期内，在正常使用、维护和校准（如适用）情况下，外力不应对医疗器械的特性和性能造成不利影响，以致损害患者、使用者及他人的健康和安全。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rPr>
              <w:t>无源植入性医疗器械货架有效期注册申报资料指导原则（2017年修订版）</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kern w:val="0"/>
                <w:szCs w:val="18"/>
              </w:rPr>
            </w:pPr>
            <w:r>
              <w:rPr>
                <w:color w:val="000000"/>
                <w:kern w:val="0"/>
                <w:szCs w:val="1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s="Times New Roman"/>
                <w:color w:val="000000"/>
                <w:kern w:val="2"/>
                <w:sz w:val="21"/>
                <w:szCs w:val="18"/>
                <w:lang w:val="en-US" w:eastAsia="zh-CN"/>
              </w:rPr>
            </w:pPr>
            <w:r>
              <w:rPr>
                <w:rFonts w:hint="eastAsia" w:ascii="Times New Roman" w:hAnsi="Times New Roman" w:cs="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s="Times New Roman"/>
                <w:color w:val="000000"/>
                <w:kern w:val="2"/>
                <w:sz w:val="21"/>
                <w:szCs w:val="18"/>
                <w:lang w:val="en-US" w:eastAsia="zh-CN"/>
              </w:rPr>
            </w:pPr>
            <w:r>
              <w:rPr>
                <w:rFonts w:hint="eastAsia" w:ascii="Times New Roman" w:hAnsi="Times New Roman" w:cs="Times New Roman"/>
                <w:color w:val="000000"/>
                <w:kern w:val="2"/>
                <w:sz w:val="21"/>
                <w:szCs w:val="18"/>
                <w:lang w:val="en-US" w:eastAsia="zh-CN"/>
              </w:rPr>
              <w:t>ISTA 2A：2011；</w:t>
            </w:r>
          </w:p>
          <w:p>
            <w:pPr>
              <w:pStyle w:val="14"/>
              <w:spacing w:line="300" w:lineRule="exact"/>
              <w:jc w:val="left"/>
              <w:rPr>
                <w:rFonts w:hint="default" w:ascii="Times New Roman" w:hAnsi="Times New Roman" w:cs="Times New Roman"/>
                <w:color w:val="000000"/>
                <w:kern w:val="2"/>
                <w:sz w:val="21"/>
                <w:szCs w:val="18"/>
                <w:lang w:val="en-US" w:eastAsia="zh-CN"/>
              </w:rPr>
            </w:pPr>
            <w:r>
              <w:rPr>
                <w:rFonts w:hint="eastAsia" w:ascii="Times New Roman" w:hAnsi="Times New Roman"/>
                <w:color w:val="000000"/>
                <w:kern w:val="2"/>
                <w:sz w:val="21"/>
                <w:szCs w:val="18"/>
              </w:rPr>
              <w:t>医疗器械说明书和标签管理规定</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5.产品说明书和标签样稿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A1.8</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kern w:val="0"/>
                <w:szCs w:val="18"/>
              </w:rPr>
            </w:pPr>
            <w:r>
              <w:rPr>
                <w:color w:val="000000"/>
                <w:kern w:val="0"/>
                <w:szCs w:val="18"/>
              </w:rPr>
              <w:t>在货架有效期内、开封后的使用期间，以及运输或送货期间，医疗器械应具有可接受的稳定性。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rPr>
              <w:t>无源植入性医疗器械货架有效期注册申报资料指导原则（2017年修订版）</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A1.9</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kern w:val="0"/>
                <w:szCs w:val="18"/>
              </w:rPr>
            </w:pPr>
            <w:r>
              <w:rPr>
                <w:color w:val="000000"/>
                <w:kern w:val="0"/>
                <w:szCs w:val="18"/>
              </w:rPr>
              <w:t>在正常使用条件下，基于当前先进技术水平，比较医疗器械性能带来的受益，所有已知的、可预见的风险以及任何不良副作用应最小化且可接受。</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jc w:val="center"/>
              <w:rPr>
                <w:rFonts w:ascii="Times New Roman" w:hAnsi="Times New Roman" w:eastAsia="宋体"/>
                <w:color w:val="000000"/>
                <w:kern w:val="2"/>
                <w:sz w:val="21"/>
              </w:rPr>
            </w:pPr>
            <w:r>
              <w:rPr>
                <w:rFonts w:ascii="Times New Roman" w:hAnsi="Times New Roman" w:eastAsia="宋体"/>
                <w:color w:val="000000"/>
                <w:kern w:val="2"/>
                <w:sz w:val="21"/>
              </w:rPr>
              <w:t>A2</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color w:val="000000"/>
                <w:kern w:val="0"/>
                <w:szCs w:val="18"/>
              </w:rPr>
            </w:pPr>
            <w:r>
              <w:rPr>
                <w:color w:val="000000"/>
                <w:kern w:val="0"/>
                <w:szCs w:val="18"/>
              </w:rPr>
              <w:t>临床评价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A2.1</w:t>
            </w:r>
          </w:p>
        </w:tc>
        <w:tc>
          <w:tcPr>
            <w:tcW w:w="4521" w:type="dxa"/>
            <w:tcBorders>
              <w:top w:val="single" w:color="auto" w:sz="4" w:space="0"/>
              <w:left w:val="single" w:color="auto" w:sz="4" w:space="0"/>
              <w:bottom w:val="single" w:color="auto" w:sz="4" w:space="0"/>
              <w:right w:val="single" w:color="auto" w:sz="4" w:space="0"/>
            </w:tcBorders>
            <w:noWrap w:val="0"/>
            <w:vAlign w:val="top"/>
          </w:tcPr>
          <w:p>
            <w:pPr>
              <w:pStyle w:val="11"/>
              <w:spacing w:line="280" w:lineRule="exact"/>
              <w:ind w:firstLine="0" w:firstLineChars="0"/>
              <w:jc w:val="left"/>
              <w:rPr>
                <w:rFonts w:ascii="Times New Roman" w:hAnsi="Times New Roman"/>
                <w:color w:val="000000"/>
              </w:rPr>
            </w:pPr>
            <w:r>
              <w:rPr>
                <w:rFonts w:ascii="Times New Roman" w:hAnsi="Times New Roman"/>
                <w:color w:val="000000"/>
              </w:rPr>
              <w:t>基于监管要求，医疗器械可能需要进行临床评价（如适用）。所谓临床评价，就是对临床数据进行评估，确定医疗器械具有可接受的风险受益比，包括以下几种形式：</w:t>
            </w:r>
          </w:p>
          <w:p>
            <w:pPr>
              <w:pStyle w:val="11"/>
              <w:spacing w:line="280" w:lineRule="exact"/>
              <w:ind w:firstLine="0" w:firstLineChars="0"/>
              <w:jc w:val="left"/>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rPr>
              <w:t>临床试验报告</w:t>
            </w:r>
          </w:p>
          <w:p>
            <w:pPr>
              <w:spacing w:line="280" w:lineRule="exact"/>
              <w:jc w:val="left"/>
              <w:rPr>
                <w:color w:val="000000"/>
              </w:rPr>
            </w:pPr>
            <w:r>
              <w:rPr>
                <w:color w:val="000000"/>
              </w:rPr>
              <w:t>b)</w:t>
            </w:r>
            <w:r>
              <w:rPr>
                <w:color w:val="000000"/>
              </w:rPr>
              <w:tab/>
            </w:r>
            <w:r>
              <w:rPr>
                <w:color w:val="000000"/>
              </w:rPr>
              <w:t>临床文献资料</w:t>
            </w:r>
          </w:p>
          <w:p>
            <w:pPr>
              <w:pStyle w:val="11"/>
              <w:spacing w:line="280" w:lineRule="exact"/>
              <w:ind w:firstLine="0" w:firstLineChars="0"/>
              <w:jc w:val="left"/>
              <w:rPr>
                <w:rFonts w:ascii="Times New Roman" w:hAnsi="Times New Roman"/>
                <w:color w:val="000000"/>
              </w:rPr>
            </w:pPr>
            <w:r>
              <w:rPr>
                <w:rFonts w:ascii="Times New Roman" w:hAnsi="Times New Roman"/>
                <w:color w:val="000000"/>
              </w:rPr>
              <w:t>c)</w:t>
            </w:r>
            <w:r>
              <w:rPr>
                <w:rFonts w:ascii="Times New Roman" w:hAnsi="Times New Roman"/>
                <w:color w:val="000000"/>
              </w:rPr>
              <w:tab/>
            </w:r>
            <w:r>
              <w:rPr>
                <w:rFonts w:ascii="Times New Roman" w:hAnsi="Times New Roman"/>
                <w:color w:val="000000"/>
              </w:rPr>
              <w:t>临床经验数据</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color w:val="000000"/>
                <w:kern w:val="2"/>
                <w:sz w:val="21"/>
                <w:szCs w:val="18"/>
              </w:rPr>
            </w:pPr>
            <w:r>
              <w:rPr>
                <w:rFonts w:hint="eastAsia" w:ascii="Times New Roman" w:hAnsi="Times New Roman"/>
                <w:color w:val="000000"/>
                <w:kern w:val="2"/>
                <w:sz w:val="21"/>
                <w:szCs w:val="18"/>
              </w:rPr>
              <w:t>医疗器械临床评价技术指导原则</w:t>
            </w:r>
          </w:p>
          <w:p>
            <w:pPr>
              <w:pStyle w:val="14"/>
              <w:spacing w:line="300" w:lineRule="exact"/>
              <w:jc w:val="left"/>
              <w:rPr>
                <w:rFonts w:hint="eastAsia" w:ascii="Times New Roman" w:hAnsi="Times New Roman"/>
                <w:color w:val="000000"/>
                <w:kern w:val="2"/>
                <w:sz w:val="21"/>
                <w:szCs w:val="18"/>
              </w:rPr>
            </w:pPr>
            <w:r>
              <w:rPr>
                <w:rFonts w:hint="eastAsia" w:ascii="Times New Roman" w:hAnsi="Times New Roman"/>
                <w:color w:val="000000"/>
                <w:kern w:val="2"/>
                <w:sz w:val="21"/>
                <w:szCs w:val="18"/>
              </w:rPr>
              <w:t>医疗器械临床评价等同性论证技术指导原则</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4.临床评价资料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A2.2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color w:val="000000"/>
                <w:spacing w:val="-4"/>
                <w:kern w:val="0"/>
                <w:szCs w:val="18"/>
              </w:rPr>
            </w:pPr>
            <w:r>
              <w:rPr>
                <w:color w:val="000000"/>
                <w:spacing w:val="-4"/>
                <w:kern w:val="0"/>
                <w:szCs w:val="1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宋体"/>
                <w:color w:val="000000"/>
                <w:sz w:val="21"/>
                <w:szCs w:val="21"/>
              </w:rPr>
              <w:t>否</w:t>
            </w:r>
            <w:r>
              <w:rPr>
                <w:rFonts w:hint="eastAsia" w:ascii="宋体"/>
                <w:color w:val="000000"/>
                <w:sz w:val="21"/>
                <w:szCs w:val="21"/>
                <w:lang w:eastAsia="zh-CN"/>
              </w:rPr>
              <w:t>，</w:t>
            </w:r>
            <w:r>
              <w:rPr>
                <w:rFonts w:hint="eastAsia" w:ascii="宋体" w:hAnsi="Times New Roman" w:eastAsia="宋体" w:cs="Times New Roman"/>
                <w:color w:val="000000"/>
                <w:kern w:val="0"/>
                <w:sz w:val="21"/>
                <w:szCs w:val="21"/>
                <w:lang w:val="en-US" w:eastAsia="zh-CN" w:bidi="ar-SA"/>
              </w:rPr>
              <w:t>通过同品种医疗器械临床试验或临床使用获得的数据进行分析评价</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化学、物理和生物学特性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关于医疗器械的化学、物理和生物学特性，应当特别注意以下几点：</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所用材料和组成成分的选择，需特别考虑：</w:t>
            </w:r>
          </w:p>
          <w:p>
            <w:pPr>
              <w:spacing w:line="300" w:lineRule="exact"/>
              <w:jc w:val="left"/>
              <w:rPr>
                <w:color w:val="000000"/>
                <w:kern w:val="0"/>
                <w:szCs w:val="18"/>
              </w:rPr>
            </w:pPr>
            <w:r>
              <w:rPr>
                <w:color w:val="000000"/>
                <w:kern w:val="0"/>
                <w:szCs w:val="18"/>
              </w:rPr>
              <w:t>-毒性；</w:t>
            </w:r>
          </w:p>
          <w:p>
            <w:pPr>
              <w:spacing w:line="300" w:lineRule="exact"/>
              <w:jc w:val="left"/>
              <w:rPr>
                <w:color w:val="000000"/>
                <w:kern w:val="0"/>
                <w:szCs w:val="18"/>
              </w:rPr>
            </w:pPr>
            <w:r>
              <w:rPr>
                <w:color w:val="000000"/>
                <w:kern w:val="0"/>
                <w:szCs w:val="18"/>
              </w:rPr>
              <w:t>-生物相容性；</w:t>
            </w:r>
          </w:p>
          <w:p>
            <w:pPr>
              <w:spacing w:line="300" w:lineRule="exact"/>
              <w:jc w:val="left"/>
              <w:rPr>
                <w:color w:val="000000"/>
                <w:kern w:val="0"/>
                <w:szCs w:val="18"/>
              </w:rPr>
            </w:pPr>
            <w:r>
              <w:rPr>
                <w:color w:val="000000"/>
                <w:kern w:val="0"/>
                <w:szCs w:val="18"/>
              </w:rPr>
              <w:t>-易燃性；</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工艺对材料性能的影响；</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生物物理学或者建模研究结果应当事先进行验证（如适用）；</w:t>
            </w:r>
          </w:p>
          <w:p>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所用材料的机械性能，如适用，应当考虑强度、延展性、断裂强度、耐磨性和抗疲劳性等属性；</w:t>
            </w:r>
          </w:p>
          <w:p>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表面特性；</w:t>
            </w:r>
          </w:p>
          <w:p>
            <w:pPr>
              <w:spacing w:line="300" w:lineRule="exact"/>
              <w:jc w:val="left"/>
              <w:rPr>
                <w:color w:val="000000"/>
                <w:kern w:val="0"/>
                <w:szCs w:val="18"/>
              </w:rPr>
            </w:pPr>
            <w:r>
              <w:rPr>
                <w:color w:val="000000"/>
                <w:kern w:val="0"/>
                <w:szCs w:val="18"/>
              </w:rPr>
              <w:t>f)</w:t>
            </w:r>
            <w:r>
              <w:rPr>
                <w:color w:val="000000"/>
                <w:kern w:val="0"/>
                <w:szCs w:val="18"/>
              </w:rPr>
              <w:tab/>
            </w:r>
            <w:r>
              <w:rPr>
                <w:color w:val="000000"/>
                <w:kern w:val="0"/>
                <w:szCs w:val="18"/>
              </w:rPr>
              <w:t>器械与已规定化学和/或物理性能的符合性。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rPr>
              <w:t>GB/T16886系列标准、医疗器械生物学评价和审查指南</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color w:val="000000"/>
                <w:kern w:val="2"/>
                <w:sz w:val="21"/>
                <w:szCs w:val="18"/>
              </w:rPr>
            </w:pPr>
            <w:r>
              <w:rPr>
                <w:rFonts w:hint="eastAsia" w:ascii="Times New Roman" w:hAnsi="Times New Roman"/>
                <w:color w:val="000000"/>
                <w:kern w:val="2"/>
                <w:sz w:val="21"/>
                <w:szCs w:val="18"/>
              </w:rPr>
              <w:t>GB/T16886系列标准、医疗器械生物学评价和审查指南</w:t>
            </w:r>
            <w:r>
              <w:rPr>
                <w:rFonts w:hint="eastAsia" w:ascii="Times New Roman" w:hAnsi="Times New Roman"/>
                <w:color w:val="000000"/>
                <w:kern w:val="2"/>
                <w:sz w:val="21"/>
                <w:szCs w:val="18"/>
                <w:lang w:eastAsia="zh-CN"/>
              </w:rPr>
              <w:t>、</w:t>
            </w:r>
          </w:p>
          <w:p>
            <w:pPr>
              <w:pStyle w:val="14"/>
              <w:spacing w:line="300" w:lineRule="exact"/>
              <w:jc w:val="left"/>
              <w:rPr>
                <w:rFonts w:hint="eastAsia" w:ascii="Times New Roman" w:hAnsi="Times New Roman"/>
                <w:color w:val="000000"/>
                <w:kern w:val="2"/>
                <w:sz w:val="21"/>
                <w:szCs w:val="18"/>
              </w:rPr>
            </w:pPr>
            <w:r>
              <w:rPr>
                <w:rFonts w:hint="eastAsia" w:ascii="Times New Roman" w:hAnsi="Times New Roman"/>
                <w:color w:val="000000"/>
                <w:kern w:val="2"/>
                <w:sz w:val="21"/>
                <w:szCs w:val="18"/>
              </w:rPr>
              <w:t>医疗器械说明书和标签管理规定</w:t>
            </w:r>
            <w:r>
              <w:rPr>
                <w:rFonts w:hint="eastAsia" w:ascii="Times New Roman" w:hAnsi="Times New Roman"/>
                <w:color w:val="000000"/>
                <w:kern w:val="2"/>
                <w:sz w:val="21"/>
                <w:szCs w:val="18"/>
                <w:lang w:eastAsia="zh-CN"/>
              </w:rPr>
              <w:t>、</w:t>
            </w:r>
          </w:p>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rPr>
              <w:t>YY/T0316-</w:t>
            </w:r>
            <w:r>
              <w:rPr>
                <w:rFonts w:hint="eastAsia" w:ascii="Times New Roman" w:hAnsi="Times New Roman"/>
                <w:color w:val="000000"/>
                <w:kern w:val="2"/>
                <w:sz w:val="21"/>
                <w:szCs w:val="18"/>
                <w:lang w:eastAsia="zh-CN"/>
              </w:rPr>
              <w:t>2016</w:t>
            </w:r>
            <w:r>
              <w:rPr>
                <w:rFonts w:hint="eastAsia" w:ascii="Times New Roman" w:hAnsi="Times New Roman"/>
                <w:color w:val="000000"/>
                <w:kern w:val="2"/>
                <w:sz w:val="21"/>
                <w:szCs w:val="18"/>
              </w:rPr>
              <w:t xml:space="preserve">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lang w:val="en-US" w:eastAsia="zh-CN"/>
              </w:rPr>
              <w:t>5.产品说明书与标签样稿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医疗器械的设计和生产应当适当降低析出物（包括滤沥物和/或蒸发物）、降解产物、加工残留物等造成的风险。应当特别注意致癌、致突变或有生殖毒性的泄漏物或滤沥物。</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eastAsia" w:ascii="Tahoma" w:hAnsi="Tahoma" w:eastAsia="宋体" w:cs="Times New Roman"/>
                <w:kern w:val="0"/>
                <w:sz w:val="21"/>
                <w:szCs w:val="21"/>
                <w:lang w:val="en-US" w:eastAsia="zh-CN" w:bidi="ar-SA"/>
              </w:rPr>
            </w:pPr>
            <w:r>
              <w:rPr>
                <w:rFonts w:hint="eastAsia" w:cs="Times New Roman"/>
                <w:kern w:val="0"/>
                <w:sz w:val="21"/>
                <w:szCs w:val="21"/>
                <w:lang w:val="en-US" w:eastAsia="zh-CN" w:bidi="ar-SA"/>
              </w:rPr>
              <w:t>否，无</w:t>
            </w:r>
            <w:r>
              <w:rPr>
                <w:color w:val="000000"/>
                <w:kern w:val="0"/>
                <w:sz w:val="21"/>
                <w:szCs w:val="21"/>
              </w:rPr>
              <w:t>析出物</w:t>
            </w:r>
            <w:r>
              <w:rPr>
                <w:rFonts w:hint="eastAsia"/>
                <w:color w:val="000000"/>
                <w:kern w:val="0"/>
                <w:sz w:val="21"/>
                <w:szCs w:val="21"/>
                <w:lang w:eastAsia="zh-CN"/>
              </w:rPr>
              <w:t>、</w:t>
            </w:r>
            <w:r>
              <w:rPr>
                <w:color w:val="000000"/>
                <w:kern w:val="0"/>
                <w:sz w:val="21"/>
                <w:szCs w:val="21"/>
              </w:rPr>
              <w:t>降解产物、加工残留物等</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4"/>
              <w:rPr>
                <w:rFonts w:hint="default" w:ascii="宋体" w:hAnsi="Tahoma" w:eastAsia="宋体" w:cs="Times New Roman"/>
                <w:kern w:val="0"/>
                <w:sz w:val="21"/>
                <w:szCs w:val="21"/>
                <w:lang w:val="en-US" w:eastAsia="zh-CN" w:bidi="ar-SA"/>
              </w:rPr>
            </w:pPr>
            <w:r>
              <w:rPr>
                <w:rFonts w:hint="eastAsia" w:ascii="宋体" w:cs="Times New Roman"/>
                <w:kern w:val="0"/>
                <w:sz w:val="21"/>
                <w:szCs w:val="21"/>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14"/>
              <w:rPr>
                <w:rFonts w:ascii="宋体" w:hAnsi="Tahoma" w:eastAsia="宋体" w:cs="Times New Roman"/>
                <w:kern w:val="0"/>
                <w:sz w:val="21"/>
                <w:szCs w:val="21"/>
                <w:lang w:val="en-US" w:eastAsia="zh-CN" w:bidi="ar-SA"/>
              </w:rPr>
            </w:pPr>
            <w:r>
              <w:rPr>
                <w:rFonts w:hint="eastAsia" w:ascii="宋体" w:cs="Times New Roman"/>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医疗器械的设计和生产应当考虑到医疗器械及其预期使用环境的性质，适当降低物质意外进入器械所带来的风险。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A3.5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医疗器械及其生产工艺的设计应当能消除或适当降低对使用者和其他可能接触者的感染风险。设计应当：</w:t>
            </w:r>
          </w:p>
          <w:p>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操作安全，易于处理；</w:t>
            </w:r>
          </w:p>
          <w:p>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尽量减少医疗器械的微生物泄漏和/或使用过程中的感染风险；</w:t>
            </w:r>
          </w:p>
          <w:p>
            <w:pPr>
              <w:spacing w:line="290" w:lineRule="exact"/>
              <w:jc w:val="left"/>
              <w:rPr>
                <w:color w:val="000000"/>
                <w:kern w:val="0"/>
                <w:szCs w:val="18"/>
              </w:rPr>
            </w:pPr>
            <w:r>
              <w:rPr>
                <w:color w:val="000000"/>
                <w:kern w:val="0"/>
                <w:szCs w:val="18"/>
              </w:rPr>
              <w:t>c)</w:t>
            </w:r>
            <w:r>
              <w:rPr>
                <w:color w:val="000000"/>
                <w:kern w:val="0"/>
                <w:szCs w:val="18"/>
              </w:rPr>
              <w:tab/>
            </w:r>
            <w:r>
              <w:rPr>
                <w:color w:val="000000"/>
                <w:kern w:val="0"/>
                <w:szCs w:val="18"/>
              </w:rPr>
              <w:t>防止医疗器械或其内容物（例如：标本）的微生物污染；</w:t>
            </w:r>
          </w:p>
          <w:p>
            <w:pPr>
              <w:spacing w:line="290" w:lineRule="exact"/>
              <w:jc w:val="left"/>
              <w:rPr>
                <w:color w:val="000000"/>
                <w:kern w:val="0"/>
                <w:szCs w:val="18"/>
              </w:rPr>
            </w:pPr>
            <w:r>
              <w:rPr>
                <w:color w:val="000000"/>
                <w:kern w:val="0"/>
                <w:szCs w:val="18"/>
              </w:rPr>
              <w:t>d)</w:t>
            </w:r>
            <w:r>
              <w:rPr>
                <w:color w:val="000000"/>
                <w:kern w:val="0"/>
                <w:szCs w:val="18"/>
              </w:rPr>
              <w:tab/>
            </w:r>
            <w:r>
              <w:rPr>
                <w:color w:val="000000"/>
                <w:kern w:val="0"/>
                <w:szCs w:val="18"/>
              </w:rPr>
              <w:t>尽量减少意外风险（例如：割伤和刺伤（如针刺伤）、意外物质溅入眼睛等）。</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A4</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灭菌和微生物污染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医疗器械其设计应当方便使用者对其进行安全清洁、消毒、灭菌和/或重复灭菌（必要时）。</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GB 18279.1-2015</w:t>
            </w:r>
          </w:p>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医疗保健产品灭菌 环氧乙烷 第1部分：医疗器械灭菌过程的开发、确认和常规控制的要求</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具有微生物限度要求的医疗器械，其设计、生产和包装应当确保在出厂后，按照申请人规定的条件运输和贮存，符合微生物限度要求。</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default" w:ascii="Tahoma" w:hAnsi="Tahoma" w:eastAsia="宋体" w:cs="Times New Roman"/>
                <w:kern w:val="0"/>
                <w:sz w:val="21"/>
                <w:szCs w:val="21"/>
                <w:lang w:val="en-US" w:eastAsia="zh-CN" w:bidi="ar-SA"/>
              </w:rPr>
            </w:pPr>
            <w:r>
              <w:rPr>
                <w:rFonts w:hint="eastAsia" w:cs="Times New Roman"/>
                <w:kern w:val="0"/>
                <w:sz w:val="21"/>
                <w:szCs w:val="21"/>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GB 18279.1-2015</w:t>
            </w:r>
          </w:p>
          <w:p>
            <w:pPr>
              <w:pStyle w:val="14"/>
              <w:spacing w:line="300" w:lineRule="exact"/>
              <w:jc w:val="left"/>
              <w:rPr>
                <w:rFonts w:ascii="宋体" w:hAnsi="Tahoma"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18"/>
                <w:lang w:val="en-US" w:eastAsia="zh-CN" w:bidi="ar-SA"/>
              </w:rPr>
              <w:t>医疗保健产品灭菌 环氧乙烷 第1部分：医疗器械灭菌过程的开发、确认和常规控制的要求</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宋体" w:hAnsi="Tahoma" w:eastAsia="宋体" w:cs="Times New Roman"/>
                <w:kern w:val="0"/>
                <w:sz w:val="21"/>
                <w:szCs w:val="21"/>
                <w:lang w:val="en-US" w:eastAsia="zh-CN" w:bidi="ar-SA"/>
              </w:rPr>
            </w:pPr>
            <w:r>
              <w:rPr>
                <w:rFonts w:hint="eastAsia" w:ascii="Times New Roman" w:hAnsi="Times New Roman" w:eastAsia="宋体" w:cs="Times New Roman"/>
                <w:color w:val="000000"/>
                <w:kern w:val="0"/>
                <w:sz w:val="21"/>
                <w:szCs w:val="18"/>
                <w:lang w:val="en-US" w:eastAsia="zh-CN" w:bidi="ar-SA"/>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default" w:ascii="Tahoma" w:hAnsi="Tahoma" w:eastAsia="宋体" w:cs="Times New Roman"/>
                <w:kern w:val="0"/>
                <w:sz w:val="21"/>
                <w:szCs w:val="21"/>
                <w:lang w:val="en-US" w:eastAsia="zh-CN" w:bidi="ar-SA"/>
              </w:rPr>
            </w:pPr>
            <w:r>
              <w:rPr>
                <w:rFonts w:hint="eastAsia" w:cs="Times New Roman"/>
                <w:kern w:val="0"/>
                <w:sz w:val="21"/>
                <w:szCs w:val="21"/>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GB 18279.1-2015</w:t>
            </w:r>
          </w:p>
          <w:p>
            <w:pPr>
              <w:pStyle w:val="14"/>
              <w:spacing w:line="300" w:lineRule="exact"/>
              <w:jc w:val="left"/>
              <w:rPr>
                <w:rFonts w:ascii="宋体" w:hAnsi="Tahoma"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18"/>
                <w:lang w:val="en-US" w:eastAsia="zh-CN" w:bidi="ar-SA"/>
              </w:rPr>
              <w:t>医疗保健产品灭菌 环氧乙烷 第1部分：医疗器械灭菌过程的开发、确认和常规控制的要求</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宋体" w:hAnsi="Tahoma" w:eastAsia="宋体" w:cs="Times New Roman"/>
                <w:kern w:val="0"/>
                <w:sz w:val="21"/>
                <w:szCs w:val="21"/>
                <w:lang w:val="en-US" w:eastAsia="zh-CN" w:bidi="ar-SA"/>
              </w:rPr>
            </w:pPr>
            <w:r>
              <w:rPr>
                <w:rFonts w:hint="eastAsia" w:ascii="Times New Roman" w:hAnsi="Times New Roman" w:eastAsia="宋体" w:cs="Times New Roman"/>
                <w:color w:val="000000"/>
                <w:kern w:val="0"/>
                <w:sz w:val="21"/>
                <w:szCs w:val="18"/>
                <w:lang w:val="en-US" w:eastAsia="zh-CN" w:bidi="ar-SA"/>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无菌医疗器械应按照经验证的方法进行加工、生产、包装和灭菌，其货架有效期应按照经验证的方法确定。</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default" w:ascii="Tahoma" w:hAnsi="Tahoma" w:eastAsia="宋体" w:cs="Times New Roman"/>
                <w:kern w:val="0"/>
                <w:sz w:val="21"/>
                <w:szCs w:val="21"/>
                <w:lang w:val="en-US" w:eastAsia="zh-CN" w:bidi="ar-SA"/>
              </w:rPr>
            </w:pPr>
            <w:r>
              <w:rPr>
                <w:rFonts w:hint="eastAsia" w:cs="Times New Roman"/>
                <w:kern w:val="0"/>
                <w:sz w:val="21"/>
                <w:szCs w:val="21"/>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GB 18279.1-2015</w:t>
            </w:r>
          </w:p>
          <w:p>
            <w:pPr>
              <w:pStyle w:val="14"/>
              <w:spacing w:line="300" w:lineRule="exact"/>
              <w:jc w:val="left"/>
              <w:rPr>
                <w:rFonts w:ascii="宋体" w:hAnsi="Tahoma"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18"/>
                <w:lang w:val="en-US" w:eastAsia="zh-CN" w:bidi="ar-SA"/>
              </w:rPr>
              <w:t>医疗保健产品灭菌 环氧乙烷 第1部分：医疗器械灭菌过程的开发、确认和常规控制的要求</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宋体" w:hAnsi="Tahoma" w:eastAsia="宋体" w:cs="Times New Roman"/>
                <w:kern w:val="0"/>
                <w:sz w:val="21"/>
                <w:szCs w:val="21"/>
                <w:lang w:val="en-US" w:eastAsia="zh-CN" w:bidi="ar-SA"/>
              </w:rPr>
            </w:pPr>
            <w:r>
              <w:rPr>
                <w:rFonts w:hint="eastAsia" w:ascii="Times New Roman" w:hAnsi="Times New Roman" w:eastAsia="宋体" w:cs="Times New Roman"/>
                <w:color w:val="000000"/>
                <w:kern w:val="0"/>
                <w:sz w:val="21"/>
                <w:szCs w:val="18"/>
                <w:lang w:val="en-US" w:eastAsia="zh-CN" w:bidi="ar-SA"/>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预期无菌使用的医疗器械（申请人灭菌或使用者灭菌），均应在适当且受控的条件和设施下生产和包装。</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default" w:ascii="Tahoma" w:hAnsi="Tahoma" w:eastAsia="宋体" w:cs="Times New Roman"/>
                <w:kern w:val="0"/>
                <w:sz w:val="21"/>
                <w:szCs w:val="21"/>
                <w:lang w:val="en-US" w:eastAsia="zh-CN" w:bidi="ar-SA"/>
              </w:rPr>
            </w:pPr>
            <w:r>
              <w:rPr>
                <w:rFonts w:hint="eastAsia" w:cs="Times New Roman"/>
                <w:kern w:val="0"/>
                <w:sz w:val="21"/>
                <w:szCs w:val="21"/>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GB 18279.1-2015</w:t>
            </w:r>
          </w:p>
          <w:p>
            <w:pPr>
              <w:pStyle w:val="14"/>
              <w:spacing w:line="300" w:lineRule="exact"/>
              <w:jc w:val="left"/>
              <w:rPr>
                <w:rFonts w:ascii="宋体" w:hAnsi="Tahoma"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18"/>
                <w:lang w:val="en-US" w:eastAsia="zh-CN" w:bidi="ar-SA"/>
              </w:rPr>
              <w:t>医疗保健产品灭菌 环氧乙烷 第1部分：医疗器械灭菌过程的开发、确认和常规控制的要求</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宋体" w:hAnsi="Tahoma" w:eastAsia="宋体" w:cs="Times New Roman"/>
                <w:kern w:val="0"/>
                <w:sz w:val="21"/>
                <w:szCs w:val="21"/>
                <w:lang w:val="en-US" w:eastAsia="zh-CN" w:bidi="ar-SA"/>
              </w:rPr>
            </w:pPr>
            <w:r>
              <w:rPr>
                <w:rFonts w:hint="eastAsia" w:ascii="Times New Roman" w:hAnsi="Times New Roman" w:eastAsia="宋体" w:cs="Times New Roman"/>
                <w:color w:val="000000"/>
                <w:kern w:val="0"/>
                <w:sz w:val="21"/>
                <w:szCs w:val="18"/>
                <w:lang w:val="en-US" w:eastAsia="zh-CN" w:bidi="ar-SA"/>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以非无菌状态交付，且使用前灭菌的医疗器械：</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包装应尽量减少产品受到微生物污染的风险，且应适用于申请人规定的灭菌方法；</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申请人规定的灭菌方法应当经过验证。</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否，以无菌方式提供</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4"/>
              <w:rPr>
                <w:rFonts w:ascii="宋体" w:hAnsi="Tahoma" w:eastAsia="宋体" w:cs="Times New Roman"/>
                <w:kern w:val="0"/>
                <w:sz w:val="21"/>
                <w:szCs w:val="21"/>
                <w:lang w:val="en-US" w:eastAsia="zh-CN" w:bidi="ar-SA"/>
              </w:rPr>
            </w:pPr>
            <w:r>
              <w:rPr>
                <w:rFonts w:hint="eastAsia" w:ascii="宋体"/>
                <w:color w:val="000000"/>
                <w:sz w:val="21"/>
                <w:szCs w:val="21"/>
              </w:rPr>
              <w:t>/</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14"/>
              <w:rPr>
                <w:rFonts w:ascii="宋体" w:hAnsi="Tahoma" w:eastAsia="宋体" w:cs="Times New Roman"/>
                <w:kern w:val="0"/>
                <w:sz w:val="21"/>
                <w:szCs w:val="21"/>
                <w:lang w:val="en-US" w:eastAsia="zh-CN" w:bidi="ar-SA"/>
              </w:rPr>
            </w:pPr>
            <w:r>
              <w:rPr>
                <w:rFonts w:hint="eastAsia" w:asci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A4.7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若医疗器械可以无菌和非无菌状态交付使用，应明确标识其交付状态。</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eastAsia" w:ascii="Times New Roman" w:hAnsi="Times New Roman" w:eastAsia="宋体"/>
                <w:color w:val="000000"/>
                <w:kern w:val="2"/>
                <w:sz w:val="21"/>
                <w:szCs w:val="21"/>
                <w:lang w:val="en-US" w:eastAsia="zh-CN"/>
              </w:rPr>
            </w:pPr>
            <w:r>
              <w:rPr>
                <w:rFonts w:hint="eastAsia" w:ascii="宋体"/>
                <w:color w:val="000000"/>
                <w:sz w:val="21"/>
                <w:szCs w:val="21"/>
              </w:rPr>
              <w:t>否</w:t>
            </w:r>
            <w:r>
              <w:rPr>
                <w:rFonts w:hint="eastAsia" w:ascii="宋体"/>
                <w:color w:val="000000"/>
                <w:sz w:val="21"/>
                <w:szCs w:val="21"/>
                <w:lang w:eastAsia="zh-CN"/>
              </w:rPr>
              <w:t>，</w:t>
            </w:r>
            <w:r>
              <w:rPr>
                <w:rFonts w:hint="eastAsia" w:ascii="宋体"/>
                <w:color w:val="auto"/>
                <w:sz w:val="21"/>
                <w:szCs w:val="21"/>
              </w:rPr>
              <w:t>产品只有以无菌状态上市</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4"/>
              <w:rPr>
                <w:rFonts w:ascii="Times New Roman" w:hAnsi="Times New Roman"/>
                <w:color w:val="000000"/>
                <w:kern w:val="2"/>
                <w:sz w:val="21"/>
                <w:szCs w:val="21"/>
              </w:rPr>
            </w:pPr>
            <w:r>
              <w:rPr>
                <w:rFonts w:hint="eastAsia" w:ascii="宋体"/>
                <w:color w:val="000000"/>
                <w:sz w:val="21"/>
                <w:szCs w:val="21"/>
              </w:rPr>
              <w:t>/</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default" w:ascii="Times New Roman" w:hAnsi="Times New Roman" w:eastAsia="宋体"/>
                <w:color w:val="000000"/>
                <w:kern w:val="2"/>
                <w:sz w:val="21"/>
                <w:szCs w:val="21"/>
                <w:lang w:val="en-US" w:eastAsia="zh-CN"/>
              </w:rPr>
            </w:pPr>
            <w:r>
              <w:rPr>
                <w:rFonts w:hint="eastAsia" w:ascii="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jc w:val="center"/>
              <w:rPr>
                <w:rFonts w:ascii="Times New Roman" w:hAnsi="Times New Roman" w:eastAsia="宋体"/>
                <w:color w:val="000000"/>
                <w:kern w:val="2"/>
                <w:sz w:val="21"/>
              </w:rPr>
            </w:pPr>
            <w:r>
              <w:rPr>
                <w:rFonts w:ascii="Times New Roman" w:hAnsi="Times New Roman" w:eastAsia="宋体"/>
                <w:color w:val="000000"/>
                <w:kern w:val="2"/>
                <w:sz w:val="21"/>
              </w:rPr>
              <w:t>A5</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环境和使用条件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left"/>
              <w:rPr>
                <w:rFonts w:ascii="宋体" w:hAnsi="Tahoma" w:eastAsia="宋体" w:cs="Times New Roman"/>
                <w:kern w:val="0"/>
                <w:sz w:val="21"/>
                <w:szCs w:val="21"/>
                <w:lang w:val="en-US" w:eastAsia="zh-CN" w:bidi="ar-SA"/>
              </w:rPr>
            </w:pPr>
            <w:r>
              <w:rPr>
                <w:rFonts w:hint="eastAsia" w:ascii="宋体"/>
                <w:sz w:val="21"/>
                <w:szCs w:val="21"/>
              </w:rPr>
              <w:t>是</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医疗器械说明书和标签管理规定、</w:t>
            </w:r>
          </w:p>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default"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3.非临床资料</w:t>
            </w:r>
          </w:p>
          <w:p>
            <w:pPr>
              <w:pStyle w:val="14"/>
              <w:spacing w:line="300" w:lineRule="exact"/>
              <w:jc w:val="left"/>
              <w:rPr>
                <w:rFonts w:hint="default"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5.产品说明书与标签样稿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highlight w:val="none"/>
              </w:rPr>
            </w:pPr>
            <w:r>
              <w:rPr>
                <w:color w:val="000000"/>
                <w:kern w:val="0"/>
                <w:szCs w:val="18"/>
                <w:highlight w:val="none"/>
              </w:rPr>
              <w:t>医疗器械的设计和生产应当考虑预期的使用环境和使用条件，以消除或降低下列风险：</w:t>
            </w:r>
          </w:p>
          <w:p>
            <w:pPr>
              <w:spacing w:line="300" w:lineRule="exact"/>
              <w:jc w:val="left"/>
              <w:rPr>
                <w:color w:val="000000"/>
                <w:kern w:val="0"/>
                <w:szCs w:val="18"/>
                <w:highlight w:val="none"/>
              </w:rPr>
            </w:pPr>
            <w:r>
              <w:rPr>
                <w:color w:val="000000"/>
                <w:kern w:val="0"/>
                <w:szCs w:val="18"/>
                <w:highlight w:val="none"/>
              </w:rPr>
              <w:t>a)</w:t>
            </w:r>
            <w:r>
              <w:rPr>
                <w:color w:val="000000"/>
                <w:kern w:val="0"/>
                <w:szCs w:val="18"/>
                <w:highlight w:val="none"/>
              </w:rPr>
              <w:tab/>
            </w:r>
            <w:r>
              <w:rPr>
                <w:color w:val="000000"/>
                <w:kern w:val="0"/>
                <w:szCs w:val="18"/>
                <w:highlight w:val="none"/>
              </w:rPr>
              <w:t>与物理和人体工程学/可用性的特性有关，对使用者或他人造成损伤的风险；</w:t>
            </w:r>
          </w:p>
          <w:p>
            <w:pPr>
              <w:spacing w:line="300" w:lineRule="exact"/>
              <w:jc w:val="left"/>
              <w:rPr>
                <w:color w:val="000000"/>
                <w:kern w:val="0"/>
                <w:szCs w:val="18"/>
                <w:highlight w:val="none"/>
              </w:rPr>
            </w:pPr>
            <w:r>
              <w:rPr>
                <w:color w:val="000000"/>
                <w:kern w:val="0"/>
                <w:szCs w:val="18"/>
                <w:highlight w:val="none"/>
              </w:rPr>
              <w:t>b)</w:t>
            </w:r>
            <w:r>
              <w:rPr>
                <w:color w:val="000000"/>
                <w:kern w:val="0"/>
                <w:szCs w:val="18"/>
                <w:highlight w:val="none"/>
              </w:rPr>
              <w:tab/>
            </w:r>
            <w:r>
              <w:rPr>
                <w:color w:val="000000"/>
                <w:kern w:val="0"/>
                <w:szCs w:val="18"/>
                <w:highlight w:val="none"/>
              </w:rPr>
              <w:t>由于用户界面设计、人体工程学/可用性的特性以及预期使用环境导致的错误操作的风险；</w:t>
            </w:r>
          </w:p>
          <w:p>
            <w:pPr>
              <w:spacing w:line="300" w:lineRule="exact"/>
              <w:jc w:val="left"/>
              <w:rPr>
                <w:color w:val="000000"/>
                <w:kern w:val="0"/>
                <w:szCs w:val="18"/>
                <w:highlight w:val="none"/>
              </w:rPr>
            </w:pPr>
            <w:r>
              <w:rPr>
                <w:color w:val="000000"/>
                <w:kern w:val="0"/>
                <w:szCs w:val="18"/>
                <w:highlight w:val="none"/>
              </w:rPr>
              <w:t>c)</w:t>
            </w:r>
            <w:r>
              <w:rPr>
                <w:color w:val="000000"/>
                <w:kern w:val="0"/>
                <w:szCs w:val="18"/>
                <w:highlight w:val="none"/>
              </w:rPr>
              <w:tab/>
            </w:r>
            <w:r>
              <w:rPr>
                <w:color w:val="000000"/>
                <w:kern w:val="0"/>
                <w:szCs w:val="18"/>
                <w:highlight w:val="none"/>
              </w:rPr>
              <w:t>与合理可预期的外部因素或环境条件有关的风险，如磁场、外部电磁效应、静电释放、诊断和治疗带来的辐射、压力、湿度、温度和/或压力和加速度的变化；</w:t>
            </w:r>
          </w:p>
          <w:p>
            <w:pPr>
              <w:spacing w:line="300" w:lineRule="exact"/>
              <w:jc w:val="left"/>
              <w:rPr>
                <w:color w:val="000000"/>
                <w:kern w:val="0"/>
                <w:szCs w:val="18"/>
                <w:highlight w:val="none"/>
              </w:rPr>
            </w:pPr>
            <w:r>
              <w:rPr>
                <w:color w:val="000000"/>
                <w:kern w:val="0"/>
                <w:szCs w:val="18"/>
                <w:highlight w:val="none"/>
              </w:rPr>
              <w:t>d)</w:t>
            </w:r>
            <w:r>
              <w:rPr>
                <w:color w:val="000000"/>
                <w:kern w:val="0"/>
                <w:szCs w:val="18"/>
                <w:highlight w:val="none"/>
              </w:rPr>
              <w:tab/>
            </w:r>
            <w:r>
              <w:rPr>
                <w:color w:val="000000"/>
                <w:kern w:val="0"/>
                <w:szCs w:val="18"/>
                <w:highlight w:val="none"/>
              </w:rPr>
              <w:t>正常使用条件下与固体材料、液体和其他物质，包括气体，接触而产生的风险；</w:t>
            </w:r>
          </w:p>
          <w:p>
            <w:pPr>
              <w:spacing w:line="300" w:lineRule="exact"/>
              <w:jc w:val="left"/>
              <w:rPr>
                <w:color w:val="000000"/>
                <w:kern w:val="0"/>
                <w:szCs w:val="18"/>
                <w:highlight w:val="none"/>
              </w:rPr>
            </w:pPr>
            <w:r>
              <w:rPr>
                <w:color w:val="000000"/>
                <w:kern w:val="0"/>
                <w:szCs w:val="18"/>
                <w:highlight w:val="none"/>
              </w:rPr>
              <w:t>e)</w:t>
            </w:r>
            <w:r>
              <w:rPr>
                <w:color w:val="000000"/>
                <w:kern w:val="0"/>
                <w:szCs w:val="18"/>
                <w:highlight w:val="none"/>
              </w:rPr>
              <w:tab/>
            </w:r>
            <w:r>
              <w:rPr>
                <w:color w:val="000000"/>
                <w:kern w:val="0"/>
                <w:szCs w:val="18"/>
                <w:highlight w:val="none"/>
              </w:rPr>
              <w:t>软件与信息技术（IT）运行环境的兼容性造成的风险；</w:t>
            </w:r>
          </w:p>
          <w:p>
            <w:pPr>
              <w:spacing w:line="300" w:lineRule="exact"/>
              <w:jc w:val="left"/>
              <w:rPr>
                <w:color w:val="000000"/>
                <w:kern w:val="0"/>
                <w:szCs w:val="18"/>
                <w:highlight w:val="none"/>
              </w:rPr>
            </w:pPr>
            <w:r>
              <w:rPr>
                <w:color w:val="000000"/>
                <w:kern w:val="0"/>
                <w:szCs w:val="18"/>
                <w:highlight w:val="none"/>
              </w:rPr>
              <w:t>f)</w:t>
            </w:r>
            <w:r>
              <w:rPr>
                <w:color w:val="000000"/>
                <w:kern w:val="0"/>
                <w:szCs w:val="18"/>
                <w:highlight w:val="none"/>
              </w:rPr>
              <w:tab/>
            </w:r>
            <w:r>
              <w:rPr>
                <w:color w:val="000000"/>
                <w:kern w:val="0"/>
                <w:szCs w:val="18"/>
                <w:highlight w:val="none"/>
              </w:rPr>
              <w:t>正常使用过程中，医疗器械非预期析出物导致的环境风险；</w:t>
            </w:r>
          </w:p>
          <w:p>
            <w:pPr>
              <w:spacing w:line="300" w:lineRule="exact"/>
              <w:jc w:val="left"/>
              <w:rPr>
                <w:color w:val="000000"/>
                <w:kern w:val="0"/>
                <w:szCs w:val="18"/>
                <w:highlight w:val="none"/>
              </w:rPr>
            </w:pPr>
            <w:r>
              <w:rPr>
                <w:color w:val="000000"/>
                <w:kern w:val="0"/>
                <w:szCs w:val="18"/>
                <w:highlight w:val="none"/>
              </w:rPr>
              <w:t>g)</w:t>
            </w:r>
            <w:r>
              <w:rPr>
                <w:color w:val="000000"/>
                <w:kern w:val="0"/>
                <w:szCs w:val="18"/>
                <w:highlight w:val="none"/>
              </w:rPr>
              <w:tab/>
            </w:r>
            <w:r>
              <w:rPr>
                <w:color w:val="000000"/>
                <w:kern w:val="0"/>
                <w:szCs w:val="18"/>
                <w:highlight w:val="none"/>
              </w:rPr>
              <w:t>样本/样品/数据不正确识别和错误结果导致的风险，比如用于分析、测试或检测的样本容器、可拆卸部件和/或附件，其颜色和/或数字编码混淆；</w:t>
            </w:r>
          </w:p>
          <w:p>
            <w:pPr>
              <w:spacing w:line="300" w:lineRule="exact"/>
              <w:jc w:val="left"/>
              <w:rPr>
                <w:color w:val="000000"/>
                <w:kern w:val="0"/>
                <w:szCs w:val="18"/>
                <w:highlight w:val="none"/>
              </w:rPr>
            </w:pPr>
            <w:r>
              <w:rPr>
                <w:color w:val="000000"/>
                <w:kern w:val="0"/>
                <w:szCs w:val="18"/>
                <w:highlight w:val="none"/>
              </w:rPr>
              <w:t>h)</w:t>
            </w:r>
            <w:r>
              <w:rPr>
                <w:color w:val="000000"/>
                <w:kern w:val="0"/>
                <w:szCs w:val="18"/>
                <w:highlight w:val="none"/>
              </w:rPr>
              <w:tab/>
            </w:r>
            <w:r>
              <w:rPr>
                <w:color w:val="000000"/>
                <w:kern w:val="0"/>
                <w:szCs w:val="18"/>
                <w:highlight w:val="none"/>
              </w:rPr>
              <w:t>与其他用于诊断、监测或治疗的医疗器械互相干扰导致的风险。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highlight w:val="none"/>
                <w:lang w:val="en-US" w:eastAsia="zh-CN"/>
              </w:rPr>
            </w:pPr>
            <w:r>
              <w:rPr>
                <w:rFonts w:hint="eastAsia" w:ascii="Times New Roman" w:hAnsi="Times New Roman"/>
                <w:color w:val="000000"/>
                <w:kern w:val="2"/>
                <w:sz w:val="21"/>
                <w:szCs w:val="18"/>
                <w:highlight w:val="none"/>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highlight w:val="none"/>
              </w:rPr>
            </w:pPr>
            <w:r>
              <w:rPr>
                <w:rFonts w:hint="default" w:ascii="Times New Roman" w:hAnsi="Times New Roman" w:cs="Times New Roman"/>
                <w:color w:val="auto"/>
                <w:sz w:val="21"/>
                <w:szCs w:val="21"/>
                <w:highlight w:val="none"/>
              </w:rPr>
              <w:t>YY/T0316-</w:t>
            </w:r>
            <w:r>
              <w:rPr>
                <w:rFonts w:hint="default" w:ascii="Times New Roman" w:hAnsi="Times New Roman" w:cs="Times New Roman"/>
                <w:color w:val="auto"/>
                <w:sz w:val="21"/>
                <w:szCs w:val="21"/>
                <w:highlight w:val="none"/>
                <w:lang w:eastAsia="zh-CN"/>
              </w:rPr>
              <w:t>2016</w:t>
            </w:r>
            <w:r>
              <w:rPr>
                <w:rFonts w:hint="default" w:ascii="Times New Roman" w:hAnsi="Times New Roman" w:cs="Times New Roman"/>
                <w:color w:val="auto"/>
                <w:sz w:val="21"/>
                <w:szCs w:val="21"/>
                <w:highlight w:val="none"/>
              </w:rPr>
              <w:t xml:space="preserve">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olor w:val="000000"/>
                <w:kern w:val="2"/>
                <w:sz w:val="21"/>
                <w:szCs w:val="18"/>
                <w:highlight w:val="none"/>
                <w:lang w:val="en-US" w:eastAsia="zh-CN"/>
              </w:rPr>
            </w:pPr>
            <w:r>
              <w:rPr>
                <w:rFonts w:hint="eastAsia" w:ascii="Times New Roman" w:hAnsi="Times New Roman"/>
                <w:color w:val="000000"/>
                <w:kern w:val="2"/>
                <w:sz w:val="21"/>
                <w:szCs w:val="18"/>
                <w:highlight w:val="none"/>
                <w:lang w:val="en-US" w:eastAsia="zh-CN"/>
              </w:rPr>
              <w:t>3.非临床资料</w:t>
            </w:r>
          </w:p>
          <w:p>
            <w:pPr>
              <w:pStyle w:val="14"/>
              <w:spacing w:line="300" w:lineRule="exact"/>
              <w:jc w:val="left"/>
              <w:rPr>
                <w:rFonts w:ascii="Times New Roman" w:hAnsi="Times New Roman"/>
                <w:color w:val="000000"/>
                <w:kern w:val="2"/>
                <w:sz w:val="21"/>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highlight w:val="none"/>
              </w:rPr>
            </w:pPr>
            <w:r>
              <w:rPr>
                <w:color w:val="000000"/>
                <w:kern w:val="0"/>
                <w:szCs w:val="18"/>
                <w:highlight w:val="none"/>
              </w:rPr>
              <w:t>A5.3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highlight w:val="none"/>
              </w:rPr>
            </w:pPr>
            <w:r>
              <w:rPr>
                <w:color w:val="000000"/>
                <w:kern w:val="0"/>
                <w:szCs w:val="18"/>
                <w:highlight w:val="none"/>
              </w:rPr>
              <w:t>医疗器械的设计和生产应当消除或降低在正常状态及单一故障状态下燃烧和爆炸的风险，尤其是预期用途包括暴露于易燃、易爆物质或其他可致燃物相关的器械联用。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highlight w:val="none"/>
                <w:lang w:val="en-US" w:eastAsia="zh-CN"/>
              </w:rPr>
            </w:pPr>
            <w:r>
              <w:rPr>
                <w:rFonts w:hint="eastAsia" w:ascii="Times New Roman" w:hAnsi="Times New Roman"/>
                <w:color w:val="000000"/>
                <w:kern w:val="2"/>
                <w:sz w:val="21"/>
                <w:szCs w:val="21"/>
                <w:highlight w:val="none"/>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14"/>
              <w:jc w:val="both"/>
              <w:rPr>
                <w:rFonts w:hint="eastAsia" w:ascii="宋体" w:hAnsi="Tahoma" w:eastAsia="宋体" w:cs="Times New Roman"/>
                <w:kern w:val="0"/>
                <w:sz w:val="18"/>
                <w:szCs w:val="18"/>
                <w:lang w:val="en-US" w:eastAsia="zh-CN" w:bidi="ar-SA"/>
              </w:rPr>
            </w:pPr>
            <w:r>
              <w:rPr>
                <w:rFonts w:hint="eastAsia" w:ascii="Times New Roman" w:hAnsi="Times New Roman"/>
                <w:color w:val="000000"/>
                <w:kern w:val="2"/>
                <w:sz w:val="21"/>
                <w:szCs w:val="18"/>
              </w:rPr>
              <w:t>YY/T0316-</w:t>
            </w:r>
            <w:r>
              <w:rPr>
                <w:rFonts w:hint="eastAsia" w:ascii="Times New Roman" w:hAnsi="Times New Roman"/>
                <w:color w:val="000000"/>
                <w:kern w:val="2"/>
                <w:sz w:val="21"/>
                <w:szCs w:val="18"/>
                <w:lang w:eastAsia="zh-CN"/>
              </w:rPr>
              <w:t>2016</w:t>
            </w:r>
            <w:r>
              <w:rPr>
                <w:rFonts w:hint="eastAsia" w:ascii="Times New Roman" w:hAnsi="Times New Roman"/>
                <w:color w:val="000000"/>
                <w:kern w:val="2"/>
                <w:sz w:val="21"/>
                <w:szCs w:val="18"/>
              </w:rPr>
              <w:t>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numPr>
                <w:ilvl w:val="0"/>
                <w:numId w:val="0"/>
              </w:numPr>
              <w:spacing w:line="300" w:lineRule="exact"/>
              <w:jc w:val="left"/>
              <w:rPr>
                <w:rFonts w:hint="eastAsia"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p>
            <w:pPr>
              <w:pStyle w:val="14"/>
              <w:spacing w:line="300" w:lineRule="exact"/>
              <w:jc w:val="left"/>
              <w:rPr>
                <w:rFonts w:ascii="Times New Roman" w:hAnsi="Times New Roman"/>
                <w:color w:val="000000"/>
                <w:kern w:val="2"/>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医疗器械的设计和生产应能确保调整、校准和维护过程能够安全有效的完成。</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对无法进行维护的医疗器械，如植入物，应尽量降低材料老化等风险；</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对无法进行调整和校准的医疗器械，如某些类型的温度计，应尽量降低测量或控制机制精度的损失风险。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highlight w:val="red"/>
                <w:lang w:val="en-US" w:eastAsia="zh-CN" w:bidi="ar-SA"/>
              </w:rPr>
            </w:pPr>
            <w:r>
              <w:rPr>
                <w:rFonts w:hint="eastAsia" w:ascii="Times New Roman" w:hAnsi="Times New Roman" w:eastAsia="宋体" w:cs="Times New Roman"/>
                <w:color w:val="000000"/>
                <w:kern w:val="0"/>
                <w:sz w:val="21"/>
                <w:szCs w:val="18"/>
                <w:lang w:val="en-US" w:eastAsia="zh-CN" w:bidi="ar-SA"/>
              </w:rPr>
              <w:t>YY/T0287-2017医疗器械质量管理体系</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6.质量管理体系文件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与其他医疗器械或产品联合使用的医疗器械，其设计和生产应能保证互操作性和兼容性可靠且安全。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否，不与其他器械联合使用</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医疗器械的设计和生产应能降低未经授权的访问风险，这种访问可能会妨碍器械正常运行，或造成安全隐患。</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否，不涉及未经授权的访问</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具有测量、监视或有数值显示功能的医疗器械，其设计和生产应当符合人体工程学/可用性原则，并应顾及器械预期用途、预期使用者、使用环境。</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否，不具有测量、监视或有数值显示功能</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A5.8</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医疗器械的设计和生产应便于使用者、患者或其他人员对其以及相关废弃物的安全处置或再利用。使用说明书应明确安全处置或回收的程序和方法。</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default" w:ascii="Times New Roman" w:hAnsi="Times New Roman" w:cs="Times New Roman"/>
                <w:color w:val="auto"/>
                <w:sz w:val="21"/>
                <w:szCs w:val="21"/>
              </w:rPr>
              <w:t>医疗器械说明书和标签管理规定</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hint="eastAsia" w:ascii="Times New Roman" w:hAnsi="Times New Roman"/>
                <w:color w:val="000000"/>
                <w:kern w:val="2"/>
                <w:sz w:val="21"/>
                <w:szCs w:val="18"/>
                <w:lang w:val="en-US" w:eastAsia="zh-CN"/>
              </w:rPr>
              <w:t>5.产品说明书与标签样稿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A6</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对电气、机械和热风险的防护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医疗器械的设计和生产应具有机械相关的防护，保护使用者免于承受由诸如运动阻力、不稳定性和活动部件等引起的机械风险。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除非振动是器械特定性能的一部分，否则医疗器械的设计和生产应当将产品振动导致的风险降到最低，应尽量采用限制振动（特别是振动源）的方法。</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spacing w:val="-4"/>
                <w:kern w:val="0"/>
                <w:szCs w:val="18"/>
              </w:rPr>
            </w:pPr>
            <w:r>
              <w:rPr>
                <w:color w:val="000000"/>
                <w:spacing w:val="-4"/>
                <w:kern w:val="0"/>
                <w:szCs w:val="18"/>
              </w:rPr>
              <w:t>除非噪声是器械特定性能的一部分，否则医疗器械设计和生产应将产品噪声导致的风险降到最低，应尽量采用限制噪声（特别是噪声源）的方法。</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否，不涉及噪声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spacing w:val="-4"/>
                <w:kern w:val="0"/>
                <w:szCs w:val="18"/>
              </w:rPr>
            </w:pPr>
            <w:r>
              <w:rPr>
                <w:color w:val="000000"/>
                <w:spacing w:val="-4"/>
                <w:kern w:val="0"/>
                <w:szCs w:val="18"/>
              </w:rPr>
              <w:t>如果医疗器械的部件在使用前或使用中需要进行连接或重新连接，其设计和生产应当降低这些部件间的连接故障风险。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0"/>
                <w:sz w:val="21"/>
                <w:szCs w:val="18"/>
                <w:lang w:val="en-US" w:eastAsia="zh-CN" w:bidi="ar-SA"/>
              </w:rPr>
            </w:pPr>
            <w:r>
              <w:rPr>
                <w:rFonts w:hint="eastAsia" w:ascii="Times New Roman" w:hAnsi="Times New Roman" w:eastAsia="宋体" w:cs="Times New Roman"/>
                <w:color w:val="000000"/>
                <w:kern w:val="0"/>
                <w:sz w:val="21"/>
                <w:szCs w:val="18"/>
                <w:lang w:val="en-US" w:eastAsia="zh-CN" w:bidi="ar-SA"/>
              </w:rPr>
              <w:t>YY/T0316-2016 医疗器械 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A6.5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spacing w:val="-4"/>
                <w:kern w:val="0"/>
                <w:szCs w:val="18"/>
              </w:rPr>
            </w:pPr>
            <w:r>
              <w:rPr>
                <w:color w:val="000000"/>
                <w:spacing w:val="-4"/>
                <w:kern w:val="0"/>
                <w:szCs w:val="18"/>
              </w:rPr>
              <w:t>医疗器械的可接触部件（不包括用于供热或既定温度设置部位）及其周围环境，在正常使用时不应存在过热风险。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否，正常使用时不存在过热风险</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0"/>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A7</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Cs w:val="18"/>
              </w:rPr>
            </w:pPr>
            <w:r>
              <w:rPr>
                <w:color w:val="000000"/>
                <w:kern w:val="0"/>
                <w:szCs w:val="18"/>
              </w:rPr>
              <w:t>有源医疗器械及与其连接的医疗器械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bookmarkStart w:id="0" w:name="OLE_LINK1" w:colFirst="2" w:colLast="4"/>
            <w:r>
              <w:rPr>
                <w:color w:val="000000"/>
                <w:kern w:val="0"/>
                <w:szCs w:val="18"/>
              </w:rPr>
              <w:t>A7.1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当有源医疗器械发生单一故障时，应当采取适当的措施消除或降低因此而产生的风险。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0"/>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患者的安全依赖于内部电源供电的医疗器械，应当具有检测供电状态的功能，并在电源容量不足时提供适当的提示或警告。</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患者的安全取决于外部电源供电状态的医疗器械，应当包括可显示任何电源故障的报警系统。</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用于监视患者一个或多个临床指标的医疗器械，必须配备适当报警系统，在患者健康状况恶化或危及生命时，向使用者发出警报。</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鉴于电磁干扰可能会损害正常运行的装置或设备，医疗器械的设计和生产应降低产生电磁干扰的风险。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A7.6</w:t>
            </w:r>
          </w:p>
        </w:tc>
        <w:tc>
          <w:tcPr>
            <w:tcW w:w="4521"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color w:val="000000"/>
                <w:kern w:val="0"/>
                <w:szCs w:val="18"/>
              </w:rPr>
            </w:pPr>
            <w:r>
              <w:rPr>
                <w:color w:val="000000"/>
                <w:kern w:val="0"/>
                <w:szCs w:val="18"/>
              </w:rPr>
              <w:t>医疗器械的设计和生产，应确保产品具有足够的抗电磁干扰能力，以确保产品的正常运行。</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A7.7</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当产品按申请人的说明进行安装和维护，在正常状态和单一故障状态时，医疗器械的设计和生产应减少使用者和他人免于遭受意外电击的风险。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kern w:val="2"/>
                <w:sz w:val="21"/>
                <w:szCs w:val="18"/>
                <w:lang w:val="en-US" w:eastAsia="zh-CN"/>
              </w:rPr>
              <w:t>否，为无源医疗器械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A8</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290" w:lineRule="exact"/>
              <w:rPr>
                <w:color w:val="000000"/>
                <w:kern w:val="0"/>
                <w:szCs w:val="18"/>
              </w:rPr>
            </w:pPr>
            <w:r>
              <w:rPr>
                <w:color w:val="000000"/>
                <w:kern w:val="0"/>
                <w:szCs w:val="18"/>
              </w:rPr>
              <w:t>含有软件的医疗器械以及独立软件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否，不含软件</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0"/>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否，不含软件</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预期与移动计算平台整合使用的软件，其设计和开发，应当考虑平台本身（如屏幕尺寸和对比度、联通性、内存等）以及与其使用相关的外部因素（不同环境下的照明或噪声水平）。</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kern w:val="2"/>
                <w:sz w:val="21"/>
                <w:szCs w:val="18"/>
                <w:lang w:val="en-US" w:eastAsia="zh-CN"/>
              </w:rPr>
              <w:t>否，不含软件</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申请人应规定软件按照预期正常运行所必须的最低要求，如硬件、IT网络特性和IT网络安全措施，包括未经授权的访问。</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否，不含软件</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A8.5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医疗器械的设计、生产和维护应能提供足够的网络安全水平，以防止未经授权的访问。</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否，不含软件</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A9</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具有诊断或测量功能的医疗器械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A9.1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具有诊断或测量（包括监测）功能的医疗器械的设计和生产，应当基于适当的科技方法，除其他性能外，还应确保相应的准确度、精密度和稳定性，以实现其预期目的。</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申请人应规定准确度限值（如适用）。</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为便于使用者理解和接受，数字化测量值应以标准化单位表示（如可能），推荐使用国际通用的标准计量单位，考虑到安全、使用者的熟悉程度和既往的临床实践，也可使用其他公认的计量单位。</w:t>
            </w:r>
          </w:p>
          <w:p>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医疗器械导示器和控制器的功能应有详细的说明，若器械通过可视化系统提供与操作、操作指示或调整参数有关的说明，该类信息应能够被使用者和患者（适用时）理解。</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否，不具有诊断或测量功能</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0"/>
                <w:sz w:val="21"/>
                <w:szCs w:val="18"/>
                <w:lang w:val="en-US" w:eastAsia="zh-CN" w:bidi="ar-SA"/>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A10</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说明书和标签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A10.1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宋体"/>
                <w:color w:val="000000"/>
                <w:sz w:val="21"/>
                <w:szCs w:val="21"/>
              </w:rPr>
              <w:t>医疗器械说明书和标签管理规定</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5.产品说明书和标签样稿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医疗器械的设计、生产和包装应当考虑尽量减少使用者、他人和患者（如适用）的辐射吸收剂量，同时不影响其诊断或治疗功能。</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否，产品不发出辐射</w:t>
            </w: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具有辐射或潜在辐射危害的医疗器械，其操作说明应详细说明辐射的性质，对使用者、他人或患者（若适用）的防护措施，避免误用的方法，降低运输、贮存和安装的风险。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21"/>
                <w:lang w:val="en-US" w:eastAsia="zh-CN"/>
              </w:rPr>
              <w:t>否，产品不发出辐射</w:t>
            </w: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imes New Roman" w:hAnsi="Times New Roman" w:eastAsia="宋体" w:cs="Times New Roman"/>
                <w:color w:val="000000"/>
                <w:kern w:val="2"/>
                <w:sz w:val="21"/>
                <w:szCs w:val="18"/>
                <w:lang w:val="en-US" w:eastAsia="zh-CN" w:bidi="ar-SA"/>
              </w:rPr>
            </w:pPr>
            <w:r>
              <w:rPr>
                <w:rFonts w:hint="eastAsia" w:cs="Times New Roman"/>
                <w:color w:val="000000"/>
                <w:kern w:val="2"/>
                <w:sz w:val="21"/>
                <w:szCs w:val="21"/>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若医疗器械有辐射或有潜在辐射危害，应当具备辐射泄漏声光报警功能（如可行）。</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21"/>
                <w:lang w:val="en-US" w:eastAsia="zh-CN"/>
              </w:rPr>
              <w:t>否，产品不发出辐射</w:t>
            </w: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imes New Roman" w:hAnsi="Times New Roman" w:eastAsia="宋体" w:cs="Times New Roman"/>
                <w:color w:val="000000"/>
                <w:kern w:val="2"/>
                <w:sz w:val="21"/>
                <w:szCs w:val="18"/>
                <w:lang w:val="en-US" w:eastAsia="zh-CN" w:bidi="ar-SA"/>
              </w:rPr>
            </w:pPr>
            <w:r>
              <w:rPr>
                <w:rFonts w:hint="eastAsia" w:cs="Times New Roman"/>
                <w:color w:val="000000"/>
                <w:kern w:val="2"/>
                <w:sz w:val="21"/>
                <w:szCs w:val="21"/>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A11.4</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rPr>
              <w:t>否，产品不发出辐射</w:t>
            </w: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A11.5</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具有辐射或潜在辐射危害且需要安装的医疗器械，应当在操作说明中明确有关验收和性能测试、验收标准及维护程序的信息。</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否，产品无辐射</w:t>
            </w:r>
            <w:r>
              <w:rPr>
                <w:color w:val="000000"/>
                <w:kern w:val="0"/>
                <w:sz w:val="21"/>
                <w:szCs w:val="21"/>
              </w:rPr>
              <w:t>危害且</w:t>
            </w:r>
            <w:r>
              <w:rPr>
                <w:rFonts w:hint="eastAsia"/>
                <w:color w:val="000000"/>
                <w:kern w:val="0"/>
                <w:sz w:val="21"/>
                <w:szCs w:val="21"/>
                <w:lang w:val="en-US" w:eastAsia="zh-CN"/>
              </w:rPr>
              <w:t>不</w:t>
            </w:r>
            <w:r>
              <w:rPr>
                <w:color w:val="000000"/>
                <w:kern w:val="0"/>
                <w:sz w:val="21"/>
                <w:szCs w:val="21"/>
              </w:rPr>
              <w:t>需要安装</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A11.6</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left"/>
              <w:rPr>
                <w:rFonts w:hint="default" w:ascii="Times New Roman" w:hAnsi="Times New Roman" w:eastAsia="宋体" w:cs="Times New Roman"/>
                <w:color w:val="000000"/>
                <w:kern w:val="2"/>
                <w:sz w:val="21"/>
                <w:szCs w:val="18"/>
                <w:lang w:val="en-US" w:eastAsia="zh-CN" w:bidi="ar-SA"/>
              </w:rPr>
            </w:pPr>
            <w:r>
              <w:rPr>
                <w:rFonts w:hint="eastAsia" w:ascii="宋体"/>
                <w:color w:val="auto"/>
                <w:sz w:val="21"/>
                <w:szCs w:val="21"/>
              </w:rPr>
              <w:t>否</w:t>
            </w:r>
            <w:r>
              <w:rPr>
                <w:rFonts w:hint="eastAsia" w:ascii="宋体"/>
                <w:color w:val="auto"/>
                <w:sz w:val="21"/>
                <w:szCs w:val="21"/>
                <w:lang w:eastAsia="zh-CN"/>
              </w:rPr>
              <w:t>，</w:t>
            </w:r>
            <w:r>
              <w:rPr>
                <w:rFonts w:hint="eastAsia" w:ascii="宋体"/>
                <w:color w:val="auto"/>
                <w:sz w:val="21"/>
                <w:szCs w:val="21"/>
              </w:rPr>
              <w:t>本产品不属于预期放射电离辐射设备</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A12</w:t>
            </w:r>
          </w:p>
        </w:tc>
        <w:tc>
          <w:tcPr>
            <w:tcW w:w="821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Cs w:val="18"/>
              </w:rPr>
            </w:pPr>
            <w:r>
              <w:rPr>
                <w:color w:val="000000"/>
                <w:kern w:val="0"/>
                <w:szCs w:val="18"/>
              </w:rPr>
              <w:t>对非专业用户使用风险的防护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宋体"/>
                <w:color w:val="000000"/>
                <w:sz w:val="21"/>
                <w:szCs w:val="21"/>
              </w:rPr>
              <w:t>医疗器械说明书和标签管理规定</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5.产品说明书和标签样稿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供非专业用户使用的医疗器械（如自测或近患者检测）的设计和生产应当：</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确保使用者可以按照使用说明书的规定安全准确的使用。当无法将与说明书相关的风险降低到适当水平时，可以通过培训来降低此类风险；</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尽可能减少非专业用户因错误操作和错误解释结果导致的风险。</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kern w:val="2"/>
                <w:sz w:val="21"/>
                <w:szCs w:val="18"/>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宋体"/>
                <w:color w:val="000000"/>
                <w:sz w:val="21"/>
                <w:szCs w:val="21"/>
              </w:rPr>
            </w:pPr>
            <w:r>
              <w:rPr>
                <w:rFonts w:hint="eastAsia" w:ascii="宋体"/>
                <w:color w:val="000000"/>
                <w:sz w:val="21"/>
                <w:szCs w:val="21"/>
              </w:rPr>
              <w:t>医疗器械说明书和标签管理规定</w:t>
            </w:r>
          </w:p>
          <w:p>
            <w:pPr>
              <w:pStyle w:val="14"/>
              <w:spacing w:line="300" w:lineRule="exact"/>
              <w:jc w:val="left"/>
              <w:rPr>
                <w:rFonts w:hint="eastAsia" w:ascii="宋体"/>
                <w:color w:val="000000"/>
                <w:sz w:val="21"/>
                <w:szCs w:val="21"/>
                <w:lang w:val="en-US" w:eastAsia="zh-CN"/>
              </w:rPr>
            </w:pPr>
            <w:r>
              <w:rPr>
                <w:rFonts w:hint="default" w:ascii="Times New Roman" w:hAnsi="Times New Roman" w:eastAsia="宋体" w:cs="Times New Roman"/>
                <w:color w:val="auto"/>
                <w:kern w:val="0"/>
                <w:sz w:val="21"/>
                <w:szCs w:val="21"/>
                <w:lang w:val="en-US" w:eastAsia="zh-CN" w:bidi="ar-SA"/>
              </w:rPr>
              <w:t>YY/T0316-2016风险管理对医疗器械的应用</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color w:val="000000"/>
                <w:kern w:val="2"/>
                <w:sz w:val="21"/>
                <w:szCs w:val="18"/>
                <w:lang w:val="en-US" w:eastAsia="zh-CN"/>
              </w:rPr>
            </w:pPr>
            <w:r>
              <w:rPr>
                <w:rFonts w:hint="eastAsia" w:ascii="Times New Roman" w:hAnsi="Times New Roman"/>
                <w:color w:val="000000"/>
                <w:kern w:val="2"/>
                <w:sz w:val="21"/>
                <w:szCs w:val="18"/>
                <w:lang w:val="en-US" w:eastAsia="zh-CN"/>
              </w:rPr>
              <w:t>3.非临床资料</w:t>
            </w:r>
          </w:p>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5.产品说明书和标签样稿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A12.3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供非专业用户使用的医疗器械可通过以下措施方便用户：</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在使用时，可以验证器械的正常运行；</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当器械不能正常运行或提供无效结果时，会发出警告。</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s="Times New Roman"/>
                <w:color w:val="000000"/>
                <w:kern w:val="2"/>
                <w:sz w:val="21"/>
                <w:szCs w:val="18"/>
                <w:lang w:val="en-US" w:eastAsia="zh-CN" w:bidi="ar-SA"/>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宋体"/>
                <w:color w:val="000000"/>
                <w:sz w:val="21"/>
                <w:szCs w:val="21"/>
              </w:rPr>
              <w:t>医疗器械说明书和标签管理规定</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eastAsia="宋体"/>
                <w:color w:val="000000"/>
                <w:kern w:val="0"/>
                <w:szCs w:val="18"/>
                <w:lang w:val="en-US" w:eastAsia="zh-CN"/>
              </w:rPr>
            </w:pPr>
            <w:r>
              <w:rPr>
                <w:rFonts w:hint="eastAsia" w:ascii="Times New Roman" w:hAnsi="Times New Roman"/>
                <w:color w:val="000000"/>
                <w:kern w:val="2"/>
                <w:sz w:val="21"/>
                <w:szCs w:val="18"/>
                <w:lang w:val="en-US" w:eastAsia="zh-CN"/>
              </w:rPr>
              <w:t>5.产品说明书和标签样稿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含有生物源材料的医疗器械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对于含有动植物组织、细胞或其它物质，细菌来源物质或衍生物的医疗器械，若无活性或以非活性状态交付，应当：</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组织、细胞及其衍生物应来源于已受控且符合预期用途的动物种属。动物的地理来源信息应根据相关法规要求予以保留。</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rPr>
              <w:t>否</w:t>
            </w:r>
            <w:r>
              <w:rPr>
                <w:rFonts w:hint="eastAsia" w:ascii="宋体"/>
                <w:color w:val="000000"/>
                <w:sz w:val="21"/>
                <w:szCs w:val="21"/>
                <w:lang w:eastAsia="zh-CN"/>
              </w:rPr>
              <w:t>，产品为</w:t>
            </w:r>
            <w:r>
              <w:rPr>
                <w:rFonts w:hint="eastAsia" w:ascii="宋体"/>
                <w:color w:val="auto"/>
                <w:sz w:val="21"/>
                <w:szCs w:val="21"/>
              </w:rPr>
              <w:t>非生物源性医疗器械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lang w:val="en-US" w:eastAsia="zh-CN"/>
              </w:rPr>
              <w:t xml:space="preserve">     </w:t>
            </w:r>
            <w:r>
              <w:rPr>
                <w:rFonts w:hint="eastAsia" w:asci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对于监管部门而言，当医疗器械由人体来源的组织、细胞、物质或其衍生物生产时，应当采取以下措施：</w:t>
            </w:r>
          </w:p>
          <w:p>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组织、细胞的捐赠、获取和检测应依据相关法规的要求进行；</w:t>
            </w:r>
          </w:p>
          <w:p>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为确保患者、使用者或他人的安全，应对组织、细胞或其衍生物进行加工、保存或其他处理。对于病毒和其他传染源，应通过源头控制，或在生产过程中通过经验证的先进技术消除或灭活。</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rPr>
              <w:t>否</w:t>
            </w:r>
            <w:r>
              <w:rPr>
                <w:rFonts w:hint="eastAsia" w:ascii="宋体"/>
                <w:color w:val="000000"/>
                <w:sz w:val="21"/>
                <w:szCs w:val="21"/>
                <w:lang w:eastAsia="zh-CN"/>
              </w:rPr>
              <w:t>，产品为</w:t>
            </w:r>
            <w:r>
              <w:rPr>
                <w:rFonts w:hint="eastAsia" w:ascii="宋体"/>
                <w:color w:val="auto"/>
                <w:sz w:val="21"/>
                <w:szCs w:val="21"/>
              </w:rPr>
              <w:t>非生物源性医疗器械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lang w:val="en-US" w:eastAsia="zh-CN"/>
              </w:rPr>
              <w:t xml:space="preserve">     </w:t>
            </w:r>
            <w:r>
              <w:rPr>
                <w:rFonts w:hint="eastAsia" w:asci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A13.3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rPr>
              <w:t>否</w:t>
            </w:r>
            <w:r>
              <w:rPr>
                <w:rFonts w:hint="eastAsia" w:ascii="宋体"/>
                <w:color w:val="000000"/>
                <w:sz w:val="21"/>
                <w:szCs w:val="21"/>
                <w:lang w:eastAsia="zh-CN"/>
              </w:rPr>
              <w:t>，产品为</w:t>
            </w:r>
            <w:r>
              <w:rPr>
                <w:rFonts w:hint="eastAsia" w:ascii="宋体"/>
                <w:color w:val="auto"/>
                <w:sz w:val="21"/>
                <w:szCs w:val="21"/>
              </w:rPr>
              <w:t>非生物源性医疗器械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ascii="宋体" w:hAnsi="Tahoma" w:eastAsia="宋体" w:cs="Times New Roman"/>
                <w:kern w:val="0"/>
                <w:sz w:val="21"/>
                <w:szCs w:val="21"/>
                <w:lang w:val="en-US" w:eastAsia="zh-CN" w:bidi="ar-SA"/>
              </w:rPr>
            </w:pPr>
            <w:r>
              <w:rPr>
                <w:rFonts w:hint="eastAsia" w:ascii="宋体"/>
                <w:color w:val="000000"/>
                <w:sz w:val="21"/>
                <w:szCs w:val="21"/>
                <w:lang w:val="en-US" w:eastAsia="zh-CN"/>
              </w:rPr>
              <w:t xml:space="preserve">     </w:t>
            </w:r>
            <w:r>
              <w:rPr>
                <w:rFonts w:hint="eastAsia" w:asci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B</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适用于医疗器械的基本原则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化学、物理和生物学特性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rFonts w:hint="eastAsia" w:eastAsia="宋体"/>
                <w:color w:val="000000"/>
                <w:kern w:val="0"/>
                <w:szCs w:val="18"/>
                <w:lang w:val="en-US" w:eastAsia="zh-CN"/>
              </w:rPr>
            </w:pPr>
            <w:r>
              <w:rPr>
                <w:rFonts w:hint="eastAsia"/>
                <w:color w:val="000000"/>
                <w:kern w:val="0"/>
                <w:szCs w:val="18"/>
                <w:lang w:val="en-US" w:eastAsia="zh-CN"/>
              </w:rPr>
              <w:t>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290" w:lineRule="exact"/>
              <w:jc w:val="left"/>
              <w:rPr>
                <w:rFonts w:ascii="Times New Roman" w:hAnsi="Times New Roman"/>
                <w:color w:val="000000"/>
                <w:kern w:val="2"/>
                <w:sz w:val="21"/>
                <w:szCs w:val="18"/>
              </w:rPr>
            </w:pPr>
            <w:r>
              <w:rPr>
                <w:rFonts w:hint="default" w:ascii="Times New Roman" w:hAnsi="Times New Roman" w:cs="Times New Roman"/>
                <w:color w:val="000000"/>
                <w:sz w:val="21"/>
                <w:szCs w:val="21"/>
              </w:rPr>
              <w:t>GB/T16886系列标准、医疗器械生物学评价和审查指南</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rFonts w:hint="default" w:eastAsia="宋体"/>
                <w:color w:val="000000"/>
                <w:kern w:val="0"/>
                <w:szCs w:val="18"/>
                <w:lang w:val="en-US" w:eastAsia="zh-CN"/>
              </w:rPr>
            </w:pPr>
            <w:r>
              <w:rPr>
                <w:rFonts w:hint="eastAsia"/>
                <w:color w:val="000000"/>
                <w:kern w:val="0"/>
                <w:szCs w:val="18"/>
                <w:lang w:val="en-US" w:eastAsia="zh-CN"/>
              </w:rPr>
              <w:t>3.非临床资料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B1.2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767" w:type="dxa"/>
            <w:tcBorders>
              <w:top w:val="single" w:color="auto" w:sz="4" w:space="0"/>
              <w:left w:val="single" w:color="auto" w:sz="4" w:space="0"/>
              <w:bottom w:val="single" w:color="auto" w:sz="4" w:space="0"/>
              <w:right w:val="single" w:color="auto" w:sz="4" w:space="0"/>
            </w:tcBorders>
            <w:noWrap w:val="0"/>
            <w:vAlign w:val="center"/>
          </w:tcPr>
          <w:p>
            <w:pPr>
              <w:pStyle w:val="14"/>
              <w:jc w:val="left"/>
              <w:rPr>
                <w:rFonts w:hint="eastAsia" w:ascii="宋体" w:eastAsia="宋体"/>
                <w:color w:val="auto"/>
                <w:sz w:val="21"/>
                <w:szCs w:val="21"/>
                <w:lang w:eastAsia="zh-CN"/>
              </w:rPr>
            </w:pPr>
            <w:r>
              <w:rPr>
                <w:rFonts w:hint="eastAsia" w:ascii="宋体"/>
                <w:color w:val="auto"/>
                <w:sz w:val="21"/>
                <w:szCs w:val="21"/>
              </w:rPr>
              <w:t>否</w:t>
            </w:r>
            <w:r>
              <w:rPr>
                <w:rFonts w:hint="eastAsia" w:ascii="宋体"/>
                <w:color w:val="auto"/>
                <w:sz w:val="21"/>
                <w:szCs w:val="21"/>
                <w:lang w:eastAsia="zh-CN"/>
              </w:rPr>
              <w:t>，</w:t>
            </w:r>
          </w:p>
          <w:p>
            <w:pPr>
              <w:pStyle w:val="14"/>
              <w:jc w:val="both"/>
              <w:rPr>
                <w:rFonts w:hint="eastAsia" w:ascii="宋体" w:hAnsi="Tahoma" w:eastAsia="宋体" w:cs="Times New Roman"/>
                <w:kern w:val="0"/>
                <w:sz w:val="21"/>
                <w:szCs w:val="21"/>
                <w:lang w:val="en-US" w:eastAsia="zh-CN" w:bidi="ar-SA"/>
              </w:rPr>
            </w:pPr>
            <w:r>
              <w:rPr>
                <w:rFonts w:hint="eastAsia" w:ascii="宋体"/>
                <w:color w:val="auto"/>
                <w:sz w:val="21"/>
                <w:szCs w:val="21"/>
              </w:rPr>
              <w:t>不接触其他的材料、物质和气体；不用于给药。</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宋体" w:hAnsi="Tahoma" w:eastAsia="宋体" w:cs="Times New Roman"/>
                <w:kern w:val="0"/>
                <w:sz w:val="21"/>
                <w:szCs w:val="21"/>
                <w:lang w:val="en-US" w:eastAsia="zh-CN" w:bidi="ar-SA"/>
              </w:rPr>
            </w:pPr>
            <w:r>
              <w:rPr>
                <w:rFonts w:hint="eastAsia" w:ascii="Times New Roman" w:hAnsi="Times New Roman"/>
                <w:color w:val="000000"/>
                <w:kern w:val="2"/>
                <w:sz w:val="21"/>
                <w:szCs w:val="18"/>
                <w:highlight w:val="none"/>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宋体" w:hAnsi="Tahoma" w:eastAsia="宋体" w:cs="Times New Roman"/>
                <w:kern w:val="0"/>
                <w:sz w:val="21"/>
                <w:szCs w:val="21"/>
                <w:lang w:val="en-US" w:eastAsia="zh-CN" w:bidi="ar-SA"/>
              </w:rPr>
            </w:pPr>
            <w:r>
              <w:rPr>
                <w:rFonts w:hint="eastAsia"/>
                <w:color w:val="000000"/>
                <w:kern w:val="0"/>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highlight w:val="none"/>
              </w:rPr>
            </w:pPr>
            <w:r>
              <w:rPr>
                <w:color w:val="000000"/>
                <w:kern w:val="0"/>
                <w:szCs w:val="18"/>
                <w:highlight w:val="none"/>
              </w:rPr>
              <w:t>B1.3</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highlight w:val="none"/>
              </w:rPr>
            </w:pPr>
            <w:r>
              <w:rPr>
                <w:color w:val="000000"/>
                <w:kern w:val="0"/>
                <w:szCs w:val="18"/>
                <w:highlight w:val="none"/>
              </w:rPr>
              <w:t>医疗器械的设计和生产，除接触完整皮肤的产品外，应适当降低释放进入患者或使用者体内的颗粒，产生与颗粒尺寸和性质相关的风险。对纳米材料应给予重点关注。</w:t>
            </w: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default" w:eastAsia="宋体"/>
                <w:color w:val="000000"/>
                <w:kern w:val="0"/>
                <w:szCs w:val="18"/>
                <w:highlight w:val="none"/>
                <w:lang w:val="en-US" w:eastAsia="zh-CN"/>
              </w:rPr>
            </w:pPr>
            <w:r>
              <w:rPr>
                <w:rFonts w:hint="eastAsia"/>
                <w:color w:val="000000"/>
                <w:kern w:val="0"/>
                <w:szCs w:val="18"/>
                <w:highlight w:val="none"/>
                <w:lang w:val="en-US" w:eastAsia="zh-CN"/>
              </w:rPr>
              <w:t>否，产品无颗粒</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color w:val="000000"/>
                <w:kern w:val="2"/>
                <w:sz w:val="21"/>
                <w:szCs w:val="18"/>
                <w:highlight w:val="none"/>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Times New Roman" w:hAnsi="Times New Roman" w:eastAsia="宋体" w:cs="Times New Roman"/>
                <w:color w:val="000000"/>
                <w:kern w:val="0"/>
                <w:sz w:val="21"/>
                <w:szCs w:val="18"/>
                <w:highlight w:val="none"/>
                <w:lang w:val="en-US" w:eastAsia="zh-CN" w:bidi="ar-SA"/>
              </w:rPr>
            </w:pPr>
            <w:r>
              <w:rPr>
                <w:rFonts w:hint="eastAsia"/>
                <w:color w:val="000000"/>
                <w:kern w:val="0"/>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B2</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B2.1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用于医学影像的医疗器械具有电离辐射时，其设计和生产，在保障图像和/或输出质量的同时，应尽可能降低患者、使用者和其他人员的辐射吸收剂量。</w:t>
            </w: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default" w:eastAsia="宋体"/>
                <w:color w:val="000000"/>
                <w:kern w:val="0"/>
                <w:szCs w:val="18"/>
                <w:lang w:val="en-US" w:eastAsia="zh-CN"/>
              </w:rPr>
            </w:pPr>
            <w:r>
              <w:rPr>
                <w:rFonts w:hint="eastAsia"/>
                <w:color w:val="000000"/>
                <w:kern w:val="0"/>
                <w:szCs w:val="18"/>
                <w:lang w:val="en-US" w:eastAsia="zh-CN"/>
              </w:rPr>
              <w:t>否，产品非</w:t>
            </w:r>
            <w:r>
              <w:rPr>
                <w:color w:val="000000"/>
                <w:kern w:val="0"/>
                <w:szCs w:val="18"/>
              </w:rPr>
              <w:t>医学影像的医疗器械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eastAsia="宋体"/>
                <w:color w:val="000000"/>
                <w:kern w:val="0"/>
                <w:szCs w:val="18"/>
                <w:lang w:val="en-US" w:eastAsia="zh-CN"/>
              </w:rPr>
            </w:pPr>
            <w:r>
              <w:rPr>
                <w:rFonts w:hint="eastAsia"/>
                <w:color w:val="000000"/>
                <w:kern w:val="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B2.2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具有电离辐射的医疗器械应能够精确预估（或监测）、显示、报告和记录治疗过程中的辐射剂量。</w:t>
            </w: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default" w:eastAsia="宋体"/>
                <w:color w:val="000000"/>
                <w:kern w:val="0"/>
                <w:szCs w:val="18"/>
                <w:lang w:val="en-US" w:eastAsia="zh-CN"/>
              </w:rPr>
            </w:pPr>
            <w:r>
              <w:rPr>
                <w:rFonts w:hint="eastAsia"/>
                <w:color w:val="000000"/>
                <w:kern w:val="0"/>
                <w:szCs w:val="18"/>
                <w:lang w:val="en-US" w:eastAsia="zh-CN"/>
              </w:rPr>
              <w:t>否，产品无电离辐射</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color w:val="000000"/>
                <w:kern w:val="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rPr>
                <w:rFonts w:ascii="Times New Roman" w:hAnsi="Times New Roman" w:eastAsia="宋体"/>
                <w:color w:val="000000"/>
                <w:kern w:val="2"/>
                <w:sz w:val="21"/>
              </w:rPr>
            </w:pPr>
            <w:r>
              <w:rPr>
                <w:rFonts w:ascii="Times New Roman" w:hAnsi="Times New Roman" w:eastAsia="宋体"/>
                <w:color w:val="000000"/>
                <w:kern w:val="2"/>
                <w:sz w:val="21"/>
              </w:rPr>
              <w:t>B3</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植入医疗器械的特殊要求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bookmarkStart w:id="1" w:name="OLE_LINK2" w:colFirst="2" w:colLast="4"/>
            <w:r>
              <w:rPr>
                <w:color w:val="000000"/>
                <w:kern w:val="0"/>
                <w:szCs w:val="18"/>
              </w:rPr>
              <w:t>B3.1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植入医疗器械的设计和生产，应当能消除或降低相关治疗风险，例如除颤器、高频手术设备的使用。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否，产品非</w:t>
            </w:r>
            <w:r>
              <w:rPr>
                <w:rFonts w:hint="default" w:ascii="Times New Roman" w:hAnsi="Times New Roman" w:cs="Times New Roman"/>
                <w:color w:val="000000"/>
                <w:kern w:val="0"/>
                <w:sz w:val="21"/>
                <w:szCs w:val="21"/>
              </w:rPr>
              <w:t>植入医疗器械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color w:val="000000"/>
                <w:kern w:val="0"/>
                <w:szCs w:val="18"/>
                <w:lang w:val="en-US" w:eastAsia="zh-CN"/>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B3.2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可编程有源植入式医疗器械的设计和生产，应保证产品在无需手术时即可准确识别。</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否，产品非</w:t>
            </w:r>
            <w:r>
              <w:rPr>
                <w:rFonts w:hint="default" w:ascii="Times New Roman" w:hAnsi="Times New Roman" w:cs="Times New Roman"/>
                <w:color w:val="000000"/>
                <w:kern w:val="0"/>
                <w:sz w:val="21"/>
                <w:szCs w:val="21"/>
              </w:rPr>
              <w:t>植入医疗器械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color w:val="000000"/>
                <w:kern w:val="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12"/>
              <w:spacing w:line="300" w:lineRule="exact"/>
              <w:ind w:firstLine="420"/>
              <w:jc w:val="center"/>
              <w:rPr>
                <w:rFonts w:ascii="Times New Roman" w:hAnsi="Times New Roman" w:eastAsia="宋体"/>
                <w:color w:val="000000"/>
                <w:kern w:val="2"/>
                <w:sz w:val="21"/>
              </w:rPr>
            </w:pPr>
            <w:r>
              <w:rPr>
                <w:rFonts w:ascii="Times New Roman" w:hAnsi="Times New Roman" w:eastAsia="宋体"/>
                <w:color w:val="000000"/>
                <w:kern w:val="2"/>
                <w:sz w:val="21"/>
              </w:rPr>
              <w:t>B4</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提供能量或物质的医疗器械对患者或使用者的风险防护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B4.1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290" w:lineRule="exact"/>
              <w:jc w:val="left"/>
              <w:rPr>
                <w:color w:val="000000"/>
                <w:kern w:val="0"/>
                <w:szCs w:val="18"/>
              </w:rPr>
            </w:pPr>
            <w:r>
              <w:rPr>
                <w:color w:val="000000"/>
                <w:kern w:val="0"/>
                <w:szCs w:val="18"/>
              </w:rPr>
              <w:t>用于给患者提供能量或物质的医疗器械，其设计和生产应能精确地设定和维持输出量，以保证患者、使用者和其他人的安全。</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olor w:val="000000"/>
                <w:kern w:val="2"/>
                <w:sz w:val="21"/>
                <w:szCs w:val="21"/>
                <w:lang w:val="en-US" w:eastAsia="zh-CN"/>
              </w:rPr>
            </w:pPr>
            <w:r>
              <w:rPr>
                <w:rFonts w:hint="eastAsia" w:ascii="Times New Roman" w:hAnsi="Times New Roman"/>
                <w:color w:val="000000"/>
                <w:kern w:val="2"/>
                <w:sz w:val="21"/>
                <w:szCs w:val="21"/>
                <w:lang w:val="en-US" w:eastAsia="zh-CN"/>
              </w:rPr>
              <w:t>否，产品非提供能量或物质的医疗器械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color w:val="000000"/>
                <w:kern w:val="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B4.2</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若输出量不足可能导致危险，医疗器械应具有防止和/或指示“输出量不足”的功能。意外输出危险等级量的能量或物质作为较大风险，应采取适当的措施予以降低。</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jc w:val="both"/>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kern w:val="2"/>
                <w:sz w:val="21"/>
                <w:szCs w:val="21"/>
                <w:lang w:val="en-US" w:eastAsia="zh-CN"/>
              </w:rPr>
              <w:t>否，产品非提供能量或物质的医疗器械</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color w:val="000000"/>
                <w:kern w:val="0"/>
                <w:szCs w:val="18"/>
                <w:lang w:val="en-US" w:eastAsia="zh-CN"/>
              </w:rPr>
            </w:pPr>
            <w:r>
              <w:rPr>
                <w:rFonts w:hint="eastAsia"/>
                <w:color w:val="000000"/>
                <w:kern w:val="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B5</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ascii="Times New Roman" w:hAnsi="Times New Roman"/>
                <w:color w:val="000000"/>
                <w:kern w:val="2"/>
                <w:sz w:val="21"/>
                <w:szCs w:val="18"/>
              </w:rPr>
            </w:pPr>
            <w:r>
              <w:rPr>
                <w:rFonts w:ascii="Times New Roman" w:hAnsi="Times New Roman"/>
                <w:color w:val="000000"/>
                <w:kern w:val="2"/>
                <w:sz w:val="21"/>
                <w:szCs w:val="18"/>
              </w:rPr>
              <w:t>含有药物成分的组合产品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B5.1</w:t>
            </w:r>
          </w:p>
        </w:tc>
        <w:tc>
          <w:tcPr>
            <w:tcW w:w="452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color w:val="000000"/>
                <w:kern w:val="0"/>
                <w:szCs w:val="18"/>
              </w:rPr>
            </w:pPr>
            <w:r>
              <w:rPr>
                <w:color w:val="000000"/>
                <w:kern w:val="0"/>
                <w:szCs w:val="1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767"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default" w:ascii="Times New Roman" w:hAnsi="Times New Roman" w:eastAsia="宋体"/>
                <w:color w:val="000000"/>
                <w:kern w:val="2"/>
                <w:sz w:val="21"/>
                <w:szCs w:val="18"/>
                <w:lang w:val="en-US" w:eastAsia="zh-CN"/>
              </w:rPr>
            </w:pPr>
            <w:r>
              <w:rPr>
                <w:rFonts w:hint="eastAsia" w:ascii="Times New Roman" w:hAnsi="Times New Roman"/>
                <w:color w:val="000000"/>
                <w:kern w:val="2"/>
                <w:sz w:val="21"/>
                <w:szCs w:val="18"/>
                <w:lang w:val="en-US" w:eastAsia="zh-CN"/>
              </w:rPr>
              <w:t>否，产品无药物成分</w:t>
            </w:r>
          </w:p>
        </w:tc>
        <w:tc>
          <w:tcPr>
            <w:tcW w:w="1313" w:type="dxa"/>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olor w:val="000000"/>
                <w:kern w:val="2"/>
                <w:sz w:val="21"/>
                <w:szCs w:val="18"/>
                <w:lang w:val="en-US" w:eastAsia="zh-CN"/>
              </w:rPr>
              <w:t>/</w:t>
            </w:r>
          </w:p>
        </w:tc>
        <w:tc>
          <w:tcPr>
            <w:tcW w:w="161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Times New Roman" w:hAnsi="Times New Roman" w:eastAsia="宋体" w:cs="Times New Roman"/>
                <w:color w:val="000000"/>
                <w:kern w:val="0"/>
                <w:sz w:val="21"/>
                <w:szCs w:val="18"/>
                <w:lang w:val="en-US" w:eastAsia="zh-CN" w:bidi="ar-SA"/>
              </w:rPr>
            </w:pPr>
            <w:r>
              <w:rPr>
                <w:rFonts w:hint="eastAsia"/>
                <w:color w:val="000000"/>
                <w:kern w:val="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Cs w:val="18"/>
              </w:rPr>
            </w:pPr>
            <w:r>
              <w:rPr>
                <w:color w:val="000000"/>
                <w:kern w:val="0"/>
                <w:szCs w:val="18"/>
              </w:rPr>
              <w:t>说明</w:t>
            </w:r>
          </w:p>
        </w:tc>
        <w:tc>
          <w:tcPr>
            <w:tcW w:w="8218" w:type="dxa"/>
            <w:gridSpan w:val="4"/>
            <w:tcBorders>
              <w:top w:val="single" w:color="auto" w:sz="4" w:space="0"/>
              <w:left w:val="single" w:color="auto" w:sz="4" w:space="0"/>
              <w:bottom w:val="single" w:color="auto" w:sz="4" w:space="0"/>
              <w:right w:val="single" w:color="auto" w:sz="4" w:space="0"/>
            </w:tcBorders>
            <w:noWrap w:val="0"/>
            <w:vAlign w:val="top"/>
          </w:tcPr>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1.第3列若适用，应当注明“是”。不适用应当注明“否”，并结合产品特点说明不适用的理由。</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2.第4列应当填写证明该医疗器械符合安全和性能基本原则的方法，通常可采取下列方法证明符合基本要求：</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（1）符合已发布的医疗器械部门规章、规范性文件。</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（2）符合医疗器械相关国家标准、行业标准、国际标准。</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（3）符合普遍接受的测试方法。</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（4）符合企业自定的方法。</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（5）与已批准上市的同类产品的比较。</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（6）临床评价。</w:t>
            </w:r>
          </w:p>
          <w:p>
            <w:pPr>
              <w:pStyle w:val="14"/>
              <w:spacing w:line="300" w:lineRule="exact"/>
              <w:jc w:val="both"/>
              <w:rPr>
                <w:rFonts w:ascii="Times New Roman" w:hAnsi="Times New Roman"/>
                <w:color w:val="000000"/>
                <w:kern w:val="2"/>
                <w:sz w:val="21"/>
                <w:szCs w:val="18"/>
              </w:rPr>
            </w:pPr>
            <w:r>
              <w:rPr>
                <w:rFonts w:ascii="Times New Roman" w:hAnsi="Times New Roman"/>
                <w:color w:val="000000"/>
                <w:kern w:val="2"/>
                <w:sz w:val="21"/>
                <w:szCs w:val="18"/>
              </w:rPr>
              <w:t>3.证明符合性的证据包含在产品注册申报资料中，应当说明其在申报资料中的具体位置。证明符合性的证据未包含在产品注册申报资料中，应当注明该证据文件名称及其在质量管理体系文件中的编号备查。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p>
      <w:pPr>
        <w:rPr>
          <w:rFonts w:hint="eastAsia"/>
          <w:i/>
          <w:iCs/>
          <w:color w:val="0000FF"/>
          <w:sz w:val="24"/>
          <w:szCs w:val="24"/>
          <w:lang w:eastAsia="zh-CN"/>
        </w:rPr>
      </w:pPr>
      <w:r>
        <w:rPr>
          <w:rFonts w:hint="eastAsia"/>
          <w:i/>
          <w:iCs/>
          <w:color w:val="0000FF"/>
          <w:sz w:val="24"/>
          <w:szCs w:val="24"/>
          <w:lang w:eastAsia="zh-CN"/>
        </w:rPr>
        <w:t>【</w:t>
      </w:r>
      <w:r>
        <w:rPr>
          <w:rFonts w:hint="eastAsia"/>
          <w:i/>
          <w:iCs/>
          <w:color w:val="0000FF"/>
          <w:sz w:val="24"/>
          <w:szCs w:val="24"/>
          <w:lang w:val="en-US" w:eastAsia="zh-CN"/>
        </w:rPr>
        <w:t>以上内容按照常规一次性无菌产品填写，由于每个产品的特点不同，以上的信息不一定适用于所有的器械，所以在实际使用时需要按照申报产品特性，逐一填写以上表格</w:t>
      </w:r>
      <w:r>
        <w:rPr>
          <w:rFonts w:hint="eastAsia"/>
          <w:i/>
          <w:iCs/>
          <w:color w:val="0000FF"/>
          <w:sz w:val="24"/>
          <w:szCs w:val="24"/>
          <w:lang w:eastAsia="zh-CN"/>
        </w:rPr>
        <w:t>】</w:t>
      </w:r>
    </w:p>
    <w:p>
      <w:pPr>
        <w:rPr>
          <w:rFonts w:hint="eastAsia"/>
          <w:i/>
          <w:iCs/>
          <w:color w:val="0000FF"/>
          <w:sz w:val="24"/>
          <w:szCs w:val="24"/>
          <w:lang w:eastAsia="zh-CN"/>
        </w:rPr>
      </w:pPr>
    </w:p>
    <w:p>
      <w:pPr>
        <w:rPr>
          <w:rFonts w:hint="eastAsia"/>
          <w:i/>
          <w:iCs/>
          <w:color w:val="0000FF"/>
          <w:sz w:val="24"/>
          <w:szCs w:val="24"/>
          <w:lang w:eastAsia="zh-CN"/>
        </w:rPr>
      </w:pPr>
    </w:p>
    <w:p>
      <w:pPr>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w:t>
      </w:r>
    </w:p>
    <w:p>
      <w:pPr>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说明产品符合《医疗器械安全和性能基本原则清单》（见附件1）各项适用要求所采用的方法，以及证明其符合性的文件。对于《医疗器械安全和性能基本原则清单》中不适用的各项要求，应当说明理由。</w:t>
      </w:r>
    </w:p>
    <w:p>
      <w:pPr>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对于包含在产品注册申报资料中的文件，应当说明其在申报资料中的具体位置；对于未包含在产品注册申报资料中的文件，应当注明该证据文件名称及其在质量管理体系文件中的编号备查。</w:t>
      </w:r>
    </w:p>
    <w:p>
      <w:pPr>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w:t>
      </w:r>
    </w:p>
    <w:p>
      <w:pPr>
        <w:pStyle w:val="2"/>
        <w:rPr>
          <w:rFonts w:hint="eastAsia" w:ascii="宋体" w:hAnsi="宋体" w:eastAsia="宋体" w:cs="宋体"/>
          <w:b/>
          <w:bCs/>
          <w:i w:val="0"/>
          <w:iCs w:val="0"/>
          <w:color w:val="auto"/>
          <w:kern w:val="0"/>
          <w:sz w:val="24"/>
          <w:szCs w:val="24"/>
          <w:lang w:val="en-US" w:eastAsia="zh-CN" w:bidi="ar-SA"/>
        </w:rPr>
      </w:pPr>
    </w:p>
    <w:p>
      <w:pPr>
        <w:pStyle w:val="2"/>
        <w:rPr>
          <w:rFonts w:hint="default" w:eastAsia="Univers 57 Condensed"/>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06B73B05"/>
    <w:rsid w:val="19DA2300"/>
    <w:rsid w:val="1E907AE9"/>
    <w:rsid w:val="3B07083A"/>
    <w:rsid w:val="42491C0F"/>
    <w:rsid w:val="46561FD1"/>
    <w:rsid w:val="4B950155"/>
    <w:rsid w:val="543A6A17"/>
    <w:rsid w:val="5854681A"/>
    <w:rsid w:val="5B3D4524"/>
    <w:rsid w:val="638C3F6B"/>
    <w:rsid w:val="73041C9C"/>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spacing w:line="360" w:lineRule="auto"/>
      <w:jc w:val="center"/>
      <w:outlineLvl w:val="1"/>
    </w:pPr>
    <w:rPr>
      <w:rFonts w:ascii="黑体" w:eastAsia="黑体"/>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13">
    <w:name w:val="列标题"/>
    <w:basedOn w:val="3"/>
    <w:qFormat/>
    <w:uiPriority w:val="0"/>
    <w:pPr>
      <w:keepNext w:val="0"/>
      <w:widowControl/>
      <w:spacing w:line="240" w:lineRule="auto"/>
    </w:pPr>
    <w:rPr>
      <w:rFonts w:ascii="Tahoma" w:hAnsi="Tahoma"/>
      <w:b w:val="0"/>
      <w:color w:val="333399"/>
      <w:kern w:val="0"/>
      <w:sz w:val="18"/>
      <w:szCs w:val="18"/>
    </w:rPr>
  </w:style>
  <w:style w:type="paragraph" w:customStyle="1" w:styleId="14">
    <w:name w:val="表格正文文本"/>
    <w:basedOn w:val="1"/>
    <w:qFormat/>
    <w:uiPriority w:val="0"/>
    <w:pPr>
      <w:widowControl/>
      <w:jc w:val="center"/>
    </w:pPr>
    <w:rPr>
      <w:rFonts w:ascii="Tahoma" w:hAnsi="Tahoma"/>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2023-04-20T03:52:12Z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