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i w:val="0"/>
          <w:iCs w:val="0"/>
          <w:color w:val="auto"/>
          <w:kern w:val="0"/>
          <w:sz w:val="24"/>
          <w:szCs w:val="24"/>
          <w:lang w:val="en-US" w:eastAsia="zh-CN" w:bidi="ar-SA"/>
        </w:rPr>
      </w:pPr>
    </w:p>
    <w:p>
      <w:pPr>
        <w:pStyle w:val="2"/>
        <w:rPr>
          <w:rFonts w:hint="eastAsia" w:ascii="宋体" w:hAnsi="宋体" w:eastAsia="宋体" w:cs="宋体"/>
          <w:b/>
          <w:bCs/>
          <w:i w:val="0"/>
          <w:iCs w:val="0"/>
          <w:color w:val="auto"/>
          <w:kern w:val="0"/>
          <w:sz w:val="24"/>
          <w:szCs w:val="24"/>
          <w:lang w:val="en-US" w:eastAsia="zh-CN" w:bidi="ar-SA"/>
        </w:rPr>
      </w:pPr>
    </w:p>
    <w:p>
      <w:pPr>
        <w:pStyle w:val="2"/>
        <w:rPr>
          <w:rFonts w:hint="eastAsia" w:ascii="宋体" w:hAnsi="宋体" w:eastAsia="宋体" w:cs="宋体"/>
          <w:b/>
          <w:bCs/>
          <w:i w:val="0"/>
          <w:iCs w:val="0"/>
          <w:color w:val="auto"/>
          <w:kern w:val="0"/>
          <w:sz w:val="24"/>
          <w:szCs w:val="24"/>
          <w:lang w:val="en-US" w:eastAsia="zh-CN" w:bidi="ar-SA"/>
        </w:rPr>
      </w:pPr>
    </w:p>
    <w:p>
      <w:pPr>
        <w:pStyle w:val="2"/>
        <w:rPr>
          <w:rFonts w:hint="eastAsia" w:ascii="宋体" w:hAnsi="宋体" w:eastAsia="宋体" w:cs="宋体"/>
          <w:b/>
          <w:bCs/>
          <w:i w:val="0"/>
          <w:iCs w:val="0"/>
          <w:color w:val="auto"/>
          <w:kern w:val="0"/>
          <w:sz w:val="24"/>
          <w:szCs w:val="24"/>
          <w:lang w:val="en-US" w:eastAsia="zh-CN" w:bidi="ar-SA"/>
        </w:rPr>
      </w:pPr>
    </w:p>
    <w:p>
      <w:pPr>
        <w:pStyle w:val="2"/>
        <w:rPr>
          <w:rFonts w:hint="eastAsia" w:ascii="宋体" w:hAnsi="宋体" w:eastAsia="宋体" w:cs="宋体"/>
          <w:b/>
          <w:bCs/>
          <w:i w:val="0"/>
          <w:iCs w:val="0"/>
          <w:color w:val="auto"/>
          <w:kern w:val="0"/>
          <w:sz w:val="24"/>
          <w:szCs w:val="24"/>
          <w:lang w:val="en-US" w:eastAsia="zh-CN" w:bidi="ar-SA"/>
        </w:rPr>
      </w:pP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风险管理计划</w:t>
      </w: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产品名称：</w:t>
      </w:r>
      <w:r>
        <w:rPr>
          <w:rFonts w:hint="eastAsia" w:asciiTheme="minorEastAsia" w:hAnsiTheme="minorEastAsia" w:eastAsiaTheme="minorEastAsia" w:cstheme="minorEastAsia"/>
          <w:b/>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800"/>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文件编号：</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版　　本：</w:t>
      </w:r>
      <w:bookmarkStart w:id="0" w:name="OLE_LINK1"/>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bookmarkEnd w:id="0"/>
      <w:r>
        <w:rPr>
          <w:rFonts w:hint="eastAsia" w:asciiTheme="minorEastAsia" w:hAnsiTheme="minorEastAsia" w:eastAsiaTheme="minorEastAsia" w:cstheme="minorEastAsia"/>
          <w:b/>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　　制：</w:t>
      </w:r>
      <w:bookmarkStart w:id="1" w:name="OLE_LINK2"/>
      <w:bookmarkStart w:id="2" w:name="OLE_LINK3"/>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审　　核：</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1458" w:firstLineChars="60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批　　准：</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公司</w:t>
      </w:r>
    </w:p>
    <w:p>
      <w:pPr>
        <w:pStyle w:val="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日</w:t>
      </w:r>
    </w:p>
    <w:p>
      <w:pPr>
        <w:pStyle w:val="2"/>
        <w:jc w:val="center"/>
        <w:rPr>
          <w:rFonts w:hint="eastAsia" w:asciiTheme="minorEastAsia" w:hAnsiTheme="minorEastAsia" w:eastAsiaTheme="minorEastAsia" w:cstheme="minorEastAsia"/>
          <w:sz w:val="24"/>
          <w:szCs w:val="24"/>
        </w:rPr>
      </w:pPr>
    </w:p>
    <w:p>
      <w:pPr>
        <w:pStyle w:val="2"/>
        <w:jc w:val="center"/>
        <w:rPr>
          <w:rFonts w:hint="eastAsia" w:asciiTheme="minorEastAsia" w:hAnsiTheme="minorEastAsia" w:eastAsiaTheme="minorEastAsia" w:cstheme="minorEastAsia"/>
          <w:sz w:val="24"/>
          <w:szCs w:val="24"/>
        </w:rPr>
      </w:pPr>
    </w:p>
    <w:p>
      <w:pPr>
        <w:pStyle w:val="2"/>
        <w:jc w:val="center"/>
        <w:rPr>
          <w:rFonts w:hint="eastAsia" w:asciiTheme="minorEastAsia" w:hAnsiTheme="minorEastAsia" w:eastAsiaTheme="minorEastAsia" w:cstheme="minorEastAsia"/>
          <w:sz w:val="24"/>
          <w:szCs w:val="24"/>
        </w:rPr>
      </w:pPr>
    </w:p>
    <w:p>
      <w:pPr>
        <w:pStyle w:val="2"/>
        <w:jc w:val="center"/>
        <w:rPr>
          <w:rFonts w:hint="eastAsia" w:asciiTheme="minorEastAsia" w:hAnsiTheme="minorEastAsia" w:eastAsiaTheme="minorEastAsia" w:cstheme="minorEastAsia"/>
          <w:sz w:val="24"/>
          <w:szCs w:val="24"/>
        </w:rPr>
      </w:pPr>
    </w:p>
    <w:p>
      <w:pPr>
        <w:pStyle w:val="2"/>
        <w:jc w:val="center"/>
        <w:rPr>
          <w:rFonts w:hint="eastAsia" w:asciiTheme="minorEastAsia" w:hAnsiTheme="minorEastAsia" w:eastAsiaTheme="minorEastAsia" w:cstheme="minorEastAsia"/>
          <w:sz w:val="24"/>
          <w:szCs w:val="24"/>
        </w:rPr>
      </w:pPr>
    </w:p>
    <w:p>
      <w:pPr>
        <w:pStyle w:val="2"/>
        <w:jc w:val="center"/>
        <w:rPr>
          <w:rFonts w:hint="eastAsia" w:asciiTheme="minorEastAsia" w:hAnsiTheme="minorEastAsia" w:eastAsiaTheme="minorEastAsia" w:cstheme="minorEastAsia"/>
          <w:sz w:val="24"/>
          <w:szCs w:val="24"/>
        </w:rPr>
      </w:pPr>
    </w:p>
    <w:p>
      <w:pPr>
        <w:pStyle w:val="2"/>
        <w:jc w:val="center"/>
        <w:rPr>
          <w:rFonts w:hint="eastAsia" w:asciiTheme="minorEastAsia" w:hAnsiTheme="minorEastAsia" w:eastAsiaTheme="minorEastAsia" w:cstheme="minorEastAsia"/>
          <w:sz w:val="24"/>
          <w:szCs w:val="24"/>
        </w:rPr>
      </w:pPr>
    </w:p>
    <w:p>
      <w:pPr>
        <w:pStyle w:val="2"/>
        <w:jc w:val="both"/>
        <w:rPr>
          <w:rFonts w:hint="eastAsia" w:asciiTheme="minorEastAsia" w:hAnsiTheme="minorEastAsia" w:eastAsiaTheme="minorEastAsia" w:cstheme="minorEastAsia"/>
          <w:sz w:val="24"/>
          <w:szCs w:val="24"/>
        </w:rPr>
      </w:pPr>
      <w:bookmarkStart w:id="42" w:name="_GoBack"/>
      <w:bookmarkEnd w:id="42"/>
    </w:p>
    <w:sdt>
      <w:sdtPr>
        <w:rPr>
          <w:rFonts w:hint="eastAsia" w:asciiTheme="minorEastAsia" w:hAnsiTheme="minorEastAsia" w:eastAsiaTheme="minorEastAsia" w:cstheme="minorEastAsia"/>
          <w:b w:val="0"/>
          <w:bCs w:val="0"/>
          <w:color w:val="auto"/>
          <w:kern w:val="2"/>
          <w:sz w:val="24"/>
          <w:szCs w:val="24"/>
          <w:lang w:val="zh-CN"/>
        </w:rPr>
        <w:id w:val="6800469"/>
        <w:docPartObj>
          <w:docPartGallery w:val="Table of Contents"/>
          <w:docPartUnique/>
        </w:docPartObj>
      </w:sdtPr>
      <w:sdtEndPr>
        <w:rPr>
          <w:rFonts w:hint="eastAsia" w:asciiTheme="minorEastAsia" w:hAnsiTheme="minorEastAsia" w:eastAsiaTheme="minorEastAsia" w:cstheme="minorEastAsia"/>
          <w:b w:val="0"/>
          <w:bCs w:val="0"/>
          <w:color w:val="auto"/>
          <w:kern w:val="2"/>
          <w:sz w:val="24"/>
          <w:szCs w:val="24"/>
          <w:lang w:val="en-US"/>
        </w:rPr>
      </w:sdtEndPr>
      <w:sdtContent>
        <w:p>
          <w:pPr>
            <w:pStyle w:val="16"/>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目录</w:t>
          </w:r>
        </w:p>
        <w:p>
          <w:pPr>
            <w:rPr>
              <w:rFonts w:hint="eastAsia" w:asciiTheme="minorEastAsia" w:hAnsiTheme="minorEastAsia" w:eastAsiaTheme="minorEastAsia" w:cstheme="minorEastAsia"/>
              <w:sz w:val="24"/>
              <w:szCs w:val="24"/>
              <w:lang w:val="zh-CN"/>
            </w:rPr>
          </w:pPr>
        </w:p>
        <w:p>
          <w:pPr>
            <w:pStyle w:val="8"/>
            <w:tabs>
              <w:tab w:val="right" w:leader="dot" w:pos="8306"/>
            </w:tabs>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"1-3" \h \z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_Toc658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1 </w:t>
          </w:r>
          <w:r>
            <w:rPr>
              <w:rFonts w:hint="eastAsia" w:ascii="宋体" w:hAnsi="宋体" w:eastAsia="宋体" w:cs="宋体"/>
              <w:szCs w:val="24"/>
            </w:rPr>
            <w:t>背景</w:t>
          </w:r>
          <w:r>
            <w:tab/>
          </w:r>
          <w:r>
            <w:fldChar w:fldCharType="begin"/>
          </w:r>
          <w:r>
            <w:instrText xml:space="preserve"> PAGEREF _Toc658 </w:instrText>
          </w:r>
          <w:r>
            <w:fldChar w:fldCharType="separate"/>
          </w:r>
          <w:r>
            <w:t>1</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_Toc14417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1.1目的</w:t>
          </w:r>
          <w:r>
            <w:tab/>
          </w:r>
          <w:r>
            <w:fldChar w:fldCharType="begin"/>
          </w:r>
          <w:r>
            <w:instrText xml:space="preserve"> PAGEREF _Toc14417 </w:instrText>
          </w:r>
          <w:r>
            <w:fldChar w:fldCharType="separate"/>
          </w:r>
          <w:r>
            <w:t>1</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_Toc9199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1.2范围</w:t>
          </w:r>
          <w:r>
            <w:tab/>
          </w:r>
          <w:r>
            <w:fldChar w:fldCharType="begin"/>
          </w:r>
          <w:r>
            <w:instrText xml:space="preserve"> PAGEREF _Toc9199 </w:instrText>
          </w:r>
          <w:r>
            <w:fldChar w:fldCharType="separate"/>
          </w:r>
          <w:r>
            <w:t>1</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_Toc11509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2 </w:t>
          </w:r>
          <w:r>
            <w:rPr>
              <w:rFonts w:hint="eastAsia" w:ascii="宋体" w:hAnsi="宋体" w:eastAsia="宋体" w:cs="宋体"/>
              <w:szCs w:val="24"/>
            </w:rPr>
            <w:t>产品介绍</w:t>
          </w:r>
          <w:r>
            <w:tab/>
          </w:r>
          <w:r>
            <w:fldChar w:fldCharType="begin"/>
          </w:r>
          <w:r>
            <w:instrText xml:space="preserve"> PAGEREF _Toc11509 </w:instrText>
          </w:r>
          <w:r>
            <w:fldChar w:fldCharType="separate"/>
          </w:r>
          <w:r>
            <w:t>1</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_Toc5869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2.1 产品描述</w:t>
          </w:r>
          <w:r>
            <w:tab/>
          </w:r>
          <w:r>
            <w:fldChar w:fldCharType="begin"/>
          </w:r>
          <w:r>
            <w:instrText xml:space="preserve"> PAGEREF _Toc5869 </w:instrText>
          </w:r>
          <w:r>
            <w:fldChar w:fldCharType="separate"/>
          </w:r>
          <w:r>
            <w:t>1</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_Toc20445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2.2产品组成</w:t>
          </w:r>
          <w:r>
            <w:tab/>
          </w:r>
          <w:r>
            <w:fldChar w:fldCharType="begin"/>
          </w:r>
          <w:r>
            <w:instrText xml:space="preserve"> PAGEREF _Toc20445 </w:instrText>
          </w:r>
          <w:r>
            <w:fldChar w:fldCharType="separate"/>
          </w:r>
          <w:r>
            <w:t>1</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_Toc28347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2.3工作原理</w:t>
          </w:r>
          <w:r>
            <w:tab/>
          </w:r>
          <w:r>
            <w:fldChar w:fldCharType="begin"/>
          </w:r>
          <w:r>
            <w:instrText xml:space="preserve"> PAGEREF _Toc28347 </w:instrText>
          </w:r>
          <w:r>
            <w:fldChar w:fldCharType="separate"/>
          </w:r>
          <w:r>
            <w:t>1</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_Toc27268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2.4</w:t>
          </w:r>
          <w:r>
            <w:rPr>
              <w:rFonts w:hint="eastAsia" w:ascii="宋体" w:hAnsi="宋体" w:eastAsia="宋体" w:cs="宋体"/>
              <w:szCs w:val="24"/>
              <w:lang w:eastAsia="zh-CN"/>
            </w:rPr>
            <w:t>产品预期用途</w:t>
          </w:r>
          <w:r>
            <w:tab/>
          </w:r>
          <w:r>
            <w:fldChar w:fldCharType="begin"/>
          </w:r>
          <w:r>
            <w:instrText xml:space="preserve"> PAGEREF _Toc27268 </w:instrText>
          </w:r>
          <w:r>
            <w:fldChar w:fldCharType="separate"/>
          </w:r>
          <w:r>
            <w:t>1</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_Toc3502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2.5预期使用寿命</w:t>
          </w:r>
          <w:r>
            <w:tab/>
          </w:r>
          <w:r>
            <w:fldChar w:fldCharType="begin"/>
          </w:r>
          <w:r>
            <w:instrText xml:space="preserve"> PAGEREF _Toc3502 </w:instrText>
          </w:r>
          <w:r>
            <w:fldChar w:fldCharType="separate"/>
          </w:r>
          <w:r>
            <w:t>2</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_Toc16789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3 </w:t>
          </w:r>
          <w:r>
            <w:rPr>
              <w:rFonts w:hint="eastAsia" w:ascii="宋体" w:hAnsi="宋体" w:eastAsia="宋体" w:cs="宋体"/>
              <w:szCs w:val="24"/>
              <w:lang w:eastAsia="zh-CN"/>
            </w:rPr>
            <w:t>风险管理小组</w:t>
          </w:r>
          <w:r>
            <w:tab/>
          </w:r>
          <w:r>
            <w:fldChar w:fldCharType="begin"/>
          </w:r>
          <w:r>
            <w:instrText xml:space="preserve"> PAGEREF _Toc16789 </w:instrText>
          </w:r>
          <w:r>
            <w:fldChar w:fldCharType="separate"/>
          </w:r>
          <w:r>
            <w:t>2</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_Toc27359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4 </w:t>
          </w:r>
          <w:r>
            <w:rPr>
              <w:rFonts w:hint="eastAsia" w:ascii="宋体" w:hAnsi="宋体" w:eastAsia="宋体" w:cs="宋体"/>
              <w:szCs w:val="24"/>
            </w:rPr>
            <w:t>风险管理过程</w:t>
          </w:r>
          <w:r>
            <w:tab/>
          </w:r>
          <w:r>
            <w:fldChar w:fldCharType="begin"/>
          </w:r>
          <w:r>
            <w:instrText xml:space="preserve"> PAGEREF _Toc27359 </w:instrText>
          </w:r>
          <w:r>
            <w:fldChar w:fldCharType="separate"/>
          </w:r>
          <w:r>
            <w:t>2</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_Toc2163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5 </w:t>
          </w:r>
          <w:r>
            <w:rPr>
              <w:rFonts w:hint="eastAsia" w:ascii="宋体" w:hAnsi="宋体" w:eastAsia="宋体" w:cs="宋体"/>
              <w:szCs w:val="24"/>
            </w:rPr>
            <w:t>风险管理活动的评审要求</w:t>
          </w:r>
          <w:r>
            <w:tab/>
          </w:r>
          <w:r>
            <w:fldChar w:fldCharType="begin"/>
          </w:r>
          <w:r>
            <w:instrText xml:space="preserve"> PAGEREF _Toc2163 </w:instrText>
          </w:r>
          <w:r>
            <w:fldChar w:fldCharType="separate"/>
          </w:r>
          <w:r>
            <w:t>3</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_Toc27153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6 </w:t>
          </w:r>
          <w:r>
            <w:rPr>
              <w:rFonts w:hint="eastAsia" w:ascii="宋体" w:hAnsi="宋体" w:eastAsia="宋体" w:cs="宋体"/>
              <w:szCs w:val="24"/>
            </w:rPr>
            <w:t>风险分析</w:t>
          </w:r>
          <w:r>
            <w:tab/>
          </w:r>
          <w:r>
            <w:fldChar w:fldCharType="begin"/>
          </w:r>
          <w:r>
            <w:instrText xml:space="preserve"> PAGEREF _Toc27153 </w:instrText>
          </w:r>
          <w:r>
            <w:fldChar w:fldCharType="separate"/>
          </w:r>
          <w:r>
            <w:t>4</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_Toc16919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6.</w:t>
          </w:r>
          <w:r>
            <w:rPr>
              <w:rFonts w:hint="eastAsia" w:ascii="宋体" w:hAnsi="宋体" w:eastAsia="宋体" w:cs="宋体"/>
              <w:szCs w:val="24"/>
              <w:lang w:val="en-US" w:eastAsia="zh-CN"/>
            </w:rPr>
            <w:t>1</w:t>
          </w:r>
          <w:r>
            <w:rPr>
              <w:rFonts w:hint="eastAsia" w:ascii="宋体" w:hAnsi="宋体" w:eastAsia="宋体" w:cs="宋体"/>
              <w:szCs w:val="24"/>
            </w:rPr>
            <w:t>风险分析的内容</w:t>
          </w:r>
          <w:r>
            <w:tab/>
          </w:r>
          <w:r>
            <w:fldChar w:fldCharType="begin"/>
          </w:r>
          <w:r>
            <w:instrText xml:space="preserve"> PAGEREF _Toc16919 </w:instrText>
          </w:r>
          <w:r>
            <w:fldChar w:fldCharType="separate"/>
          </w:r>
          <w:r>
            <w:t>4</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_Toc32656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6.</w:t>
          </w:r>
          <w:r>
            <w:rPr>
              <w:rFonts w:hint="eastAsia" w:ascii="宋体" w:hAnsi="宋体" w:eastAsia="宋体" w:cs="宋体"/>
              <w:szCs w:val="24"/>
              <w:lang w:val="en-US" w:eastAsia="zh-CN"/>
            </w:rPr>
            <w:t>2</w:t>
          </w:r>
          <w:r>
            <w:rPr>
              <w:rFonts w:hint="eastAsia" w:ascii="宋体" w:hAnsi="宋体" w:eastAsia="宋体" w:cs="宋体"/>
              <w:szCs w:val="24"/>
            </w:rPr>
            <w:t>风险分析的方法</w:t>
          </w:r>
          <w:r>
            <w:tab/>
          </w:r>
          <w:r>
            <w:fldChar w:fldCharType="begin"/>
          </w:r>
          <w:r>
            <w:instrText xml:space="preserve"> PAGEREF _Toc32656 </w:instrText>
          </w:r>
          <w:r>
            <w:fldChar w:fldCharType="separate"/>
          </w:r>
          <w:r>
            <w:t>4</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_Toc497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7 </w:t>
          </w:r>
          <w:r>
            <w:rPr>
              <w:rFonts w:hint="eastAsia" w:ascii="宋体" w:hAnsi="宋体" w:eastAsia="宋体" w:cs="宋体"/>
              <w:szCs w:val="24"/>
            </w:rPr>
            <w:t>风险可接收性准则</w:t>
          </w:r>
          <w:r>
            <w:tab/>
          </w:r>
          <w:r>
            <w:fldChar w:fldCharType="begin"/>
          </w:r>
          <w:r>
            <w:instrText xml:space="preserve"> PAGEREF _Toc497 </w:instrText>
          </w:r>
          <w:r>
            <w:fldChar w:fldCharType="separate"/>
          </w:r>
          <w:r>
            <w:t>4</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_Toc26652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7.1损害发生的概率等级</w:t>
          </w:r>
          <w:r>
            <w:tab/>
          </w:r>
          <w:r>
            <w:fldChar w:fldCharType="begin"/>
          </w:r>
          <w:r>
            <w:instrText xml:space="preserve"> PAGEREF _Toc26652 </w:instrText>
          </w:r>
          <w:r>
            <w:fldChar w:fldCharType="separate"/>
          </w:r>
          <w:r>
            <w:t>4</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_Toc21668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7.2损害的严重度</w:t>
          </w:r>
          <w:r>
            <w:tab/>
          </w:r>
          <w:r>
            <w:fldChar w:fldCharType="begin"/>
          </w:r>
          <w:r>
            <w:instrText xml:space="preserve"> PAGEREF _Toc21668 </w:instrText>
          </w:r>
          <w:r>
            <w:fldChar w:fldCharType="separate"/>
          </w:r>
          <w:r>
            <w:t>5</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_Toc15650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7.3可接受风险决策方法</w:t>
          </w:r>
          <w:r>
            <w:tab/>
          </w:r>
          <w:r>
            <w:fldChar w:fldCharType="begin"/>
          </w:r>
          <w:r>
            <w:instrText xml:space="preserve"> PAGEREF _Toc15650 </w:instrText>
          </w:r>
          <w:r>
            <w:fldChar w:fldCharType="separate"/>
          </w:r>
          <w:r>
            <w:t>5</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_Toc6104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rPr>
            <w:t>7.4风险评价</w:t>
          </w:r>
          <w:r>
            <w:tab/>
          </w:r>
          <w:r>
            <w:fldChar w:fldCharType="begin"/>
          </w:r>
          <w:r>
            <w:instrText xml:space="preserve"> PAGEREF _Toc6104 </w:instrText>
          </w:r>
          <w:r>
            <w:fldChar w:fldCharType="separate"/>
          </w:r>
          <w:r>
            <w:t>6</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_Toc12243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8 </w:t>
          </w:r>
          <w:r>
            <w:rPr>
              <w:rFonts w:hint="eastAsia" w:ascii="宋体" w:hAnsi="宋体" w:eastAsia="宋体" w:cs="宋体"/>
              <w:szCs w:val="24"/>
            </w:rPr>
            <w:t>风险控制</w:t>
          </w:r>
          <w:r>
            <w:tab/>
          </w:r>
          <w:r>
            <w:fldChar w:fldCharType="begin"/>
          </w:r>
          <w:r>
            <w:instrText xml:space="preserve"> PAGEREF _Toc12243 </w:instrText>
          </w:r>
          <w:r>
            <w:fldChar w:fldCharType="separate"/>
          </w:r>
          <w:r>
            <w:t>7</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_Toc382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9 </w:t>
          </w:r>
          <w:r>
            <w:rPr>
              <w:rFonts w:hint="eastAsia" w:ascii="宋体" w:hAnsi="宋体" w:eastAsia="宋体" w:cs="宋体"/>
              <w:szCs w:val="24"/>
            </w:rPr>
            <w:t>验证活动</w:t>
          </w:r>
          <w:r>
            <w:tab/>
          </w:r>
          <w:r>
            <w:fldChar w:fldCharType="begin"/>
          </w:r>
          <w:r>
            <w:instrText xml:space="preserve"> PAGEREF _Toc382 </w:instrText>
          </w:r>
          <w:r>
            <w:fldChar w:fldCharType="separate"/>
          </w:r>
          <w:r>
            <w:t>8</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_Toc18903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10 </w:t>
          </w:r>
          <w:r>
            <w:rPr>
              <w:rFonts w:hint="eastAsia" w:ascii="宋体" w:hAnsi="宋体" w:eastAsia="宋体" w:cs="宋体"/>
              <w:szCs w:val="24"/>
            </w:rPr>
            <w:t>综合剩余风险分析</w:t>
          </w:r>
          <w:r>
            <w:tab/>
          </w:r>
          <w:r>
            <w:fldChar w:fldCharType="begin"/>
          </w:r>
          <w:r>
            <w:instrText xml:space="preserve"> PAGEREF _Toc18903 </w:instrText>
          </w:r>
          <w:r>
            <w:fldChar w:fldCharType="separate"/>
          </w:r>
          <w:r>
            <w:t>8</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_Toc23088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11 </w:t>
          </w:r>
          <w:r>
            <w:rPr>
              <w:rFonts w:hint="eastAsia" w:ascii="宋体" w:hAnsi="宋体" w:eastAsia="宋体" w:cs="宋体"/>
              <w:szCs w:val="24"/>
            </w:rPr>
            <w:t>生产和生产后信息</w:t>
          </w:r>
          <w:r>
            <w:tab/>
          </w:r>
          <w:r>
            <w:fldChar w:fldCharType="begin"/>
          </w:r>
          <w:r>
            <w:instrText xml:space="preserve"> PAGEREF _Toc23088 </w:instrText>
          </w:r>
          <w:r>
            <w:fldChar w:fldCharType="separate"/>
          </w:r>
          <w:r>
            <w:t>9</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_Toc18604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12 </w:t>
          </w:r>
          <w:r>
            <w:rPr>
              <w:rFonts w:hint="eastAsia" w:ascii="宋体" w:hAnsi="宋体" w:eastAsia="宋体" w:cs="宋体"/>
              <w:szCs w:val="24"/>
            </w:rPr>
            <w:t>年度风险分析</w:t>
          </w:r>
          <w:r>
            <w:tab/>
          </w:r>
          <w:r>
            <w:fldChar w:fldCharType="begin"/>
          </w:r>
          <w:r>
            <w:instrText xml:space="preserve"> PAGEREF _Toc18604 </w:instrText>
          </w:r>
          <w:r>
            <w:fldChar w:fldCharType="separate"/>
          </w:r>
          <w:r>
            <w:t>9</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_Toc19348 </w:instrText>
          </w:r>
          <w:r>
            <w:rPr>
              <w:rFonts w:hint="eastAsia" w:asciiTheme="minorEastAsia" w:hAnsiTheme="minorEastAsia" w:eastAsiaTheme="minorEastAsia" w:cstheme="minorEastAsia"/>
              <w:szCs w:val="24"/>
            </w:rPr>
            <w:fldChar w:fldCharType="separate"/>
          </w:r>
          <w:r>
            <w:rPr>
              <w:rFonts w:hint="eastAsia" w:ascii="宋体" w:hAnsi="宋体" w:eastAsia="宋体" w:cs="宋体"/>
              <w:szCs w:val="24"/>
              <w:lang w:val="en-US" w:eastAsia="zh-CN"/>
            </w:rPr>
            <w:t xml:space="preserve">13 </w:t>
          </w:r>
          <w:r>
            <w:rPr>
              <w:rFonts w:hint="eastAsia" w:ascii="宋体" w:hAnsi="宋体" w:eastAsia="宋体" w:cs="宋体"/>
              <w:szCs w:val="24"/>
            </w:rPr>
            <w:t>风险管理报告</w:t>
          </w:r>
          <w:r>
            <w:tab/>
          </w:r>
          <w:r>
            <w:fldChar w:fldCharType="begin"/>
          </w:r>
          <w:r>
            <w:instrText xml:space="preserve"> PAGEREF _Toc19348 </w:instrText>
          </w:r>
          <w:r>
            <w:fldChar w:fldCharType="separate"/>
          </w:r>
          <w:r>
            <w:t>10</w:t>
          </w:r>
          <w:r>
            <w:fldChar w:fldCharType="end"/>
          </w:r>
          <w:r>
            <w:rPr>
              <w:rFonts w:hint="eastAsia" w:asciiTheme="minorEastAsia" w:hAnsiTheme="minorEastAsia" w:eastAsiaTheme="minorEastAsia" w:cstheme="minorEastAsia"/>
              <w:szCs w:val="24"/>
            </w:rPr>
            <w:fldChar w:fldCharType="end"/>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4"/>
            </w:rPr>
            <w:fldChar w:fldCharType="end"/>
          </w:r>
        </w:p>
      </w:sdtContent>
    </w:sdt>
    <w:p>
      <w:pPr>
        <w:widowControl/>
        <w:jc w:val="left"/>
        <w:rPr>
          <w:rFonts w:hint="eastAsia" w:asciiTheme="minorEastAsia" w:hAnsiTheme="minorEastAsia" w:eastAsiaTheme="minorEastAsia" w:cstheme="minorEastAsia"/>
          <w:b/>
          <w:bCs/>
          <w:kern w:val="44"/>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12" w:charSpace="0"/>
        </w:sect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3" w:name="_Toc658"/>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背景</w:t>
      </w:r>
      <w:bookmarkEnd w:id="3"/>
    </w:p>
    <w:p>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4" w:name="_Toc14417"/>
      <w:bookmarkStart w:id="5" w:name="_Toc424200014"/>
      <w:r>
        <w:rPr>
          <w:rFonts w:hint="eastAsia" w:ascii="宋体" w:hAnsi="宋体" w:eastAsia="宋体" w:cs="宋体"/>
          <w:sz w:val="24"/>
          <w:szCs w:val="24"/>
        </w:rPr>
        <w:t>1.1目的</w:t>
      </w:r>
      <w:bookmarkEnd w:id="4"/>
      <w:bookmarkEnd w:id="5"/>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本风险管理计划按照</w:t>
      </w:r>
      <w:r>
        <w:rPr>
          <w:rFonts w:hint="eastAsia" w:ascii="宋体" w:hAnsi="宋体" w:eastAsia="宋体" w:cs="宋体"/>
          <w:sz w:val="24"/>
          <w:szCs w:val="24"/>
          <w:lang w:val="en-US" w:eastAsia="zh-CN"/>
        </w:rPr>
        <w:t>YY/T 0316-2016</w:t>
      </w:r>
      <w:r>
        <w:rPr>
          <w:rFonts w:hint="eastAsia" w:ascii="宋体" w:hAnsi="宋体" w:eastAsia="宋体" w:cs="宋体"/>
          <w:sz w:val="24"/>
          <w:szCs w:val="24"/>
        </w:rPr>
        <w:t>以及产品适用的相应</w:t>
      </w:r>
      <w:r>
        <w:rPr>
          <w:rFonts w:hint="eastAsia" w:ascii="宋体" w:hAnsi="宋体" w:eastAsia="宋体" w:cs="宋体"/>
          <w:sz w:val="24"/>
          <w:szCs w:val="24"/>
          <w:lang w:eastAsia="zh-CN"/>
        </w:rPr>
        <w:t>国标准</w:t>
      </w:r>
      <w:r>
        <w:rPr>
          <w:rFonts w:hint="eastAsia" w:ascii="宋体" w:hAnsi="宋体" w:eastAsia="宋体" w:cs="宋体"/>
          <w:sz w:val="24"/>
          <w:szCs w:val="24"/>
        </w:rPr>
        <w:t>，对</w:t>
      </w:r>
      <w:r>
        <w:rPr>
          <w:rFonts w:hint="eastAsia" w:ascii="宋体" w:hAnsi="宋体" w:eastAsia="宋体" w:cs="宋体"/>
          <w:color w:val="FF0000"/>
          <w:sz w:val="24"/>
          <w:szCs w:val="24"/>
        </w:rPr>
        <w:t>XX</w:t>
      </w:r>
      <w:r>
        <w:rPr>
          <w:rFonts w:hint="eastAsia" w:ascii="宋体" w:hAnsi="宋体" w:eastAsia="宋体" w:cs="宋体"/>
          <w:sz w:val="24"/>
          <w:szCs w:val="24"/>
        </w:rPr>
        <w:t>产品在其整个生命周期内的风险管理活动进行指导。通过对产品的风险管理活动，使产品在预期用途使用条件下，对病人、使用者、环境以及其他相关人员的风险降低到最低的、可接受的水平。</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6" w:name="_Toc9199"/>
      <w:bookmarkStart w:id="7" w:name="_Toc424200015"/>
      <w:r>
        <w:rPr>
          <w:rFonts w:hint="eastAsia" w:ascii="宋体" w:hAnsi="宋体" w:eastAsia="宋体" w:cs="宋体"/>
          <w:sz w:val="24"/>
          <w:szCs w:val="24"/>
        </w:rPr>
        <w:t>1.2范围</w:t>
      </w:r>
      <w:bookmarkEnd w:id="6"/>
      <w:bookmarkEnd w:id="7"/>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bookmarkStart w:id="8" w:name="OLE_LINK5"/>
      <w:bookmarkStart w:id="9" w:name="OLE_LINK4"/>
      <w:r>
        <w:rPr>
          <w:rFonts w:hint="eastAsia" w:ascii="宋体" w:hAnsi="宋体" w:eastAsia="宋体" w:cs="宋体"/>
          <w:sz w:val="24"/>
          <w:szCs w:val="24"/>
        </w:rPr>
        <w:t>本计划适用于</w:t>
      </w:r>
      <w:r>
        <w:rPr>
          <w:rFonts w:hint="eastAsia" w:ascii="宋体" w:hAnsi="宋体" w:eastAsia="宋体" w:cs="宋体"/>
          <w:color w:val="FF0000"/>
          <w:sz w:val="24"/>
          <w:szCs w:val="24"/>
        </w:rPr>
        <w:t>XX</w:t>
      </w:r>
      <w:r>
        <w:rPr>
          <w:rFonts w:hint="eastAsia" w:ascii="宋体" w:hAnsi="宋体" w:eastAsia="宋体" w:cs="宋体"/>
          <w:sz w:val="24"/>
          <w:szCs w:val="24"/>
        </w:rPr>
        <w:t>产品在整个生命周期内所有阶段（包括设计开发、产品实现、最终停用和处置阶段）的风险管理与控制。按照本计划，判定</w:t>
      </w:r>
      <w:r>
        <w:rPr>
          <w:rFonts w:hint="eastAsia" w:ascii="宋体" w:hAnsi="宋体" w:eastAsia="宋体" w:cs="宋体"/>
          <w:color w:val="FF0000"/>
          <w:sz w:val="24"/>
          <w:szCs w:val="24"/>
        </w:rPr>
        <w:t>XX</w:t>
      </w:r>
      <w:r>
        <w:rPr>
          <w:rFonts w:hint="eastAsia" w:ascii="宋体" w:hAnsi="宋体" w:eastAsia="宋体" w:cs="宋体"/>
          <w:sz w:val="24"/>
          <w:szCs w:val="24"/>
        </w:rPr>
        <w:t>产品及其附件有关的危害，估计和评价风险，控制这些风险，并监控控制措施的有效性。本风险管理计划的范围包括仪器整机系统以及由于其他配附件失效可能导致的仪器整机风险，对于配附件以本身不作风险分析。配附件的风险分析由进货检验以及采购质量保证予以保证。</w:t>
      </w:r>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bookmarkEnd w:id="8"/>
    <w:bookmarkEnd w:id="9"/>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10" w:name="_Toc11509"/>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产品介绍</w:t>
      </w:r>
      <w:bookmarkEnd w:id="10"/>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11" w:name="_Toc5869"/>
      <w:r>
        <w:rPr>
          <w:rFonts w:hint="eastAsia" w:ascii="宋体" w:hAnsi="宋体" w:eastAsia="宋体" w:cs="宋体"/>
          <w:sz w:val="24"/>
          <w:szCs w:val="24"/>
        </w:rPr>
        <w:t>2.1 产品描述</w:t>
      </w:r>
      <w:bookmarkEnd w:id="11"/>
    </w:p>
    <w:p>
      <w:pPr>
        <w:pageBreakBefore w:val="0"/>
        <w:widowControl w:val="0"/>
        <w:kinsoku/>
        <w:wordWrap/>
        <w:overflowPunct/>
        <w:topLinePunct w:val="0"/>
        <w:bidi w:val="0"/>
        <w:snapToGrid/>
        <w:spacing w:line="360" w:lineRule="auto"/>
        <w:textAlignment w:val="auto"/>
        <w:rPr>
          <w:rFonts w:hint="default" w:eastAsia="宋体"/>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FF0000"/>
          <w:sz w:val="24"/>
          <w:szCs w:val="24"/>
        </w:rPr>
        <w:t>XX</w:t>
      </w:r>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12" w:name="_Toc20445"/>
      <w:r>
        <w:rPr>
          <w:rFonts w:hint="eastAsia" w:ascii="宋体" w:hAnsi="宋体" w:eastAsia="宋体" w:cs="宋体"/>
          <w:sz w:val="24"/>
          <w:szCs w:val="24"/>
        </w:rPr>
        <w:t>2.2产品组成</w:t>
      </w:r>
      <w:bookmarkEnd w:id="12"/>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color w:val="FF0000"/>
          <w:sz w:val="24"/>
          <w:szCs w:val="24"/>
        </w:rPr>
        <w:t>XX</w:t>
      </w:r>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13" w:name="_Toc28347"/>
      <w:r>
        <w:rPr>
          <w:rFonts w:hint="eastAsia" w:ascii="宋体" w:hAnsi="宋体" w:eastAsia="宋体" w:cs="宋体"/>
          <w:sz w:val="24"/>
          <w:szCs w:val="24"/>
        </w:rPr>
        <w:t>2.3工作原理</w:t>
      </w:r>
      <w:bookmarkEnd w:id="13"/>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bookmarkStart w:id="14" w:name="_Toc451939577"/>
      <w:bookmarkStart w:id="15" w:name="_Toc361847743"/>
      <w:r>
        <w:rPr>
          <w:rFonts w:hint="eastAsia" w:ascii="宋体" w:hAnsi="宋体" w:eastAsia="宋体" w:cs="宋体"/>
          <w:color w:val="FF0000"/>
          <w:sz w:val="24"/>
          <w:szCs w:val="24"/>
        </w:rPr>
        <w:t>XX</w:t>
      </w:r>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bookmarkStart w:id="16" w:name="_Toc27268"/>
      <w:r>
        <w:rPr>
          <w:rFonts w:hint="eastAsia" w:ascii="宋体" w:hAnsi="宋体" w:eastAsia="宋体" w:cs="宋体"/>
          <w:sz w:val="24"/>
          <w:szCs w:val="24"/>
        </w:rPr>
        <w:t>2.4</w:t>
      </w:r>
      <w:bookmarkEnd w:id="14"/>
      <w:bookmarkEnd w:id="15"/>
      <w:r>
        <w:rPr>
          <w:rFonts w:hint="eastAsia" w:ascii="宋体" w:hAnsi="宋体" w:eastAsia="宋体" w:cs="宋体"/>
          <w:sz w:val="24"/>
          <w:szCs w:val="24"/>
          <w:lang w:eastAsia="zh-CN"/>
        </w:rPr>
        <w:t>产品预期用途</w:t>
      </w:r>
      <w:bookmarkEnd w:id="16"/>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bookmarkStart w:id="17" w:name="_Toc451939578"/>
      <w:r>
        <w:rPr>
          <w:rFonts w:hint="eastAsia" w:ascii="宋体" w:hAnsi="宋体" w:eastAsia="宋体" w:cs="宋体"/>
          <w:color w:val="FF0000"/>
          <w:sz w:val="24"/>
          <w:szCs w:val="24"/>
        </w:rPr>
        <w:t>XX</w:t>
      </w:r>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18" w:name="_Toc3502"/>
      <w:r>
        <w:rPr>
          <w:rFonts w:hint="eastAsia" w:ascii="宋体" w:hAnsi="宋体" w:eastAsia="宋体" w:cs="宋体"/>
          <w:sz w:val="24"/>
          <w:szCs w:val="24"/>
        </w:rPr>
        <w:t>2.5预期使用寿命</w:t>
      </w:r>
      <w:bookmarkEnd w:id="17"/>
      <w:bookmarkEnd w:id="18"/>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color w:val="FF0000"/>
          <w:sz w:val="24"/>
          <w:szCs w:val="24"/>
        </w:rPr>
        <w:t>XX</w:t>
      </w:r>
    </w:p>
    <w:p>
      <w:pPr>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19" w:name="_Toc16789"/>
      <w:r>
        <w:rPr>
          <w:rFonts w:hint="eastAsia" w:ascii="宋体" w:hAnsi="宋体" w:eastAsia="宋体" w:cs="宋体"/>
          <w:sz w:val="24"/>
          <w:szCs w:val="24"/>
          <w:lang w:val="en-US" w:eastAsia="zh-CN"/>
        </w:rPr>
        <w:t xml:space="preserve">3 </w:t>
      </w:r>
      <w:r>
        <w:rPr>
          <w:rFonts w:hint="eastAsia" w:ascii="宋体" w:hAnsi="宋体" w:eastAsia="宋体" w:cs="宋体"/>
          <w:sz w:val="24"/>
          <w:szCs w:val="24"/>
          <w:lang w:eastAsia="zh-CN"/>
        </w:rPr>
        <w:t>风险管理小组</w:t>
      </w:r>
      <w:bookmarkEnd w:id="1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公司组成了风险管理小组，确定了对风险管理的负责人，确保风险管理活动有效地实施。</w:t>
      </w:r>
    </w:p>
    <w:tbl>
      <w:tblPr>
        <w:tblStyle w:val="10"/>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2413"/>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noWrap w:val="0"/>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参与人员</w:t>
            </w:r>
          </w:p>
        </w:tc>
        <w:tc>
          <w:tcPr>
            <w:tcW w:w="2413" w:type="dxa"/>
            <w:noWrap w:val="0"/>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commentRangeStart w:id="0"/>
            <w:r>
              <w:rPr>
                <w:rFonts w:hint="eastAsia" w:ascii="宋体" w:hAnsi="宋体" w:eastAsia="宋体" w:cs="宋体"/>
                <w:sz w:val="24"/>
                <w:szCs w:val="24"/>
              </w:rPr>
              <w:t>风险管理活动角色</w:t>
            </w:r>
            <w:commentRangeEnd w:id="0"/>
            <w:r>
              <w:rPr>
                <w:sz w:val="24"/>
                <w:szCs w:val="24"/>
              </w:rPr>
              <w:commentReference w:id="0"/>
            </w:r>
          </w:p>
        </w:tc>
        <w:tc>
          <w:tcPr>
            <w:tcW w:w="5318" w:type="dxa"/>
            <w:noWrap w:val="0"/>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风险管理活动职责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413"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风险管理小组组长</w:t>
            </w:r>
          </w:p>
        </w:tc>
        <w:tc>
          <w:tcPr>
            <w:tcW w:w="5318"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负责批准风险可接受准则，并最终决定该产品风险管理活动是否有效。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413"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产品安全工程师</w:t>
            </w:r>
          </w:p>
        </w:tc>
        <w:tc>
          <w:tcPr>
            <w:tcW w:w="5318"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413"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产品认证工程师</w:t>
            </w:r>
          </w:p>
        </w:tc>
        <w:tc>
          <w:tcPr>
            <w:tcW w:w="5318"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413"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临床工程师</w:t>
            </w:r>
          </w:p>
        </w:tc>
        <w:tc>
          <w:tcPr>
            <w:tcW w:w="5318"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负责从临床角度关注风险是否被有效降低到了可接受范围内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413"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系统设计工程师</w:t>
            </w:r>
          </w:p>
        </w:tc>
        <w:tc>
          <w:tcPr>
            <w:tcW w:w="5318"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负责从系统角度关注风险是否被有效降低到了可接受范围内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413"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测试负责人</w:t>
            </w:r>
          </w:p>
        </w:tc>
        <w:tc>
          <w:tcPr>
            <w:tcW w:w="5318"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负责关注风险控制措施的验证是否在整机测试中有效开展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413"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项目QA</w:t>
            </w:r>
          </w:p>
        </w:tc>
        <w:tc>
          <w:tcPr>
            <w:tcW w:w="5318"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负责确保风险管理活动的开展符合公司流程要求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413"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5318"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bl>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20" w:name="_Toc27359"/>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风险管理过程</w:t>
      </w:r>
      <w:bookmarkEnd w:id="20"/>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按据公司《风险管理控制程序》的要求执行风险管理过程。风险管理过程包括：风险管理计划、风险分析、风险评价、风险控制、综合剩余风险评价、风险管理报告、生产及生产后信息等步骤。具体如下：</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p>
    <w:tbl>
      <w:tblPr>
        <w:tblStyle w:val="1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4229"/>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风险管理活动</w:t>
            </w:r>
          </w:p>
        </w:tc>
        <w:tc>
          <w:tcPr>
            <w:tcW w:w="4229"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评审通过准则</w:t>
            </w:r>
          </w:p>
        </w:tc>
        <w:tc>
          <w:tcPr>
            <w:tcW w:w="1958" w:type="dxa"/>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评审参与人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风险管理计划</w:t>
            </w:r>
          </w:p>
        </w:tc>
        <w:tc>
          <w:tcPr>
            <w:tcW w:w="4229"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完成风险管理计划。</w:t>
            </w:r>
          </w:p>
        </w:tc>
        <w:tc>
          <w:tcPr>
            <w:tcW w:w="1958"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风险分析</w:t>
            </w:r>
          </w:p>
        </w:tc>
        <w:tc>
          <w:tcPr>
            <w:tcW w:w="4229"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完成《初始安全特征判定》。</w:t>
            </w:r>
          </w:p>
        </w:tc>
        <w:tc>
          <w:tcPr>
            <w:tcW w:w="1958"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风险评价、风险控制</w:t>
            </w:r>
          </w:p>
        </w:tc>
        <w:tc>
          <w:tcPr>
            <w:tcW w:w="4229"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完成《风险评价、风险控制措施记录表》中的风险评价、风险控制措施、采取措施后的风险分析评价及采取措施后是否引发新风险部分。</w:t>
            </w:r>
          </w:p>
        </w:tc>
        <w:tc>
          <w:tcPr>
            <w:tcW w:w="1958"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风险控制措施验证</w:t>
            </w:r>
          </w:p>
        </w:tc>
        <w:tc>
          <w:tcPr>
            <w:tcW w:w="4229"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对风险控制措施的有效性和风险控制措施的落实情况已进行验证，将结果填写在《风险评价、风险控制措施记录表》中。</w:t>
            </w:r>
          </w:p>
        </w:tc>
        <w:tc>
          <w:tcPr>
            <w:tcW w:w="1958"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综合剩余风险的可接受性评价</w:t>
            </w:r>
          </w:p>
        </w:tc>
        <w:tc>
          <w:tcPr>
            <w:tcW w:w="4229"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全部剩余风险都可接受，没有未记录在风险管理报告的危害，完成《综合剩余风险评价记录表》部分。</w:t>
            </w:r>
          </w:p>
        </w:tc>
        <w:tc>
          <w:tcPr>
            <w:tcW w:w="1958"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试产阶段的风险评价</w:t>
            </w:r>
          </w:p>
        </w:tc>
        <w:tc>
          <w:tcPr>
            <w:tcW w:w="4229"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试产阶段不产生新的安全性问题</w:t>
            </w:r>
          </w:p>
        </w:tc>
        <w:tc>
          <w:tcPr>
            <w:tcW w:w="1958"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生产和生产后信息</w:t>
            </w:r>
          </w:p>
        </w:tc>
        <w:tc>
          <w:tcPr>
            <w:tcW w:w="4229"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新增危害风险可接受且不影响综合剩余风险的可接受性</w:t>
            </w:r>
          </w:p>
        </w:tc>
        <w:tc>
          <w:tcPr>
            <w:tcW w:w="1958"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风险管理小组</w:t>
            </w:r>
          </w:p>
        </w:tc>
      </w:tr>
    </w:tbl>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21" w:name="_Toc2163"/>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风险管理活动的评审要求</w:t>
      </w:r>
      <w:bookmarkEnd w:id="2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风险管理评审小组的构成必须包括熟悉产品原理及功能的成员，熟悉产品制造的成员，以及熟悉产品应用的成员，以及法规工程师。评审组成员应对评审结果的正确性和有效性负责。各部门应配合评审组成员对与产品安全性有关的信息进行评审，为综合剩余风险的评价提供依据。</w:t>
      </w:r>
    </w:p>
    <w:p>
      <w:pPr>
        <w:pStyle w:val="15"/>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风险管理计划是否已适当实施的验证，包括：</w:t>
      </w:r>
    </w:p>
    <w:p>
      <w:pPr>
        <w:pStyle w:val="15"/>
        <w:pageBreakBefore w:val="0"/>
        <w:widowControl w:val="0"/>
        <w:kinsoku/>
        <w:wordWrap/>
        <w:overflowPunct/>
        <w:topLinePunct w:val="0"/>
        <w:autoSpaceDE/>
        <w:autoSpaceDN/>
        <w:bidi w:val="0"/>
        <w:adjustRightInd/>
        <w:snapToGrid/>
        <w:spacing w:line="360" w:lineRule="auto"/>
        <w:ind w:left="846"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根据以下和安全性有关的信息在产品的设计开发、工程化、试生产及产品生产与售后阶段进行评审：</w:t>
      </w:r>
    </w:p>
    <w:p>
      <w:pPr>
        <w:pStyle w:val="15"/>
        <w:pageBreakBefore w:val="0"/>
        <w:widowControl w:val="0"/>
        <w:numPr>
          <w:ilvl w:val="0"/>
          <w:numId w:val="2"/>
        </w:numPr>
        <w:kinsoku/>
        <w:wordWrap/>
        <w:overflowPunct/>
        <w:topLinePunct w:val="0"/>
        <w:autoSpaceDE/>
        <w:autoSpaceDN/>
        <w:bidi w:val="0"/>
        <w:adjustRightInd/>
        <w:snapToGrid/>
        <w:spacing w:line="360" w:lineRule="auto"/>
        <w:ind w:left="1276"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是否有事先未知的危害出现；</w:t>
      </w:r>
    </w:p>
    <w:p>
      <w:pPr>
        <w:pStyle w:val="15"/>
        <w:pageBreakBefore w:val="0"/>
        <w:widowControl w:val="0"/>
        <w:numPr>
          <w:ilvl w:val="0"/>
          <w:numId w:val="2"/>
        </w:numPr>
        <w:kinsoku/>
        <w:wordWrap/>
        <w:overflowPunct/>
        <w:topLinePunct w:val="0"/>
        <w:autoSpaceDE/>
        <w:autoSpaceDN/>
        <w:bidi w:val="0"/>
        <w:adjustRightInd/>
        <w:snapToGrid/>
        <w:spacing w:line="360" w:lineRule="auto"/>
        <w:ind w:left="1276"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是否有某项危害造成的已被估计的风险（一个或多个）不再是可接受的；</w:t>
      </w:r>
    </w:p>
    <w:p>
      <w:pPr>
        <w:pStyle w:val="15"/>
        <w:pageBreakBefore w:val="0"/>
        <w:widowControl w:val="0"/>
        <w:numPr>
          <w:ilvl w:val="0"/>
          <w:numId w:val="2"/>
        </w:numPr>
        <w:kinsoku/>
        <w:wordWrap/>
        <w:overflowPunct/>
        <w:topLinePunct w:val="0"/>
        <w:autoSpaceDE/>
        <w:autoSpaceDN/>
        <w:bidi w:val="0"/>
        <w:adjustRightInd/>
        <w:snapToGrid/>
        <w:spacing w:line="360" w:lineRule="auto"/>
        <w:ind w:left="1276"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是否初始评定的其它方面已经失效；</w:t>
      </w:r>
    </w:p>
    <w:p>
      <w:pPr>
        <w:pStyle w:val="15"/>
        <w:pageBreakBefore w:val="0"/>
        <w:widowControl w:val="0"/>
        <w:numPr>
          <w:ilvl w:val="0"/>
          <w:numId w:val="2"/>
        </w:numPr>
        <w:kinsoku/>
        <w:wordWrap/>
        <w:overflowPunct/>
        <w:topLinePunct w:val="0"/>
        <w:autoSpaceDE/>
        <w:autoSpaceDN/>
        <w:bidi w:val="0"/>
        <w:adjustRightInd/>
        <w:snapToGrid/>
        <w:spacing w:line="360" w:lineRule="auto"/>
        <w:ind w:left="1276"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产品综合剩余风险是否已降低至可接受水平或经过风险/受益分析判断为可接受。</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应对产品生产和生产后信息的获取方式进行评审，保持评审记录以证实风险管理计划的每个要素在产品特定的生命周期阶段已被适当的实施。</w:t>
      </w:r>
    </w:p>
    <w:p>
      <w:pPr>
        <w:pStyle w:val="15"/>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风险管理活动效果验证</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评审组可通过收集临床资料及生产和生产后信息对风险管理实施效果进行验证以确保风险管理活动的有效性。</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22" w:name="_Toc27153"/>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风险分析</w:t>
      </w:r>
      <w:bookmarkEnd w:id="22"/>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23" w:name="_Toc16919"/>
      <w:bookmarkStart w:id="24" w:name="_Toc424200025"/>
      <w:r>
        <w:rPr>
          <w:rFonts w:hint="eastAsia" w:ascii="宋体" w:hAnsi="宋体" w:eastAsia="宋体" w:cs="宋体"/>
          <w:sz w:val="24"/>
          <w:szCs w:val="24"/>
        </w:rPr>
        <w:t>6.</w:t>
      </w:r>
      <w:r>
        <w:rPr>
          <w:rFonts w:hint="eastAsia" w:ascii="宋体" w:hAnsi="宋体" w:eastAsia="宋体" w:cs="宋体"/>
          <w:sz w:val="24"/>
          <w:szCs w:val="24"/>
          <w:lang w:val="en-US" w:eastAsia="zh-CN"/>
        </w:rPr>
        <w:t>1</w:t>
      </w:r>
      <w:r>
        <w:rPr>
          <w:rFonts w:hint="eastAsia" w:ascii="宋体" w:hAnsi="宋体" w:eastAsia="宋体" w:cs="宋体"/>
          <w:sz w:val="24"/>
          <w:szCs w:val="24"/>
        </w:rPr>
        <w:t>风险分析的内容</w:t>
      </w:r>
      <w:bookmarkEnd w:id="23"/>
      <w:bookmarkEnd w:id="24"/>
    </w:p>
    <w:p>
      <w:pPr>
        <w:pageBreakBefore w:val="0"/>
        <w:widowControl w:val="0"/>
        <w:kinsoku/>
        <w:wordWrap/>
        <w:overflowPunct/>
        <w:topLinePunct w:val="0"/>
        <w:autoSpaceDE/>
        <w:autoSpaceDN/>
        <w:bidi w:val="0"/>
        <w:adjustRightInd/>
        <w:snapToGrid/>
        <w:spacing w:line="360" w:lineRule="auto"/>
        <w:ind w:left="420" w:hanging="360" w:hangingChars="150"/>
        <w:textAlignment w:val="auto"/>
        <w:rPr>
          <w:rFonts w:hint="eastAsia" w:ascii="宋体" w:hAnsi="宋体" w:eastAsia="宋体" w:cs="宋体"/>
          <w:bCs/>
          <w:sz w:val="24"/>
          <w:szCs w:val="24"/>
        </w:rPr>
      </w:pPr>
      <w:r>
        <w:rPr>
          <w:rFonts w:hint="eastAsia" w:ascii="宋体" w:hAnsi="宋体" w:eastAsia="宋体" w:cs="宋体"/>
          <w:bCs/>
          <w:sz w:val="24"/>
          <w:szCs w:val="24"/>
        </w:rPr>
        <w:t>1）可能的危害及危害事件序列</w:t>
      </w:r>
    </w:p>
    <w:p>
      <w:pPr>
        <w:pageBreakBefore w:val="0"/>
        <w:widowControl w:val="0"/>
        <w:kinsoku/>
        <w:wordWrap/>
        <w:overflowPunct/>
        <w:topLinePunct w:val="0"/>
        <w:autoSpaceDE/>
        <w:autoSpaceDN/>
        <w:bidi w:val="0"/>
        <w:adjustRightInd/>
        <w:snapToGrid/>
        <w:spacing w:line="360" w:lineRule="auto"/>
        <w:ind w:left="420" w:hanging="360" w:hangingChars="150"/>
        <w:textAlignment w:val="auto"/>
        <w:rPr>
          <w:rFonts w:hint="eastAsia" w:ascii="宋体" w:hAnsi="宋体" w:eastAsia="宋体" w:cs="宋体"/>
          <w:bCs/>
          <w:sz w:val="24"/>
          <w:szCs w:val="24"/>
        </w:rPr>
      </w:pPr>
      <w:r>
        <w:rPr>
          <w:rFonts w:hint="eastAsia" w:ascii="宋体" w:hAnsi="宋体" w:eastAsia="宋体" w:cs="宋体"/>
          <w:bCs/>
          <w:sz w:val="24"/>
          <w:szCs w:val="24"/>
        </w:rPr>
        <w:t>2）危害发生及其引起损害的概率</w:t>
      </w:r>
    </w:p>
    <w:p>
      <w:pPr>
        <w:pageBreakBefore w:val="0"/>
        <w:widowControl w:val="0"/>
        <w:kinsoku/>
        <w:wordWrap/>
        <w:overflowPunct/>
        <w:topLinePunct w:val="0"/>
        <w:autoSpaceDE/>
        <w:autoSpaceDN/>
        <w:bidi w:val="0"/>
        <w:adjustRightInd/>
        <w:snapToGrid/>
        <w:spacing w:line="360" w:lineRule="auto"/>
        <w:ind w:left="420" w:hanging="360" w:hangingChars="150"/>
        <w:textAlignment w:val="auto"/>
        <w:rPr>
          <w:rFonts w:hint="eastAsia" w:ascii="宋体" w:hAnsi="宋体" w:eastAsia="宋体" w:cs="宋体"/>
          <w:bCs/>
          <w:sz w:val="24"/>
          <w:szCs w:val="24"/>
        </w:rPr>
      </w:pPr>
      <w:r>
        <w:rPr>
          <w:rFonts w:hint="eastAsia" w:ascii="宋体" w:hAnsi="宋体" w:eastAsia="宋体" w:cs="宋体"/>
          <w:bCs/>
          <w:sz w:val="24"/>
          <w:szCs w:val="24"/>
        </w:rPr>
        <w:t>3）损害的严重度</w:t>
      </w:r>
    </w:p>
    <w:p>
      <w:pPr>
        <w:pageBreakBefore w:val="0"/>
        <w:widowControl w:val="0"/>
        <w:kinsoku/>
        <w:wordWrap/>
        <w:overflowPunct/>
        <w:topLinePunct w:val="0"/>
        <w:autoSpaceDE/>
        <w:autoSpaceDN/>
        <w:bidi w:val="0"/>
        <w:adjustRightInd/>
        <w:snapToGrid/>
        <w:spacing w:line="360" w:lineRule="auto"/>
        <w:ind w:left="420" w:hanging="360" w:hangingChars="150"/>
        <w:textAlignment w:val="auto"/>
        <w:rPr>
          <w:rFonts w:hint="eastAsia" w:ascii="宋体" w:hAnsi="宋体" w:eastAsia="宋体" w:cs="宋体"/>
          <w:bCs/>
          <w:sz w:val="24"/>
          <w:szCs w:val="24"/>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25" w:name="_Toc32656"/>
      <w:bookmarkStart w:id="26" w:name="_Toc424200026"/>
      <w:r>
        <w:rPr>
          <w:rFonts w:hint="eastAsia" w:ascii="宋体" w:hAnsi="宋体" w:eastAsia="宋体" w:cs="宋体"/>
          <w:sz w:val="24"/>
          <w:szCs w:val="24"/>
        </w:rPr>
        <w:t>6.</w:t>
      </w:r>
      <w:r>
        <w:rPr>
          <w:rFonts w:hint="eastAsia" w:ascii="宋体" w:hAnsi="宋体" w:eastAsia="宋体" w:cs="宋体"/>
          <w:sz w:val="24"/>
          <w:szCs w:val="24"/>
          <w:lang w:val="en-US" w:eastAsia="zh-CN"/>
        </w:rPr>
        <w:t>2</w:t>
      </w:r>
      <w:r>
        <w:rPr>
          <w:rFonts w:hint="eastAsia" w:ascii="宋体" w:hAnsi="宋体" w:eastAsia="宋体" w:cs="宋体"/>
          <w:sz w:val="24"/>
          <w:szCs w:val="24"/>
        </w:rPr>
        <w:t>风险分析的方法</w:t>
      </w:r>
      <w:bookmarkEnd w:id="25"/>
      <w:bookmarkEnd w:id="26"/>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本项目风险分析方法包括《ISO14971：2007 医疗器械——风险管理对医疗器械的应用》中《附录G (提示性)风险管理技术资料》中的G.2“初步危害分析法”（PHA）和G.4“失效模式和效应分析法”（FMEA）。</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27" w:name="_Toc497"/>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风险可接收性准则</w:t>
      </w:r>
      <w:bookmarkEnd w:id="27"/>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风险管理团队对经风险分析判断出的危害进行发生概率与损害严重度的分析，根据本计划确定的风险可接受准则判断风险的可接受性。以下是本产品确定的风险可接受准则，其中损害的严重度采用定性分析，损害发生的概率采用半定量分析，风险可接受性准则以4</w:t>
      </w:r>
      <w:r>
        <w:rPr>
          <w:rFonts w:hint="eastAsia" w:ascii="宋体" w:hAnsi="宋体" w:eastAsia="宋体" w:cs="宋体"/>
          <w:sz w:val="24"/>
          <w:szCs w:val="24"/>
        </w:rPr>
        <w:sym w:font="Symbol" w:char="F0B4"/>
      </w:r>
      <w:r>
        <w:rPr>
          <w:rFonts w:hint="eastAsia" w:ascii="宋体" w:hAnsi="宋体" w:eastAsia="宋体" w:cs="宋体"/>
          <w:sz w:val="24"/>
          <w:szCs w:val="24"/>
        </w:rPr>
        <w:t>6三分区矩阵图表示。</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8" w:name="_Toc424200028"/>
      <w:bookmarkStart w:id="29" w:name="_Toc26652"/>
      <w:r>
        <w:rPr>
          <w:rFonts w:hint="eastAsia" w:ascii="宋体" w:hAnsi="宋体" w:eastAsia="宋体" w:cs="宋体"/>
          <w:sz w:val="24"/>
          <w:szCs w:val="24"/>
        </w:rPr>
        <w:t>7.1损害发生的概率等级</w:t>
      </w:r>
      <w:bookmarkEnd w:id="28"/>
      <w:bookmarkEnd w:id="29"/>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093"/>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tcBorders>
              <w:bottom w:val="single" w:color="auto" w:sz="4" w:space="0"/>
            </w:tcBorders>
            <w:shd w:val="clear" w:color="auto" w:fill="C0C0C0"/>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等级名称</w:t>
            </w:r>
          </w:p>
        </w:tc>
        <w:tc>
          <w:tcPr>
            <w:tcW w:w="2095" w:type="dxa"/>
            <w:tcBorders>
              <w:bottom w:val="single" w:color="auto" w:sz="4" w:space="0"/>
            </w:tcBorders>
            <w:shd w:val="clear" w:color="auto" w:fill="C0C0C0"/>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代号</w:t>
            </w:r>
          </w:p>
        </w:tc>
        <w:tc>
          <w:tcPr>
            <w:tcW w:w="3591" w:type="dxa"/>
            <w:tcBorders>
              <w:bottom w:val="single" w:color="auto" w:sz="4" w:space="0"/>
            </w:tcBorders>
            <w:shd w:val="clear" w:color="auto" w:fill="C0C0C0"/>
            <w:vAlign w:val="center"/>
          </w:tcPr>
          <w:p>
            <w:pPr>
              <w:pageBreakBefore w:val="0"/>
              <w:widowControl w:val="0"/>
              <w:tabs>
                <w:tab w:val="left" w:pos="6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频次（次数/年/单个产品）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频繁</w:t>
            </w:r>
          </w:p>
        </w:tc>
        <w:tc>
          <w:tcPr>
            <w:tcW w:w="209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3591"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很可能</w:t>
            </w:r>
          </w:p>
        </w:tc>
        <w:tc>
          <w:tcPr>
            <w:tcW w:w="209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3591"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1~10</w:t>
            </w:r>
            <w:r>
              <w:rPr>
                <w:rFonts w:hint="eastAsia" w:ascii="宋体" w:hAnsi="宋体" w:eastAsia="宋体" w:cs="宋体"/>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偶然</w:t>
            </w:r>
          </w:p>
        </w:tc>
        <w:tc>
          <w:tcPr>
            <w:tcW w:w="209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3591"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vertAlign w:val="superscript"/>
              </w:rPr>
              <w:t>-1</w:t>
            </w:r>
            <w:r>
              <w:rPr>
                <w:rFonts w:hint="eastAsia" w:ascii="宋体" w:hAnsi="宋体" w:eastAsia="宋体" w:cs="宋体"/>
                <w:sz w:val="24"/>
                <w:szCs w:val="24"/>
              </w:rPr>
              <w:t>~10</w:t>
            </w:r>
            <w:r>
              <w:rPr>
                <w:rFonts w:hint="eastAsia" w:ascii="宋体" w:hAnsi="宋体" w:eastAsia="宋体" w:cs="宋体"/>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很少</w:t>
            </w:r>
          </w:p>
        </w:tc>
        <w:tc>
          <w:tcPr>
            <w:tcW w:w="209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3591"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vertAlign w:val="superscript"/>
              </w:rPr>
              <w:t>-2</w:t>
            </w:r>
            <w:r>
              <w:rPr>
                <w:rFonts w:hint="eastAsia" w:ascii="宋体" w:hAnsi="宋体" w:eastAsia="宋体" w:cs="宋体"/>
                <w:sz w:val="24"/>
                <w:szCs w:val="24"/>
              </w:rPr>
              <w:t>~10</w:t>
            </w:r>
            <w:r>
              <w:rPr>
                <w:rFonts w:hint="eastAsia" w:ascii="宋体" w:hAnsi="宋体" w:eastAsia="宋体" w:cs="宋体"/>
                <w:sz w:val="24"/>
                <w:szCs w:val="24"/>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未必可能</w:t>
            </w:r>
          </w:p>
        </w:tc>
        <w:tc>
          <w:tcPr>
            <w:tcW w:w="209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3591"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vertAlign w:val="superscript"/>
              </w:rPr>
              <w:t>-4</w:t>
            </w:r>
            <w:r>
              <w:rPr>
                <w:rFonts w:hint="eastAsia" w:ascii="宋体" w:hAnsi="宋体" w:eastAsia="宋体" w:cs="宋体"/>
                <w:sz w:val="24"/>
                <w:szCs w:val="24"/>
              </w:rPr>
              <w:t>~10</w:t>
            </w:r>
            <w:r>
              <w:rPr>
                <w:rFonts w:hint="eastAsia" w:ascii="宋体" w:hAnsi="宋体" w:eastAsia="宋体" w:cs="宋体"/>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难以置信</w:t>
            </w:r>
          </w:p>
        </w:tc>
        <w:tc>
          <w:tcPr>
            <w:tcW w:w="209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591"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&lt;10</w:t>
            </w:r>
            <w:r>
              <w:rPr>
                <w:rFonts w:hint="eastAsia" w:ascii="宋体" w:hAnsi="宋体" w:eastAsia="宋体" w:cs="宋体"/>
                <w:sz w:val="24"/>
                <w:szCs w:val="24"/>
                <w:vertAlign w:val="superscript"/>
              </w:rPr>
              <w:t>-6</w:t>
            </w:r>
          </w:p>
        </w:tc>
      </w:tr>
    </w:tbl>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0" w:name="_Toc424200029"/>
      <w:bookmarkStart w:id="31" w:name="_Toc21668"/>
      <w:r>
        <w:rPr>
          <w:rFonts w:hint="eastAsia" w:ascii="宋体" w:hAnsi="宋体" w:eastAsia="宋体" w:cs="宋体"/>
          <w:sz w:val="24"/>
          <w:szCs w:val="24"/>
        </w:rPr>
        <w:t>7.2损害的严重度</w:t>
      </w:r>
      <w:bookmarkEnd w:id="30"/>
      <w:bookmarkEnd w:id="31"/>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701"/>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tcBorders>
              <w:bottom w:val="single" w:color="auto" w:sz="4" w:space="0"/>
            </w:tcBorders>
            <w:shd w:val="clear" w:color="auto" w:fill="C0C0C0"/>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等级名称</w:t>
            </w:r>
          </w:p>
        </w:tc>
        <w:tc>
          <w:tcPr>
            <w:tcW w:w="1701" w:type="dxa"/>
            <w:tcBorders>
              <w:bottom w:val="single" w:color="auto" w:sz="4" w:space="0"/>
            </w:tcBorders>
            <w:shd w:val="clear" w:color="auto" w:fill="C0C0C0"/>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代号</w:t>
            </w:r>
          </w:p>
        </w:tc>
        <w:tc>
          <w:tcPr>
            <w:tcW w:w="4586" w:type="dxa"/>
            <w:tcBorders>
              <w:bottom w:val="single" w:color="auto" w:sz="4" w:space="0"/>
            </w:tcBorders>
            <w:shd w:val="clear" w:color="auto" w:fill="C0C0C0"/>
            <w:vAlign w:val="center"/>
          </w:tcPr>
          <w:p>
            <w:pPr>
              <w:pageBreakBefore w:val="0"/>
              <w:widowControl w:val="0"/>
              <w:tabs>
                <w:tab w:val="left" w:pos="6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定性说明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可忽略</w:t>
            </w:r>
          </w:p>
        </w:tc>
        <w:tc>
          <w:tcPr>
            <w:tcW w:w="1701"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586"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几乎没有或没有潜在伤害的可能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边际</w:t>
            </w:r>
          </w:p>
        </w:tc>
        <w:tc>
          <w:tcPr>
            <w:tcW w:w="1701"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586"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潜在伤害可能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危重</w:t>
            </w:r>
          </w:p>
        </w:tc>
        <w:tc>
          <w:tcPr>
            <w:tcW w:w="1701"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586"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潜在死亡或严重伤害可能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灾难</w:t>
            </w:r>
          </w:p>
        </w:tc>
        <w:tc>
          <w:tcPr>
            <w:tcW w:w="1701" w:type="dxa"/>
            <w:shd w:val="clear" w:color="auto" w:fill="auto"/>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4586" w:type="dxa"/>
            <w:shd w:val="clear" w:color="auto" w:fill="auto"/>
            <w:vAlign w:val="center"/>
          </w:tcPr>
          <w:p>
            <w:pPr>
              <w:pageBreakBefore w:val="0"/>
              <w:widowControl w:val="0"/>
              <w:tabs>
                <w:tab w:val="left" w:pos="67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潜在多重死亡或严重伤害可能</w:t>
            </w:r>
          </w:p>
        </w:tc>
      </w:tr>
    </w:tbl>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32" w:name="_Toc424200030"/>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33" w:name="_Toc15650"/>
      <w:r>
        <w:rPr>
          <w:rFonts w:hint="eastAsia" w:ascii="宋体" w:hAnsi="宋体" w:eastAsia="宋体" w:cs="宋体"/>
          <w:sz w:val="24"/>
          <w:szCs w:val="24"/>
        </w:rPr>
        <w:t>7.3可接受风险决策方法</w:t>
      </w:r>
      <w:bookmarkEnd w:id="33"/>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依据本计划中规定的风险可接受性准则，由风险管理团队对</w:t>
      </w:r>
      <w:r>
        <w:rPr>
          <w:rFonts w:hint="eastAsia" w:ascii="宋体" w:hAnsi="宋体" w:eastAsia="宋体" w:cs="宋体"/>
          <w:color w:val="FF0000"/>
          <w:sz w:val="24"/>
          <w:szCs w:val="24"/>
        </w:rPr>
        <w:t>XX</w:t>
      </w:r>
      <w:r>
        <w:rPr>
          <w:rFonts w:hint="eastAsia" w:ascii="宋体" w:hAnsi="宋体" w:eastAsia="宋体" w:cs="宋体"/>
          <w:sz w:val="24"/>
          <w:szCs w:val="24"/>
        </w:rPr>
        <w:t>产品相关危害在正常使用、可预见误用以及单一故障情况下可能导致的风险进行评审，评审时基于以下方法判断危害的严重程度：</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——使用已执行的有规定要求的适用标准；</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——已在使用的类似医疗器械的现场资料；</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——由典型使用者进行的适用性实验；</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——临床证据、适当的调研结果、科学技术资料、专家意见；</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——外部质量评定情况；</w:t>
      </w:r>
    </w:p>
    <w:p>
      <w:pPr>
        <w:pageBreakBefore w:val="0"/>
        <w:widowControl w:val="0"/>
        <w:kinsoku/>
        <w:wordWrap/>
        <w:overflowPunct/>
        <w:topLinePunct w:val="0"/>
        <w:autoSpaceDE/>
        <w:autoSpaceDN/>
        <w:bidi w:val="0"/>
        <w:adjustRightInd/>
        <w:snapToGrid/>
        <w:spacing w:line="360" w:lineRule="auto"/>
        <w:ind w:firstLine="364" w:firstLineChars="152"/>
        <w:textAlignment w:val="auto"/>
        <w:rPr>
          <w:rFonts w:hint="eastAsia" w:ascii="宋体" w:hAnsi="宋体" w:eastAsia="宋体" w:cs="宋体"/>
          <w:sz w:val="24"/>
          <w:szCs w:val="24"/>
        </w:rPr>
      </w:pPr>
      <w:r>
        <w:rPr>
          <w:rFonts w:hint="eastAsia" w:ascii="宋体" w:hAnsi="宋体" w:eastAsia="宋体" w:cs="宋体"/>
          <w:sz w:val="24"/>
          <w:szCs w:val="24"/>
        </w:rPr>
        <w:t>对风险是否可接受进行决策时，必须以当前社会价值为基础。</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4" w:name="_Toc6104"/>
      <w:r>
        <w:rPr>
          <w:rFonts w:hint="eastAsia" w:ascii="宋体" w:hAnsi="宋体" w:eastAsia="宋体" w:cs="宋体"/>
          <w:sz w:val="24"/>
          <w:szCs w:val="24"/>
        </w:rPr>
        <w:t>7.4风险评价</w:t>
      </w:r>
      <w:bookmarkEnd w:id="32"/>
      <w:bookmarkEnd w:id="3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可使用概率等级和严重度对风险进行综合估计：（风险系数=严重度（S）×概率(P)）</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bl>
      <w:tblPr>
        <w:tblStyle w:val="10"/>
        <w:tblW w:w="851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1565"/>
        <w:gridCol w:w="1456"/>
        <w:gridCol w:w="127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68" w:type="dxa"/>
            <w:tcBorders>
              <w:left w:val="single" w:color="auto" w:sz="4" w:space="0"/>
              <w:bottom w:val="single" w:color="auto" w:sz="4" w:space="0"/>
              <w:right w:val="single" w:color="auto" w:sz="4" w:space="0"/>
              <w:tl2br w:val="single" w:color="auto" w:sz="4" w:space="0"/>
            </w:tcBorders>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严重度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概率</w:t>
            </w:r>
          </w:p>
        </w:tc>
        <w:tc>
          <w:tcPr>
            <w:tcW w:w="1565" w:type="dxa"/>
            <w:tcBorders>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 可忽略</w:t>
            </w:r>
          </w:p>
        </w:tc>
        <w:tc>
          <w:tcPr>
            <w:tcW w:w="1456" w:type="dxa"/>
            <w:tcBorders>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 边际</w:t>
            </w:r>
          </w:p>
        </w:tc>
        <w:tc>
          <w:tcPr>
            <w:tcW w:w="1276" w:type="dxa"/>
            <w:tcBorders>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 危重</w:t>
            </w:r>
          </w:p>
        </w:tc>
        <w:tc>
          <w:tcPr>
            <w:tcW w:w="1653" w:type="dxa"/>
            <w:tcBorders>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 灾难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 频繁</w:t>
            </w:r>
          </w:p>
        </w:tc>
        <w:tc>
          <w:tcPr>
            <w:tcW w:w="1565" w:type="dxa"/>
            <w:tcBorders>
              <w:top w:val="single" w:color="auto" w:sz="4" w:space="0"/>
              <w:left w:val="single"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456" w:type="dxa"/>
            <w:tcBorders>
              <w:top w:val="single"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N / ACC</w:t>
            </w:r>
          </w:p>
        </w:tc>
        <w:tc>
          <w:tcPr>
            <w:tcW w:w="1276" w:type="dxa"/>
            <w:tcBorders>
              <w:top w:val="single"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N / ACC</w:t>
            </w:r>
          </w:p>
        </w:tc>
        <w:tc>
          <w:tcPr>
            <w:tcW w:w="1653" w:type="dxa"/>
            <w:tcBorders>
              <w:top w:val="single" w:color="auto" w:sz="4" w:space="0"/>
              <w:left w:val="dashSmallGap" w:color="auto" w:sz="4" w:space="0"/>
              <w:bottom w:val="dashSmallGap"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5 很可能</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N / ACC</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 偶然</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 很少</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ACC</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 未必可能</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ACC</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ACC</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 难以置信</w:t>
            </w:r>
          </w:p>
        </w:tc>
        <w:tc>
          <w:tcPr>
            <w:tcW w:w="1565" w:type="dxa"/>
            <w:tcBorders>
              <w:top w:val="dashSmallGap" w:color="auto" w:sz="4" w:space="0"/>
              <w:left w:val="single"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ACC</w:t>
            </w:r>
          </w:p>
        </w:tc>
        <w:tc>
          <w:tcPr>
            <w:tcW w:w="1456" w:type="dxa"/>
            <w:tcBorders>
              <w:top w:val="dashSmallGap" w:color="auto" w:sz="4" w:space="0"/>
              <w:left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ACC</w:t>
            </w:r>
          </w:p>
        </w:tc>
        <w:tc>
          <w:tcPr>
            <w:tcW w:w="1276" w:type="dxa"/>
            <w:tcBorders>
              <w:top w:val="dashSmallGap" w:color="auto" w:sz="4" w:space="0"/>
              <w:left w:val="dashSmallGap" w:color="auto" w:sz="4" w:space="0"/>
              <w:right w:val="dashSmallGap"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ACC</w:t>
            </w:r>
          </w:p>
        </w:tc>
        <w:tc>
          <w:tcPr>
            <w:tcW w:w="1653" w:type="dxa"/>
            <w:tcBorders>
              <w:top w:val="dashSmallGap" w:color="auto" w:sz="4" w:space="0"/>
              <w:left w:val="dashSmallGap"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ACC</w:t>
            </w:r>
          </w:p>
        </w:tc>
      </w:tr>
    </w:tbl>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说明：N/ACC: 不经过风险/受益分析即判定为不可接受风险。</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(ALARP)：合理可降低的风险。</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ACC: 广泛可接受风险。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经过风险分析和风险评价过程判断出的产品所有的风险均应采取合理可行的措施降至可接受区。当所有风险控制措施已经实施并验证后，应根据本准则判断由产品造成的剩余风险的可接受性。当剩余风险被判断为不可接受时，应收集和评审有关预期用途、预期目的的医疗受益的资料和文献，对剩余风险进行风险/受益分析。如果受益大于风险，则该风险还是可接受的，如果风险大于受益则设计应放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损害概率不能加以估计的危害处境，应编写一个危害的可能后果清单以用于风险评价和风险控制，采取合理可行降低法将风险降低到合理可行的最低水平，对于无法降低的风险进行风险/受益分析，如果受益大于风险，则该危害可接受，如果风险大于受益，则风险不可接受。受益必须大于风险，才能判定为可接受。</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在可接受区，风险是很低的，但是还应主动采取可行的措施将风险降至最低。</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35" w:name="_Toc12243"/>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风险控制</w:t>
      </w:r>
      <w:bookmarkEnd w:id="3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对于经判断为不可接受的风险，应在设计开发阶段从以下几个方面进行风险控制方案分析，识别一个或多个风险控制措施，以把风险降低到可接受水平。</w:t>
      </w:r>
    </w:p>
    <w:p>
      <w:pPr>
        <w:pStyle w:val="15"/>
        <w:pageBreakBefore w:val="0"/>
        <w:widowControl w:val="0"/>
        <w:kinsoku/>
        <w:wordWrap/>
        <w:overflowPunct/>
        <w:topLinePunct w:val="0"/>
        <w:autoSpaceDE/>
        <w:autoSpaceDN/>
        <w:bidi w:val="0"/>
        <w:adjustRightInd/>
        <w:snapToGrid/>
        <w:spacing w:line="360" w:lineRule="auto"/>
        <w:ind w:left="4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1）用设计方法取得固有安全性</w:t>
      </w:r>
    </w:p>
    <w:p>
      <w:pPr>
        <w:pStyle w:val="15"/>
        <w:pageBreakBefore w:val="0"/>
        <w:widowControl w:val="0"/>
        <w:kinsoku/>
        <w:wordWrap/>
        <w:overflowPunct/>
        <w:topLinePunct w:val="0"/>
        <w:autoSpaceDE/>
        <w:autoSpaceDN/>
        <w:bidi w:val="0"/>
        <w:adjustRightInd/>
        <w:snapToGrid/>
        <w:spacing w:line="360" w:lineRule="auto"/>
        <w:ind w:left="4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--消除特定的危害；</w:t>
      </w:r>
    </w:p>
    <w:p>
      <w:pPr>
        <w:pStyle w:val="15"/>
        <w:pageBreakBefore w:val="0"/>
        <w:widowControl w:val="0"/>
        <w:kinsoku/>
        <w:wordWrap/>
        <w:overflowPunct/>
        <w:topLinePunct w:val="0"/>
        <w:autoSpaceDE/>
        <w:autoSpaceDN/>
        <w:bidi w:val="0"/>
        <w:adjustRightInd/>
        <w:snapToGrid/>
        <w:spacing w:line="360" w:lineRule="auto"/>
        <w:ind w:left="4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--降低损害的发生概率；</w:t>
      </w:r>
    </w:p>
    <w:p>
      <w:pPr>
        <w:pStyle w:val="15"/>
        <w:pageBreakBefore w:val="0"/>
        <w:widowControl w:val="0"/>
        <w:kinsoku/>
        <w:wordWrap/>
        <w:overflowPunct/>
        <w:topLinePunct w:val="0"/>
        <w:autoSpaceDE/>
        <w:autoSpaceDN/>
        <w:bidi w:val="0"/>
        <w:adjustRightInd/>
        <w:snapToGrid/>
        <w:spacing w:line="360" w:lineRule="auto"/>
        <w:ind w:left="4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--降低损害的严重度。</w:t>
      </w:r>
    </w:p>
    <w:p>
      <w:pPr>
        <w:pStyle w:val="15"/>
        <w:pageBreakBefore w:val="0"/>
        <w:widowControl w:val="0"/>
        <w:kinsoku/>
        <w:wordWrap/>
        <w:overflowPunct/>
        <w:topLinePunct w:val="0"/>
        <w:autoSpaceDE/>
        <w:autoSpaceDN/>
        <w:bidi w:val="0"/>
        <w:adjustRightInd/>
        <w:snapToGrid/>
        <w:spacing w:line="360" w:lineRule="auto"/>
        <w:ind w:left="4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2）在产品本身或在制造过程中的防护措施。</w:t>
      </w:r>
    </w:p>
    <w:p>
      <w:pPr>
        <w:pStyle w:val="15"/>
        <w:pageBreakBefore w:val="0"/>
        <w:widowControl w:val="0"/>
        <w:kinsoku/>
        <w:wordWrap/>
        <w:overflowPunct/>
        <w:topLinePunct w:val="0"/>
        <w:autoSpaceDE/>
        <w:autoSpaceDN/>
        <w:bidi w:val="0"/>
        <w:adjustRightInd/>
        <w:snapToGrid/>
        <w:spacing w:line="360" w:lineRule="auto"/>
        <w:ind w:left="4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3）安全信息</w:t>
      </w:r>
    </w:p>
    <w:p>
      <w:pPr>
        <w:pStyle w:val="15"/>
        <w:pageBreakBefore w:val="0"/>
        <w:widowControl w:val="0"/>
        <w:kinsoku/>
        <w:wordWrap/>
        <w:overflowPunct/>
        <w:topLinePunct w:val="0"/>
        <w:autoSpaceDE/>
        <w:autoSpaceDN/>
        <w:bidi w:val="0"/>
        <w:adjustRightInd/>
        <w:snapToGrid/>
        <w:spacing w:line="360" w:lineRule="auto"/>
        <w:ind w:left="4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--在产品随附文件中给出警告、使用说明；</w:t>
      </w:r>
    </w:p>
    <w:p>
      <w:pPr>
        <w:pStyle w:val="15"/>
        <w:pageBreakBefore w:val="0"/>
        <w:widowControl w:val="0"/>
        <w:kinsoku/>
        <w:wordWrap/>
        <w:overflowPunct/>
        <w:topLinePunct w:val="0"/>
        <w:autoSpaceDE/>
        <w:autoSpaceDN/>
        <w:bidi w:val="0"/>
        <w:adjustRightInd/>
        <w:snapToGrid/>
        <w:spacing w:line="360" w:lineRule="auto"/>
        <w:ind w:left="4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--限制医疗器械的使用或限制使用环境；</w:t>
      </w:r>
    </w:p>
    <w:p>
      <w:pPr>
        <w:pStyle w:val="15"/>
        <w:pageBreakBefore w:val="0"/>
        <w:widowControl w:val="0"/>
        <w:kinsoku/>
        <w:wordWrap/>
        <w:overflowPunct/>
        <w:topLinePunct w:val="0"/>
        <w:autoSpaceDE/>
        <w:autoSpaceDN/>
        <w:bidi w:val="0"/>
        <w:adjustRightInd/>
        <w:snapToGrid/>
        <w:spacing w:line="360" w:lineRule="auto"/>
        <w:ind w:left="45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--对操作者进行培训。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在产品试生产或生产阶段，对产品制造过程进行控制，如运用HACCP技术。（危害分析和关键控制点）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如果经方案分析确定所需的风险降低是不可行的，则各部门应收集相关资料对剩余风险进行风险/受益分析，若经评审所收集的资料和文献不支持受益大于风险，则设计应放弃。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各部门应确保经判定的危害处境产生的一个或多个风险得到了考虑，保证风险控制的完整性。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在风险控制方案实施中或实施后，应对实施效果进行验证，以确定控制措施的适应性和有效性，对任何剩余风险都应采取本计划中第</w:t>
      </w:r>
      <w:r>
        <w:rPr>
          <w:rFonts w:hint="eastAsia" w:ascii="宋体" w:hAnsi="宋体" w:eastAsia="宋体" w:cs="宋体"/>
          <w:sz w:val="24"/>
          <w:szCs w:val="24"/>
          <w:lang w:val="en-US" w:eastAsia="zh-CN"/>
        </w:rPr>
        <w:t>7</w:t>
      </w:r>
      <w:r>
        <w:rPr>
          <w:rFonts w:hint="eastAsia" w:ascii="宋体" w:hAnsi="宋体" w:eastAsia="宋体" w:cs="宋体"/>
          <w:sz w:val="24"/>
          <w:szCs w:val="24"/>
        </w:rPr>
        <w:t>条的风险可接受准则进行评价，对判断为不可接受的应采取进一步的风险控制措施，如果控制措施不可行，则应收集和评审相关的资料和文献对剩余风险进行风险/受益分析，若受益大于风险，则剩余风险依然是可接收到，如果风险大于受益，则为不可接受。对于判断为可接受的剩余风险，销售部应配合技术部决定那些剩余风险应予以公开，依据</w:t>
      </w:r>
      <w:r>
        <w:rPr>
          <w:rFonts w:hint="eastAsia" w:ascii="宋体" w:hAnsi="宋体" w:eastAsia="宋体" w:cs="宋体"/>
          <w:sz w:val="24"/>
          <w:szCs w:val="24"/>
          <w:lang w:val="en-US" w:eastAsia="zh-CN"/>
        </w:rPr>
        <w:t>YY/T 0316-2016</w:t>
      </w:r>
      <w:r>
        <w:rPr>
          <w:rFonts w:hint="eastAsia" w:ascii="宋体" w:hAnsi="宋体" w:eastAsia="宋体" w:cs="宋体"/>
          <w:sz w:val="24"/>
          <w:szCs w:val="24"/>
        </w:rPr>
        <w:t>附件J的指南公开哪些剩余风险。同时对控制措施的实施是否会引起的一个或多个新的风险或对采取措施之前评价的风险是否有影响进行分析，必要时进行再次风险分析、风险评价和风险控制，所采取活动的结果应进行记录并保持</w:t>
      </w:r>
      <w:r>
        <w:rPr>
          <w:rFonts w:hint="eastAsia" w:ascii="宋体" w:hAnsi="宋体" w:eastAsia="宋体" w:cs="宋体"/>
          <w:sz w:val="24"/>
          <w:szCs w:val="24"/>
          <w:lang w:eastAsia="zh-CN"/>
        </w:rPr>
        <w:t>。</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36" w:name="_Toc382"/>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验证活动</w:t>
      </w:r>
      <w:bookmarkEnd w:id="3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应确保经判定的危害处境产生的一个或多个风险得到了考虑，并保证所有已评价的风险已通过合理可行的措施降低至可接受水平，保证风险控制的完整性。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风险管理评审小组负责对风险管理计划的实施情况进行验证，以查看风险管理文档的方式查看风险分析、风险评价、风险控制等记录，确保风险管理计划中策划的风险管理活动已得到适当的实施。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风险控制方案实施中或实施后，应对实施效果进行验证，可通过收集临床资料及生产和生产后信息对风险管理实施效果进行验证以确保风险管理活动的有效性。同时对控制措施的实施是否会引起的一个或多个新的风险或对采取措施之前评价的风险是否有影响进行分析，必要时进行再次风险分析、风险评价和风险控制。</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37" w:name="_Toc18903"/>
      <w:r>
        <w:rPr>
          <w:rFonts w:hint="eastAsia" w:ascii="宋体" w:hAnsi="宋体" w:eastAsia="宋体" w:cs="宋体"/>
          <w:sz w:val="24"/>
          <w:szCs w:val="24"/>
          <w:lang w:val="en-US" w:eastAsia="zh-CN"/>
        </w:rPr>
        <w:t xml:space="preserve">10 </w:t>
      </w:r>
      <w:r>
        <w:rPr>
          <w:rFonts w:hint="eastAsia" w:ascii="宋体" w:hAnsi="宋体" w:eastAsia="宋体" w:cs="宋体"/>
          <w:sz w:val="24"/>
          <w:szCs w:val="24"/>
        </w:rPr>
        <w:t>综合剩余风险分析</w:t>
      </w:r>
      <w:bookmarkEnd w:id="3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在所有风险控制措施已经实施并验证后，各部门应考虑是否所有由该产品造成的综合剩余风险依据本计划中第</w:t>
      </w:r>
      <w:r>
        <w:rPr>
          <w:rFonts w:hint="eastAsia" w:ascii="宋体" w:hAnsi="宋体" w:eastAsia="宋体" w:cs="宋体"/>
          <w:sz w:val="24"/>
          <w:szCs w:val="24"/>
          <w:lang w:val="en-US" w:eastAsia="zh-CN"/>
        </w:rPr>
        <w:t>7</w:t>
      </w:r>
      <w:r>
        <w:rPr>
          <w:rFonts w:hint="eastAsia" w:ascii="宋体" w:hAnsi="宋体" w:eastAsia="宋体" w:cs="宋体"/>
          <w:sz w:val="24"/>
          <w:szCs w:val="24"/>
        </w:rPr>
        <w:t>条的准则判断是可接受的，如果判断为不可接受，则各部门应收集和评审有关资料和文献，以便决定预期用途的医疗受益是否超过综合剩余风险，如果上述证据支持医疗受益超过综合剩余风险的结论，则综合剩余风险是可接受的，否则综合剩余风险任然是不可接受的。</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各部门可以参考一下的一些方法评价综合剩余风险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1）事件树分析法：对单个风险进行共同研究，以便确定综合剩余风险是否可以接受；</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2）故障树分析：同一种损害可能是由不同概率的危害处境造成的，该方法可以导出损害的结合概率；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3）对单个风险控制措施进行综合评审：对单个风险是适宜的风险控制措施可能产生相互矛盾的要求；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4）警告的评审：单个警告可能提供风险降低，但过多的警告可能降低警告的效果；</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5）评审操作说明书：对产品全部操作说明书的评审可能检出信息是不一致的，或者难以遵守的；</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6）比较风险：将整理过的单个剩余风险和类似现有的产品考虑不同使用情形下的风险进行逐个比较，尤其是最新的不良事件。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各部门应决定哪些综合剩余风险应依据</w:t>
      </w:r>
      <w:r>
        <w:rPr>
          <w:rFonts w:hint="eastAsia" w:ascii="宋体" w:hAnsi="宋体" w:eastAsia="宋体" w:cs="宋体"/>
          <w:sz w:val="24"/>
          <w:szCs w:val="24"/>
          <w:lang w:val="en-US" w:eastAsia="zh-CN"/>
        </w:rPr>
        <w:t>YY/T 0316-2016</w:t>
      </w:r>
      <w:r>
        <w:rPr>
          <w:rFonts w:hint="eastAsia" w:ascii="宋体" w:hAnsi="宋体" w:eastAsia="宋体" w:cs="宋体"/>
          <w:sz w:val="24"/>
          <w:szCs w:val="24"/>
        </w:rPr>
        <w:t>附录J予以公布，应保持综合剩余风险的评价结果记录。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38" w:name="_Toc23088"/>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生产和生产后信息</w:t>
      </w:r>
      <w:bookmarkEnd w:id="38"/>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产品开发完成投入生产的过程中，要密切关注该产品的生产以及原材料的采购，各部门如果得到有关同类或类似产品中可能与安全有关的信息后，需要立即反馈研发部，研发部应对这些信息作出及时的评价，包括的评价有：</w:t>
      </w:r>
    </w:p>
    <w:p>
      <w:pPr>
        <w:pStyle w:val="15"/>
        <w:pageBreakBefore w:val="0"/>
        <w:widowControl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是否有事先未认知的危害出现；</w:t>
      </w:r>
    </w:p>
    <w:p>
      <w:pPr>
        <w:pStyle w:val="15"/>
        <w:pageBreakBefore w:val="0"/>
        <w:widowControl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是否有某项危害造成的已被估计的一个或多个风险不再是可以接受的；</w:t>
      </w:r>
    </w:p>
    <w:p>
      <w:pPr>
        <w:pStyle w:val="15"/>
        <w:pageBreakBefore w:val="0"/>
        <w:widowControl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初始评定是否无效。</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上述条件之一满足，则应作为风险管理过程的输入，考虑对医疗器械风险管理过程的适当阶段进行评审。如果一个或多个剩余风险或其可接受性已有潜在的变化，应对已实施的风险控制措施的影响进行重新评价。如果有新的风险产生，应对已销售产品进行评估，和给出适当的处理措施。评价的结果记录在风险管理报告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39" w:name="_Toc451939590"/>
      <w:bookmarkStart w:id="40" w:name="_Toc18604"/>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年度风险分析</w:t>
      </w:r>
      <w:bookmarkEnd w:id="39"/>
      <w:bookmarkEnd w:id="4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投入生产上市后，按年度进行风险分析，对产品生产中的各个环节、及客户要求与反馈进行整体评估，并形成年度风险分析报告。在进行年度风险分析时，应考虑由医疗器械的操作者、使用者或医疗器械安装、使用和维护人员所产生信息的收集和处理机制，还应考虑新的或者修订的标准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有新的资料/数据可供应用时，应考虑核查已做出的风险分析报告，若必要，进行一次新的风险分析。因为快速发展的技术有可能消除、增加或降低任一特定危害的风险。随着时间的推移，风险有可能发生变化，依据新的资料/数据，新的风险也可能出现。</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sz w:val="24"/>
          <w:szCs w:val="24"/>
        </w:rPr>
      </w:pPr>
      <w:bookmarkStart w:id="41" w:name="_Toc19348"/>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风险管理报告</w:t>
      </w:r>
      <w:bookmarkEnd w:id="41"/>
    </w:p>
    <w:p>
      <w:pPr>
        <w:pStyle w:val="2"/>
        <w:pageBreakBefore w:val="0"/>
        <w:widowControl w:val="0"/>
        <w:kinsoku/>
        <w:wordWrap/>
        <w:overflowPunct/>
        <w:topLinePunct w:val="0"/>
        <w:bidi w:val="0"/>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rPr>
        <w:t>在产品上市销售前，各部门应配合研发部完成对风险管理过程的评审，评审要求见本计划，评审的结果最终以风险管理报告的方式给出。</w:t>
      </w:r>
    </w:p>
    <w:p>
      <w:pPr>
        <w:pStyle w:val="2"/>
        <w:pageBreakBefore w:val="0"/>
        <w:widowControl w:val="0"/>
        <w:kinsoku/>
        <w:wordWrap/>
        <w:overflowPunct/>
        <w:topLinePunct w:val="0"/>
        <w:bidi w:val="0"/>
        <w:snapToGrid/>
        <w:spacing w:line="360" w:lineRule="auto"/>
        <w:textAlignment w:val="auto"/>
        <w:rPr>
          <w:rFonts w:hint="eastAsia" w:ascii="宋体" w:hAnsi="宋体" w:eastAsia="宋体" w:cs="宋体"/>
          <w:b/>
          <w:bCs/>
          <w:i w:val="0"/>
          <w:iCs w:val="0"/>
          <w:color w:val="auto"/>
          <w:kern w:val="0"/>
          <w:sz w:val="24"/>
          <w:szCs w:val="24"/>
          <w:lang w:val="en-US" w:eastAsia="zh-CN" w:bidi="ar-SA"/>
        </w:rPr>
      </w:pPr>
    </w:p>
    <w:p>
      <w:pPr>
        <w:pageBreakBefore w:val="0"/>
        <w:widowControl w:val="0"/>
        <w:kinsoku/>
        <w:wordWrap/>
        <w:overflowPunct/>
        <w:topLinePunct w:val="0"/>
        <w:bidi w:val="0"/>
        <w:snapToGrid/>
        <w:spacing w:line="360" w:lineRule="auto"/>
        <w:textAlignment w:val="auto"/>
        <w:rPr>
          <w:rFonts w:hint="eastAsia"/>
          <w:color w:val="0000FF"/>
          <w:lang w:val="en-US" w:eastAsia="zh-CN"/>
        </w:rPr>
      </w:pPr>
    </w:p>
    <w:p>
      <w:pPr>
        <w:pageBreakBefore w:val="0"/>
        <w:widowControl w:val="0"/>
        <w:kinsoku/>
        <w:wordWrap/>
        <w:overflowPunct/>
        <w:topLinePunct w:val="0"/>
        <w:bidi w:val="0"/>
        <w:snapToGrid/>
        <w:spacing w:line="360" w:lineRule="auto"/>
        <w:textAlignment w:val="auto"/>
        <w:rPr>
          <w:rFonts w:hint="eastAsia"/>
          <w:color w:val="0000FF"/>
          <w:lang w:val="en-US" w:eastAsia="zh-CN"/>
        </w:rPr>
      </w:pPr>
    </w:p>
    <w:p>
      <w:pPr>
        <w:pStyle w:val="2"/>
        <w:pageBreakBefore w:val="0"/>
        <w:widowControl w:val="0"/>
        <w:kinsoku/>
        <w:wordWrap/>
        <w:overflowPunct/>
        <w:topLinePunct w:val="0"/>
        <w:bidi w:val="0"/>
        <w:snapToGrid/>
        <w:spacing w:line="360" w:lineRule="auto"/>
        <w:textAlignment w:val="auto"/>
        <w:rPr>
          <w:rFonts w:hint="default" w:eastAsia="Univers 57 Condensed"/>
          <w:lang w:val="en-US" w:eastAsia="zh-CN"/>
        </w:rPr>
      </w:pPr>
    </w:p>
    <w:sectPr>
      <w:headerReference r:id="rId11" w:type="default"/>
      <w:footerReference r:id="rId12" w:type="default"/>
      <w:pgSz w:w="11906" w:h="16838"/>
      <w:pgMar w:top="1440" w:right="1800" w:bottom="1440" w:left="1800" w:header="851" w:footer="992" w:gutter="0"/>
      <w:pgNumType w:fmt="decimal"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t" w:date="2019-12-26T08:42:54Z" w:initials="">
    <w:p w14:paraId="48230029">
      <w:pPr>
        <w:pStyle w:val="5"/>
        <w:rPr>
          <w:rFonts w:hint="eastAsia" w:eastAsiaTheme="minorEastAsia"/>
          <w:lang w:eastAsia="zh-CN"/>
        </w:rPr>
      </w:pPr>
      <w:r>
        <w:rPr>
          <w:rFonts w:hint="eastAsia"/>
          <w:lang w:eastAsia="zh-CN"/>
        </w:rPr>
        <w:t>可以根据公司的实际工作职责做相应的调整，补充。该内容需要与风险管理人员一致。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ascii="宋体" w:hAnsi="宋体" w:eastAsia="宋体" w:cs="宋体"/>
        <w:b/>
        <w:bCs/>
        <w:sz w:val="18"/>
        <w:szCs w:val="18"/>
        <w:lang w:val="en-US" w:eastAsia="zh-CN"/>
      </w:rPr>
      <w:t>专业带去价值，服务赢来美誉!                                   模板仅供参考，请以法规要求为准</w:t>
    </w: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eastAsia="宋体" w:cs="宋体"/>
        <w:b/>
        <w:bCs/>
        <w:sz w:val="18"/>
        <w:szCs w:val="18"/>
        <w:lang w:val="en-US" w:eastAsia="zh-CN"/>
      </w:rPr>
      <w:t>专业带去价值，服务赢来美誉!                                   模板仅供参考，请以法规要求为准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2" name="图片 2"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2336"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6" name="图片 6"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210A0"/>
    <w:multiLevelType w:val="multilevel"/>
    <w:tmpl w:val="228210A0"/>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6E697231"/>
    <w:multiLevelType w:val="multilevel"/>
    <w:tmpl w:val="6E697231"/>
    <w:lvl w:ilvl="0" w:tentative="0">
      <w:start w:val="1"/>
      <w:numFmt w:val="lowerLetter"/>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731F4FB1"/>
    <w:multiLevelType w:val="multilevel"/>
    <w:tmpl w:val="731F4FB1"/>
    <w:lvl w:ilvl="0" w:tentative="0">
      <w:start w:val="1"/>
      <w:numFmt w:val="decimal"/>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t">
    <w15:presenceInfo w15:providerId="WPS Office" w15:userId="882207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DD5C0D"/>
    <w:rsid w:val="04D55F72"/>
    <w:rsid w:val="0AED48E9"/>
    <w:rsid w:val="19DA2300"/>
    <w:rsid w:val="1E907AE9"/>
    <w:rsid w:val="3B07083A"/>
    <w:rsid w:val="42491C0F"/>
    <w:rsid w:val="46561FD1"/>
    <w:rsid w:val="4B950155"/>
    <w:rsid w:val="543A6A17"/>
    <w:rsid w:val="5854681A"/>
    <w:rsid w:val="5B3D4524"/>
    <w:rsid w:val="638C3F6B"/>
    <w:rsid w:val="73041C9C"/>
    <w:rsid w:val="7E186F95"/>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28"/>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5">
    <w:name w:val="annotation text"/>
    <w:basedOn w:val="1"/>
    <w:semiHidden/>
    <w:unhideWhenUsed/>
    <w:qFormat/>
    <w:uiPriority w:val="99"/>
    <w:pPr>
      <w:jc w:val="left"/>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character" w:styleId="12">
    <w:name w:val="Hyperlink"/>
    <w:basedOn w:val="11"/>
    <w:uiPriority w:val="0"/>
    <w:rPr>
      <w:color w:val="0000FF"/>
      <w:u w:val="single"/>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paragraph" w:customStyle="1" w:styleId="15">
    <w:name w:val="List Paragraph"/>
    <w:basedOn w:val="1"/>
    <w:qFormat/>
    <w:uiPriority w:val="34"/>
    <w:pPr>
      <w:ind w:firstLine="420" w:firstLineChars="200"/>
    </w:pPr>
  </w:style>
  <w:style w:type="paragraph" w:customStyle="1" w:styleId="1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2023-04-20T03:41:53Z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