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  <w:t>2.5申报产品上市历史</w:t>
      </w: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  <w:bookmarkStart w:id="0" w:name="_GoBack"/>
      <w:bookmarkEnd w:id="0"/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申报产品上市历史</w:t>
      </w:r>
    </w:p>
    <w:p>
      <w:pPr>
        <w:pStyle w:val="8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不适用，申报产品在国内首次注册并且并无在国外上市。</w:t>
      </w:r>
    </w:p>
    <w:p>
      <w:pPr>
        <w:pStyle w:val="8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【如适用，应当提交申报产品的下列资料：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1.上市情况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截至提交注册申请前，申报产品在各国家或地区的上市批准时间、销售情况。若申报产品在不同国家或地区上市时有差异（如设计、标签、技术参数等），应当逐一描述。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2.不良事件和召回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如适用，应当以列表形式分别对申报产品上市后发生的不良事件、召回的发生时间以及每一种情况下申请人采取的处理和解决方案，包括主动控制产品风险的措施，向医疗器械不良事件监测技术机构报告的情况，相关部门的调查处理情况等进行描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同时，应当对上述不良事件、召回进行分析评价，阐明不良事件、召回发生的原因并对其安全性、有效性的影响予以说明。若不良事件、召回数量大，应当根据事件类型总结每个类型涉及的数量。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CA" w:eastAsia="zh-CN"/>
        </w:rPr>
        <w:t>3.销售、不良事件及召回率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如适用，应当提交申报产品近五年在各国家（地区）销售数量的总结，按以下方式提供在各国家（地区）的不良事件、召回比率，并进行比率计算关键分析。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如：不良事件发生率＝不良事件数量÷销售数量×100%，召回发生率＝召回数量÷销售数量×100%。发生率可以采用每使用患者年或每使用进行计算，申请人应当描述发生率计算方法。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如不适用，应当提供相关说明。】</w:t>
      </w:r>
    </w:p>
    <w:p>
      <w:pPr>
        <w:pStyle w:val="8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96EDE"/>
    <w:multiLevelType w:val="singleLevel"/>
    <w:tmpl w:val="2C996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0E6538E"/>
    <w:rsid w:val="62D83FC8"/>
    <w:rsid w:val="638C3F6B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2023-04-20T03:13:01Z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