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eastAsia="黑体"/>
          <w:b/>
          <w:bCs w:val="0"/>
          <w:kern w:val="44"/>
          <w:sz w:val="44"/>
          <w:szCs w:val="44"/>
          <w:lang w:val="en-US" w:eastAsia="zh-CN"/>
        </w:rPr>
      </w:pPr>
      <w:r>
        <w:rPr>
          <w:rFonts w:hint="eastAsia" w:eastAsia="黑体"/>
          <w:b/>
          <w:bCs w:val="0"/>
          <w:kern w:val="44"/>
          <w:sz w:val="44"/>
          <w:szCs w:val="44"/>
          <w:lang w:val="en-US" w:eastAsia="zh-CN"/>
        </w:rPr>
        <w:t xml:space="preserve">2.4适用范围和禁忌证 </w:t>
      </w:r>
    </w:p>
    <w:p>
      <w:pPr>
        <w:pStyle w:val="8"/>
        <w:rPr>
          <w:rFonts w:hint="eastAsia"/>
          <w:lang w:val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0" w:name="OLE_LINK2"/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8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2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default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</w:p>
    <w:bookmarkEnd w:id="0"/>
    <w:p>
      <w:pPr>
        <w:pStyle w:val="8"/>
        <w:rPr>
          <w:rFonts w:hint="eastAsia"/>
          <w:color w:val="0B5FD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适用范围</w:t>
      </w:r>
    </w:p>
    <w:p>
      <w:pPr>
        <w:pStyle w:val="8"/>
        <w:keepNext w:val="0"/>
        <w:keepLines w:val="0"/>
        <w:pageBreakBefore w:val="0"/>
        <w:numPr>
          <w:ilvl w:val="1"/>
          <w:numId w:val="2"/>
        </w:numPr>
        <w:kinsoku/>
        <w:wordWrap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申报产品可提供的治疗或诊断功能，可描述其医疗过程（如体内或体外诊断、康复治疗监测、避孕、消毒等），并写明申报产品诊断、治疗、预防、缓解或治愈的疾病或病况，将要监测的参数和其他与适用范围相关的考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【注册申请人应当明确产品的适用范围，其描述应与申报产品的性能、功能相符，并应与临床评价资料结论一致。如：用于经鼻向胃肠道引入营养液等。部分可实现冲洗等其他辅助功能。】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【如果产品有指导原则，参照指导原则和产品本身的临床应用填写本部分】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1"/>
          <w:numId w:val="2"/>
        </w:numPr>
        <w:kinsoku/>
        <w:wordWrap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申报产品的预期用途，并描述其适用的医疗阶段（如治疗后的监测、康复等）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【如果产品有指导原则，参照指导原则和产品本身的临床应用填写本部分】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1"/>
          <w:numId w:val="2"/>
        </w:numPr>
        <w:kinsoku/>
        <w:wordWrap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明确目标用户及其操作或使用该产品应当具备的技能/知识/培训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【如果产品有指导原则，参照指导原则和产品本身的临床应用填写本部分】</w:t>
      </w: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</w:p>
    <w:p>
      <w:pPr>
        <w:pStyle w:val="8"/>
        <w:keepNext w:val="0"/>
        <w:keepLines w:val="0"/>
        <w:pageBreakBefore w:val="0"/>
        <w:numPr>
          <w:ilvl w:val="1"/>
          <w:numId w:val="2"/>
        </w:numPr>
        <w:kinsoku/>
        <w:wordWrap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说明产品是一次性使用还是重复使用。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360" w:lineRule="auto"/>
        <w:ind w:firstLine="480"/>
        <w:textAlignment w:val="auto"/>
        <w:rPr>
          <w:rFonts w:hint="default" w:ascii="宋体" w:hAnsi="宋体" w:eastAsia="宋体" w:cs="宋体"/>
          <w:b/>
          <w:bCs/>
          <w:i/>
          <w:iCs/>
          <w:color w:val="0000FF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 w:bidi="ar-SA"/>
        </w:rPr>
        <w:t>(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8"/>
          <w:szCs w:val="28"/>
          <w:lang w:val="en-US" w:eastAsia="zh-CN" w:bidi="ar-SA"/>
        </w:rPr>
        <w:t>申报产品为一次性使用的产品。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360" w:lineRule="auto"/>
        <w:ind w:firstLine="480"/>
        <w:textAlignment w:val="auto"/>
        <w:rPr>
          <w:rFonts w:hint="default" w:ascii="宋体" w:hAnsi="宋体" w:eastAsia="宋体" w:cs="宋体"/>
          <w:b/>
          <w:bCs/>
          <w:i/>
          <w:iCs/>
          <w:color w:val="0000FF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 w:bidi="ar-SA"/>
        </w:rPr>
        <w:t>)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line="360" w:lineRule="auto"/>
        <w:ind w:firstLine="480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1"/>
          <w:numId w:val="2"/>
        </w:numPr>
        <w:kinsoku/>
        <w:wordWrap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说明与其组合使用实现预期用途的其他产品。</w:t>
      </w:r>
    </w:p>
    <w:p>
      <w:pPr>
        <w:pStyle w:val="8"/>
        <w:numPr>
          <w:ilvl w:val="0"/>
          <w:numId w:val="0"/>
        </w:numPr>
        <w:snapToGrid/>
        <w:spacing w:line="360" w:lineRule="auto"/>
        <w:ind w:firstLine="480"/>
        <w:rPr>
          <w:rFonts w:hint="default" w:ascii="宋体" w:hAnsi="宋体" w:eastAsia="宋体" w:cs="宋体"/>
          <w:b/>
          <w:bCs/>
          <w:i/>
          <w:iCs/>
          <w:color w:val="0000FF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8"/>
          <w:szCs w:val="28"/>
          <w:lang w:val="en-US" w:eastAsia="zh-CN" w:bidi="ar-SA"/>
        </w:rPr>
        <w:t>【按照产品实际情况填写】</w:t>
      </w:r>
    </w:p>
    <w:p>
      <w:pPr>
        <w:pStyle w:val="8"/>
        <w:numPr>
          <w:ilvl w:val="0"/>
          <w:numId w:val="0"/>
        </w:numPr>
        <w:snapToGrid/>
        <w:spacing w:line="360" w:lineRule="auto"/>
        <w:ind w:firstLine="48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预期使用环境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2.1 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产品预期使用的地点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  <w:t>(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en-US" w:bidi="ar-SA"/>
        </w:rPr>
        <w:t>医院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  <w:t>)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2.2 可能影响其安全性和有效性的环境条件</w:t>
      </w:r>
    </w:p>
    <w:p>
      <w:pPr>
        <w:spacing w:line="360" w:lineRule="auto"/>
        <w:ind w:firstLine="482" w:firstLineChars="200"/>
        <w:rPr>
          <w:rFonts w:hint="default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  <w:t>(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en-US" w:bidi="ar-SA"/>
        </w:rPr>
        <w:t>环境温度：1</w:t>
      </w:r>
      <w:r>
        <w:rPr>
          <w:rFonts w:hint="eastAsia" w:ascii="Times New Roman" w:hAnsi="Times New Roman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  <w:t>8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  <w:t>-</w:t>
      </w:r>
      <w:r>
        <w:rPr>
          <w:rFonts w:hint="eastAsia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  <w:t>28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en-US" w:bidi="ar-SA"/>
        </w:rPr>
        <w:t>℃</w:t>
      </w:r>
    </w:p>
    <w:p>
      <w:pPr>
        <w:spacing w:line="360" w:lineRule="auto"/>
        <w:ind w:firstLine="482" w:firstLineChars="200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en-US" w:bidi="ar-SA"/>
        </w:rPr>
        <w:t>湿度：1</w:t>
      </w:r>
      <w:r>
        <w:rPr>
          <w:rFonts w:hint="eastAsia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en-US" w:bidi="ar-SA"/>
        </w:rPr>
        <w:t>-95%相对湿度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适用人群</w:t>
      </w:r>
    </w:p>
    <w:p>
      <w:pPr>
        <w:spacing w:line="360" w:lineRule="auto"/>
        <w:ind w:firstLine="482" w:firstLineChars="200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  <w:t>【</w:t>
      </w:r>
    </w:p>
    <w:p>
      <w:pPr>
        <w:spacing w:line="360" w:lineRule="auto"/>
        <w:ind w:firstLine="482" w:firstLineChars="200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en-US" w:bidi="ar-SA"/>
        </w:rPr>
        <w:t>适用人群建议说明目标患者人群信息，患者选择标准，重要考虑因素等。</w:t>
      </w:r>
    </w:p>
    <w:p>
      <w:pPr>
        <w:spacing w:line="360" w:lineRule="auto"/>
        <w:ind w:firstLine="482" w:firstLineChars="200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  <w:t>】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napToGrid/>
        <w:spacing w:line="360" w:lineRule="auto"/>
        <w:ind w:firstLine="480"/>
        <w:textAlignment w:val="auto"/>
        <w:rPr>
          <w:rFonts w:hint="default" w:ascii="Times New Roman" w:hAnsi="Times New Roman" w:cs="Times New Roman"/>
          <w:bCs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禁忌证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72" w:after="72" w:line="360" w:lineRule="auto"/>
        <w:ind w:left="0" w:leftChars="0" w:firstLine="420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</w:rPr>
        <w:t>经鼻肠营养导管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  <w:t>的</w:t>
      </w:r>
      <w:r>
        <w:rPr>
          <w:rFonts w:hint="eastAsia" w:ascii="Times New Roman" w:hAnsi="Times New Roman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  <w:t>禁忌症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  <w:t>：</w:t>
      </w:r>
    </w:p>
    <w:p>
      <w:pPr>
        <w:spacing w:line="360" w:lineRule="auto"/>
        <w:ind w:firstLine="482" w:firstLineChars="200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en-US" w:bidi="ar-SA"/>
        </w:rPr>
        <w:t>产品材料有过敏史者，食道下段静脉曲张患者、食道出血患者、食道梗阻患者、肠道吸收障碍患者等其他不宜采用经鼻肠营养管饲的患者。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 w:val="0"/>
          <w:i/>
          <w:iCs/>
          <w:color w:val="0000FF"/>
          <w:kern w:val="0"/>
          <w:sz w:val="24"/>
          <w:szCs w:val="24"/>
          <w:lang w:val="en-US" w:eastAsia="zh-CN" w:bidi="ar-SA"/>
        </w:rPr>
        <w:t>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【如果产品有指导原则，参照指导原则和产品本身的临床应用填写本部分；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说明书，临床评价等递交资料中的内容，均需要保持一致】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7EDD9"/>
    <w:multiLevelType w:val="multilevel"/>
    <w:tmpl w:val="18A7EDD9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2C996EDE"/>
    <w:multiLevelType w:val="singleLevel"/>
    <w:tmpl w:val="2C996E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561FD1"/>
    <w:rsid w:val="4B950155"/>
    <w:rsid w:val="543A6A17"/>
    <w:rsid w:val="5854681A"/>
    <w:rsid w:val="5B3D4524"/>
    <w:rsid w:val="62D83FC8"/>
    <w:rsid w:val="638C3F6B"/>
    <w:rsid w:val="70226573"/>
    <w:rsid w:val="73041C9C"/>
    <w:rsid w:val="7A932B8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2023-04-20T03:11:27Z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