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rPr>
          <w:rFonts w:hint="default" w:eastAsia="Univers 57 Condensed"/>
          <w:lang w:val="en-US" w:eastAsia="zh-CN"/>
        </w:rPr>
      </w:pPr>
    </w:p>
    <w:p>
      <w:pPr>
        <w:pStyle w:val="10"/>
        <w:rPr>
          <w:rFonts w:hint="default" w:eastAsia="Univers 57 Condensed"/>
          <w:lang w:val="en-US" w:eastAsia="zh-CN"/>
        </w:rPr>
      </w:pPr>
    </w:p>
    <w:p>
      <w:pPr>
        <w:pStyle w:val="10"/>
        <w:rPr>
          <w:rFonts w:hint="default" w:eastAsia="Univers 57 Condensed"/>
          <w:lang w:val="en-US" w:eastAsia="zh-CN"/>
        </w:rPr>
      </w:pPr>
    </w:p>
    <w:p>
      <w:pPr>
        <w:pStyle w:val="10"/>
        <w:rPr>
          <w:rFonts w:hint="default" w:eastAsia="Univers 57 Condensed"/>
          <w:lang w:val="en-US" w:eastAsia="zh-CN"/>
        </w:rPr>
      </w:pPr>
    </w:p>
    <w:p>
      <w:pPr>
        <w:pStyle w:val="10"/>
        <w:rPr>
          <w:rFonts w:hint="default" w:eastAsia="Univers 57 Condensed"/>
          <w:lang w:val="en-US" w:eastAsia="zh-CN"/>
        </w:rPr>
      </w:pPr>
    </w:p>
    <w:p>
      <w:pPr>
        <w:pStyle w:val="10"/>
        <w:rPr>
          <w:rFonts w:hint="default" w:eastAsia="Univers 57 Condensed"/>
          <w:lang w:val="en-US" w:eastAsia="zh-CN"/>
        </w:rPr>
      </w:pP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0"/>
        <w:rPr>
          <w:rFonts w:hint="eastAsia" w:eastAsia="黑体"/>
          <w:b/>
          <w:bCs w:val="0"/>
          <w:kern w:val="44"/>
          <w:sz w:val="44"/>
          <w:szCs w:val="44"/>
          <w:lang w:val="en-US" w:eastAsia="zh-CN"/>
        </w:rPr>
      </w:pP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0"/>
        <w:rPr>
          <w:rFonts w:hint="default" w:eastAsia="黑体"/>
          <w:b/>
          <w:bCs w:val="0"/>
          <w:kern w:val="44"/>
          <w:sz w:val="44"/>
          <w:szCs w:val="44"/>
          <w:lang w:val="en-US" w:eastAsia="zh-CN"/>
        </w:rPr>
      </w:pPr>
      <w:r>
        <w:rPr>
          <w:rFonts w:hint="eastAsia" w:eastAsia="黑体"/>
          <w:b/>
          <w:bCs w:val="0"/>
          <w:kern w:val="44"/>
          <w:sz w:val="44"/>
          <w:szCs w:val="44"/>
          <w:lang w:val="en-US" w:eastAsia="zh-CN"/>
        </w:rPr>
        <w:t>2.3产品描述</w:t>
      </w:r>
    </w:p>
    <w:p>
      <w:pPr>
        <w:pStyle w:val="10"/>
        <w:rPr>
          <w:rFonts w:hint="eastAsia"/>
          <w:lang w:val="zh-CN"/>
        </w:rPr>
      </w:pPr>
    </w:p>
    <w:p>
      <w:pPr>
        <w:pStyle w:val="10"/>
        <w:rPr>
          <w:rFonts w:hint="eastAsia"/>
          <w:lang w:val="zh-CN"/>
        </w:rPr>
      </w:pPr>
    </w:p>
    <w:p>
      <w:pPr>
        <w:pStyle w:val="10"/>
        <w:rPr>
          <w:rFonts w:hint="eastAsia"/>
          <w:lang w:val="zh-CN"/>
        </w:rPr>
      </w:pPr>
    </w:p>
    <w:p>
      <w:pPr>
        <w:pStyle w:val="10"/>
        <w:rPr>
          <w:rFonts w:hint="eastAsia"/>
          <w:color w:val="0B5FD1"/>
          <w:lang w:val="en-US" w:eastAsia="zh-CN"/>
        </w:rPr>
      </w:pPr>
    </w:p>
    <w:p>
      <w:pPr>
        <w:spacing w:line="360" w:lineRule="auto"/>
        <w:ind w:firstLine="640"/>
        <w:jc w:val="left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产品名称：</w:t>
      </w:r>
      <w:r>
        <w:rPr>
          <w:rFonts w:hint="eastAsia" w:ascii="宋体" w:hAnsi="宋体" w:eastAsia="宋体" w:cs="宋体"/>
          <w:b/>
          <w:bCs/>
          <w:i/>
          <w:iCs/>
          <w:color w:val="0000FF"/>
          <w:sz w:val="28"/>
          <w:szCs w:val="28"/>
          <w:lang w:eastAsia="zh-CN"/>
        </w:rPr>
        <w:t>{</w:t>
      </w:r>
      <w:r>
        <w:rPr>
          <w:rFonts w:hint="eastAsia" w:ascii="宋体" w:hAnsi="宋体" w:cs="宋体"/>
          <w:b/>
          <w:bCs/>
          <w:i/>
          <w:iCs/>
          <w:color w:val="0000FF"/>
          <w:sz w:val="28"/>
          <w:szCs w:val="28"/>
          <w:lang w:eastAsia="zh-CN"/>
        </w:rPr>
        <w:t>填写产品名称</w:t>
      </w:r>
      <w:r>
        <w:rPr>
          <w:rFonts w:hint="eastAsia" w:ascii="宋体" w:hAnsi="宋体" w:eastAsia="宋体" w:cs="宋体"/>
          <w:b/>
          <w:bCs/>
          <w:i/>
          <w:iCs/>
          <w:color w:val="0000FF"/>
          <w:sz w:val="28"/>
          <w:szCs w:val="28"/>
          <w:lang w:eastAsia="zh-CN"/>
        </w:rPr>
        <w:t>}</w:t>
      </w:r>
    </w:p>
    <w:p>
      <w:pPr>
        <w:spacing w:line="360" w:lineRule="auto"/>
        <w:ind w:left="2038" w:leftChars="304" w:hanging="1400" w:hangingChars="500"/>
        <w:jc w:val="left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产品型号：</w:t>
      </w:r>
      <w:r>
        <w:rPr>
          <w:rFonts w:hint="eastAsia" w:ascii="宋体" w:hAnsi="宋体" w:eastAsia="宋体" w:cs="宋体"/>
          <w:b/>
          <w:bCs/>
          <w:i/>
          <w:iCs/>
          <w:color w:val="0000FF"/>
          <w:sz w:val="28"/>
          <w:szCs w:val="28"/>
          <w:lang w:val="en-US" w:eastAsia="zh-CN"/>
        </w:rPr>
        <w:t>{</w:t>
      </w:r>
      <w:r>
        <w:rPr>
          <w:rFonts w:hint="eastAsia" w:ascii="宋体" w:hAnsi="宋体" w:cs="宋体"/>
          <w:b/>
          <w:bCs/>
          <w:i/>
          <w:iCs/>
          <w:color w:val="0000FF"/>
          <w:sz w:val="28"/>
          <w:szCs w:val="28"/>
          <w:lang w:val="en-US" w:eastAsia="zh-CN"/>
        </w:rPr>
        <w:t>填写产品型号</w:t>
      </w:r>
      <w:r>
        <w:rPr>
          <w:rFonts w:hint="eastAsia" w:ascii="宋体" w:hAnsi="宋体" w:eastAsia="宋体" w:cs="宋体"/>
          <w:b/>
          <w:bCs/>
          <w:i/>
          <w:iCs/>
          <w:color w:val="0000FF"/>
          <w:sz w:val="28"/>
          <w:szCs w:val="28"/>
          <w:lang w:val="en-US" w:eastAsia="zh-CN"/>
        </w:rPr>
        <w:t>}</w:t>
      </w:r>
    </w:p>
    <w:p>
      <w:pPr>
        <w:spacing w:line="360" w:lineRule="auto"/>
        <w:ind w:firstLine="640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ind w:firstLine="640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ind w:firstLine="640"/>
        <w:jc w:val="left"/>
        <w:rPr>
          <w:rFonts w:hint="eastAsia"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</w:rPr>
        <w:t>编制：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  </w:t>
      </w:r>
      <w:r>
        <w:rPr>
          <w:rFonts w:hint="eastAsia" w:ascii="宋体" w:hAnsi="宋体" w:eastAsia="宋体" w:cs="宋体"/>
          <w:sz w:val="28"/>
          <w:szCs w:val="28"/>
        </w:rPr>
        <w:t>日期：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  </w:t>
      </w:r>
    </w:p>
    <w:p>
      <w:pPr>
        <w:spacing w:line="360" w:lineRule="auto"/>
        <w:ind w:firstLine="640"/>
        <w:jc w:val="both"/>
        <w:rPr>
          <w:rFonts w:hint="eastAsia"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审批</w:t>
      </w:r>
      <w:r>
        <w:rPr>
          <w:rFonts w:hint="eastAsia" w:ascii="宋体" w:hAnsi="宋体" w:eastAsia="宋体" w:cs="宋体"/>
          <w:sz w:val="28"/>
          <w:szCs w:val="28"/>
        </w:rPr>
        <w:t>：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  </w:t>
      </w:r>
      <w:r>
        <w:rPr>
          <w:rFonts w:hint="eastAsia" w:ascii="宋体" w:hAnsi="宋体" w:eastAsia="宋体" w:cs="宋体"/>
          <w:sz w:val="28"/>
          <w:szCs w:val="28"/>
        </w:rPr>
        <w:t>日期：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</w:pPr>
    </w:p>
    <w:p>
      <w:pPr>
        <w:pStyle w:val="2"/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</w:pPr>
    </w:p>
    <w:p>
      <w:pPr>
        <w:pStyle w:val="2"/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</w:pPr>
    </w:p>
    <w:p>
      <w:pPr>
        <w:pStyle w:val="10"/>
        <w:rPr>
          <w:rFonts w:hint="eastAsia" w:ascii="宋体" w:hAnsi="宋体" w:eastAsia="宋体" w:cs="宋体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i/>
          <w:iCs/>
          <w:color w:val="0000FF"/>
          <w:lang w:val="en-US" w:eastAsia="zh-CN"/>
        </w:rPr>
      </w:pPr>
      <w:r>
        <w:rPr>
          <w:rFonts w:hint="eastAsia" w:ascii="宋体" w:hAnsi="宋体" w:cs="宋体"/>
          <w:b/>
          <w:bCs/>
          <w:i/>
          <w:iCs/>
          <w:color w:val="0000FF"/>
          <w:kern w:val="0"/>
          <w:sz w:val="28"/>
          <w:szCs w:val="28"/>
          <w:lang w:val="en-US" w:eastAsia="zh-CN"/>
        </w:rPr>
        <w:t>{填写申报企业</w:t>
      </w:r>
      <w:bookmarkStart w:id="2" w:name="_GoBack"/>
      <w:bookmarkEnd w:id="2"/>
      <w:r>
        <w:rPr>
          <w:rFonts w:hint="eastAsia" w:ascii="宋体" w:hAnsi="宋体" w:cs="宋体"/>
          <w:b/>
          <w:bCs/>
          <w:i/>
          <w:iCs/>
          <w:color w:val="0000FF"/>
          <w:kern w:val="0"/>
          <w:sz w:val="28"/>
          <w:szCs w:val="28"/>
          <w:lang w:val="en-US" w:eastAsia="zh-CN"/>
        </w:rPr>
        <w:t>公司名称}</w:t>
      </w:r>
    </w:p>
    <w:p>
      <w:pPr>
        <w:pStyle w:val="10"/>
        <w:jc w:val="center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/>
        </w:rPr>
      </w:pPr>
    </w:p>
    <w:p>
      <w:pPr>
        <w:pStyle w:val="10"/>
        <w:jc w:val="center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/>
        </w:rPr>
      </w:pPr>
    </w:p>
    <w:p>
      <w:pPr>
        <w:pStyle w:val="10"/>
        <w:jc w:val="center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/>
        </w:rPr>
      </w:pPr>
    </w:p>
    <w:p>
      <w:pPr>
        <w:pStyle w:val="10"/>
        <w:jc w:val="center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/>
        </w:rPr>
      </w:pPr>
    </w:p>
    <w:p>
      <w:pPr>
        <w:pStyle w:val="10"/>
        <w:rPr>
          <w:rFonts w:hint="default" w:eastAsia="Univers 57 Condensed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器械及操作原理描述</w:t>
      </w:r>
    </w:p>
    <w:p>
      <w:pPr>
        <w:pStyle w:val="10"/>
        <w:keepNext w:val="0"/>
        <w:keepLines w:val="0"/>
        <w:pageBreakBefore w:val="0"/>
        <w:numPr>
          <w:ilvl w:val="1"/>
          <w:numId w:val="2"/>
        </w:numPr>
        <w:kinsoku/>
        <w:wordWrap/>
        <w:overflowPunct/>
        <w:topLinePunct w:val="0"/>
        <w:bidi w:val="0"/>
        <w:snapToGrid/>
        <w:spacing w:line="360" w:lineRule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</w:rPr>
        <w:t>工作原理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72" w:after="72" w:line="360" w:lineRule="auto"/>
        <w:ind w:left="0" w:leftChars="0" w:firstLine="420"/>
        <w:rPr>
          <w:rFonts w:hint="default" w:ascii="Times New Roman" w:hAnsi="Times New Roman" w:eastAsia="宋体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</w:pPr>
      <w:bookmarkStart w:id="0" w:name="OLE_LINK48"/>
      <w:r>
        <w:rPr>
          <w:rFonts w:hint="eastAsia" w:ascii="Times New Roman" w:hAnsi="Times New Roman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  <w:t>(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72" w:after="72" w:line="360" w:lineRule="auto"/>
        <w:ind w:left="0" w:leftChars="0" w:firstLine="420"/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sz w:val="24"/>
          <w:szCs w:val="24"/>
        </w:rPr>
        <w:t>经鼻肠营养导管</w:t>
      </w: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  <w:t>的工作原理：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72" w:after="72" w:line="360" w:lineRule="auto"/>
        <w:ind w:left="0" w:leftChars="0" w:firstLine="420"/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sz w:val="24"/>
          <w:szCs w:val="24"/>
        </w:rPr>
        <w:t>经鼻肠营养导管通常由鼻腔经食道插入胃，在胃肠蠕动的推动下滑移进入十二指肠或空肠内，或借助胃镜/十二指肠镜辅助插入十二指肠或空肠，并经X射线显影等方式确定置管位置，与相关给营养器械配合，用于向胃肠道引入营养液等，部分多腔鼻肠管还可用于胃部冲洗等。</w:t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482" w:firstLineChars="200"/>
        <w:textAlignment w:val="auto"/>
        <w:rPr>
          <w:rFonts w:hint="eastAsia" w:ascii="Times New Roman" w:hAnsi="Times New Roman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  <w:t>)</w:t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482" w:firstLineChars="200"/>
        <w:textAlignment w:val="auto"/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sz w:val="24"/>
          <w:szCs w:val="24"/>
          <w:lang w:val="zh-CN"/>
        </w:rPr>
      </w:pP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sz w:val="24"/>
          <w:szCs w:val="24"/>
          <w:lang w:val="zh-CN"/>
        </w:rPr>
        <w:t>【</w:t>
      </w: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  <w:t>有指导原则的产品，</w:t>
      </w:r>
      <w:r>
        <w:rPr>
          <w:rFonts w:hint="eastAsia" w:ascii="Times New Roman" w:hAnsi="Times New Roman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  <w:t>工作原理</w:t>
      </w: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  <w:t>可以参考指导原则中的描述进行；</w:t>
      </w: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sz w:val="24"/>
          <w:szCs w:val="24"/>
          <w:lang w:val="zh-CN"/>
        </w:rPr>
        <w:t>】</w:t>
      </w:r>
    </w:p>
    <w:bookmarkEnd w:id="0"/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72" w:after="72" w:line="360" w:lineRule="auto"/>
        <w:rPr>
          <w:rFonts w:hint="default" w:ascii="Times New Roman" w:hAnsi="Times New Roman" w:eastAsia="宋体" w:cs="Times New Roman"/>
          <w:color w:val="000000"/>
          <w:sz w:val="24"/>
          <w:szCs w:val="24"/>
        </w:rPr>
      </w:pPr>
    </w:p>
    <w:p>
      <w:pPr>
        <w:pStyle w:val="10"/>
        <w:keepNext w:val="0"/>
        <w:keepLines w:val="0"/>
        <w:pageBreakBefore w:val="0"/>
        <w:numPr>
          <w:ilvl w:val="1"/>
          <w:numId w:val="2"/>
        </w:numPr>
        <w:kinsoku/>
        <w:wordWrap/>
        <w:overflowPunct/>
        <w:topLinePunct w:val="0"/>
        <w:bidi w:val="0"/>
        <w:snapToGrid/>
        <w:spacing w:line="360" w:lineRule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</w:rPr>
        <w:t>作用机理（如适用）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72" w:after="72" w:line="360" w:lineRule="auto"/>
        <w:ind w:left="0" w:leftChars="0" w:firstLine="42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不适用。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sz w:val="24"/>
          <w:szCs w:val="24"/>
          <w:lang w:val="zh-CN"/>
        </w:rPr>
      </w:pP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sz w:val="24"/>
          <w:szCs w:val="24"/>
          <w:lang w:val="zh-CN"/>
        </w:rPr>
        <w:t>【</w:t>
      </w: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  <w:t>有指导原则的产品，</w:t>
      </w:r>
      <w:r>
        <w:rPr>
          <w:rFonts w:hint="eastAsia" w:ascii="Times New Roman" w:hAnsi="Times New Roman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  <w:t>工作原理</w:t>
      </w: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  <w:t>可以参考指导原则中的描述进行；</w:t>
      </w: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sz w:val="24"/>
          <w:szCs w:val="24"/>
          <w:lang w:val="zh-CN"/>
        </w:rPr>
        <w:t>】</w:t>
      </w:r>
    </w:p>
    <w:p>
      <w:pPr>
        <w:pStyle w:val="2"/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sz w:val="24"/>
          <w:szCs w:val="24"/>
          <w:lang w:val="zh-CN"/>
        </w:rPr>
      </w:pPr>
    </w:p>
    <w:p>
      <w:pPr>
        <w:pStyle w:val="2"/>
        <w:rPr>
          <w:rFonts w:hint="default" w:ascii="Times New Roman" w:hAnsi="Times New Roman" w:eastAsia="宋体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</w:pPr>
    </w:p>
    <w:p>
      <w:pPr>
        <w:pStyle w:val="10"/>
        <w:keepNext w:val="0"/>
        <w:keepLines w:val="0"/>
        <w:pageBreakBefore w:val="0"/>
        <w:numPr>
          <w:ilvl w:val="1"/>
          <w:numId w:val="2"/>
        </w:numPr>
        <w:kinsoku/>
        <w:wordWrap/>
        <w:overflowPunct/>
        <w:topLinePunct w:val="0"/>
        <w:bidi w:val="0"/>
        <w:snapToGrid/>
        <w:spacing w:line="360" w:lineRule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</w:rPr>
        <w:t>结构及组成</w:t>
      </w:r>
    </w:p>
    <w:p>
      <w:pPr>
        <w:pStyle w:val="2"/>
        <w:rPr>
          <w:rFonts w:hint="eastAsia"/>
          <w:bCs/>
          <w:sz w:val="24"/>
          <w:szCs w:val="24"/>
        </w:rPr>
      </w:pPr>
    </w:p>
    <w:p>
      <w:pPr>
        <w:pStyle w:val="2"/>
        <w:rPr>
          <w:rFonts w:hint="default"/>
          <w:bCs/>
          <w:sz w:val="24"/>
          <w:szCs w:val="24"/>
          <w:lang w:val="en-US" w:eastAsia="zh-CN"/>
        </w:rPr>
      </w:pPr>
      <w:r>
        <w:rPr>
          <w:rFonts w:hint="eastAsia"/>
          <w:b/>
          <w:bCs w:val="0"/>
          <w:i/>
          <w:iCs/>
          <w:color w:val="0000FF"/>
          <w:sz w:val="24"/>
          <w:szCs w:val="24"/>
          <w:lang w:val="en-US" w:eastAsia="zh-CN"/>
        </w:rPr>
        <w:t>(</w:t>
      </w: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sz w:val="24"/>
          <w:szCs w:val="24"/>
        </w:rPr>
        <w:t>经鼻肠营养导管</w:t>
      </w: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  <w:t>的</w:t>
      </w:r>
      <w:r>
        <w:rPr>
          <w:rFonts w:hint="eastAsia" w:ascii="Times New Roman" w:hAnsi="Times New Roman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  <w:t>结果及组成：</w:t>
      </w:r>
    </w:p>
    <w:p>
      <w:pPr>
        <w:spacing w:line="520" w:lineRule="exact"/>
        <w:ind w:firstLine="619" w:firstLineChars="200"/>
        <w:rPr>
          <w:b/>
          <w:bCs/>
          <w:i/>
          <w:iCs/>
          <w:color w:val="0000FF"/>
        </w:rPr>
      </w:pPr>
      <w:r>
        <w:rPr>
          <w:rFonts w:hint="eastAsia" w:eastAsia="仿宋_GB2312"/>
          <w:b/>
          <w:bCs/>
          <w:i/>
          <w:iCs/>
          <w:color w:val="0000FF"/>
          <w:spacing w:val="-6"/>
          <w:sz w:val="32"/>
          <w:szCs w:val="32"/>
        </w:rPr>
        <w:t>产品可采用TPU、聚氯乙烯、硅橡胶等材料制成，目前已上市产品常用材料为TPU。通常由头端、管体、接头、接头盖、导丝等组成</w:t>
      </w:r>
      <w:r>
        <w:rPr>
          <w:rFonts w:eastAsia="仿宋_GB2312"/>
          <w:b/>
          <w:bCs/>
          <w:i/>
          <w:iCs/>
          <w:color w:val="0000FF"/>
          <w:spacing w:val="-6"/>
          <w:sz w:val="32"/>
          <w:szCs w:val="32"/>
        </w:rPr>
        <w:t>。</w:t>
      </w:r>
      <w:r>
        <w:rPr>
          <w:rFonts w:hint="eastAsia" w:eastAsia="仿宋_GB2312"/>
          <w:b/>
          <w:bCs/>
          <w:i/>
          <w:iCs/>
          <w:color w:val="0000FF"/>
          <w:sz w:val="32"/>
          <w:szCs w:val="32"/>
        </w:rPr>
        <w:t>根据产品结构可分为单腔、双腔、三腔等，头端可有直插型、螺旋型、重力型、球囊等不同设计；</w:t>
      </w:r>
      <w:r>
        <w:rPr>
          <w:rFonts w:eastAsia="仿宋_GB2312"/>
          <w:b/>
          <w:bCs/>
          <w:i/>
          <w:iCs/>
          <w:color w:val="0000FF"/>
          <w:sz w:val="32"/>
          <w:szCs w:val="32"/>
        </w:rPr>
        <w:t>接口有扣盖，有利于保持清洁</w:t>
      </w:r>
      <w:r>
        <w:rPr>
          <w:rFonts w:hint="eastAsia" w:eastAsia="仿宋_GB2312"/>
          <w:b/>
          <w:bCs/>
          <w:i/>
          <w:iCs/>
          <w:color w:val="0000FF"/>
          <w:sz w:val="32"/>
          <w:szCs w:val="32"/>
        </w:rPr>
        <w:t>；</w:t>
      </w:r>
      <w:r>
        <w:rPr>
          <w:rFonts w:eastAsia="仿宋_GB2312"/>
          <w:b/>
          <w:bCs/>
          <w:i/>
          <w:iCs/>
          <w:color w:val="0000FF"/>
          <w:sz w:val="32"/>
          <w:szCs w:val="32"/>
        </w:rPr>
        <w:t>外壁带有数字刻度</w:t>
      </w:r>
      <w:r>
        <w:rPr>
          <w:rFonts w:hint="eastAsia" w:eastAsia="仿宋_GB2312"/>
          <w:b/>
          <w:bCs/>
          <w:i/>
          <w:iCs/>
          <w:color w:val="0000FF"/>
          <w:sz w:val="32"/>
          <w:szCs w:val="32"/>
        </w:rPr>
        <w:t>，可</w:t>
      </w:r>
      <w:r>
        <w:rPr>
          <w:rFonts w:eastAsia="仿宋_GB2312"/>
          <w:b/>
          <w:bCs/>
          <w:i/>
          <w:iCs/>
          <w:color w:val="0000FF"/>
          <w:sz w:val="32"/>
          <w:szCs w:val="32"/>
        </w:rPr>
        <w:t>有效</w:t>
      </w:r>
      <w:r>
        <w:rPr>
          <w:rFonts w:hint="eastAsia" w:eastAsia="仿宋_GB2312"/>
          <w:b/>
          <w:bCs/>
          <w:i/>
          <w:iCs/>
          <w:color w:val="0000FF"/>
          <w:sz w:val="32"/>
          <w:szCs w:val="32"/>
        </w:rPr>
        <w:t>指示</w:t>
      </w:r>
      <w:r>
        <w:rPr>
          <w:rFonts w:eastAsia="仿宋_GB2312"/>
          <w:b/>
          <w:bCs/>
          <w:i/>
          <w:iCs/>
          <w:color w:val="0000FF"/>
          <w:sz w:val="32"/>
          <w:szCs w:val="32"/>
        </w:rPr>
        <w:t>产品在体内的使用长度</w:t>
      </w:r>
      <w:r>
        <w:rPr>
          <w:rFonts w:hint="eastAsia" w:eastAsia="仿宋_GB2312"/>
          <w:b/>
          <w:bCs/>
          <w:i/>
          <w:iCs/>
          <w:color w:val="0000FF"/>
          <w:sz w:val="32"/>
          <w:szCs w:val="32"/>
        </w:rPr>
        <w:t>；</w:t>
      </w:r>
      <w:r>
        <w:rPr>
          <w:rFonts w:eastAsia="仿宋_GB2312"/>
          <w:b/>
          <w:bCs/>
          <w:i/>
          <w:iCs/>
          <w:color w:val="0000FF"/>
          <w:sz w:val="32"/>
          <w:szCs w:val="32"/>
        </w:rPr>
        <w:t>管壁</w:t>
      </w:r>
      <w:r>
        <w:rPr>
          <w:rFonts w:hint="eastAsia" w:eastAsia="仿宋_GB2312"/>
          <w:b/>
          <w:bCs/>
          <w:i/>
          <w:iCs/>
          <w:color w:val="0000FF"/>
          <w:sz w:val="32"/>
          <w:szCs w:val="32"/>
        </w:rPr>
        <w:t>使用射线可探测材料</w:t>
      </w:r>
      <w:r>
        <w:rPr>
          <w:rFonts w:eastAsia="仿宋_GB2312"/>
          <w:b/>
          <w:bCs/>
          <w:i/>
          <w:iCs/>
          <w:color w:val="0000FF"/>
          <w:sz w:val="32"/>
          <w:szCs w:val="32"/>
        </w:rPr>
        <w:t>，</w:t>
      </w:r>
      <w:r>
        <w:rPr>
          <w:rFonts w:hint="eastAsia" w:eastAsia="仿宋_GB2312"/>
          <w:b/>
          <w:bCs/>
          <w:i/>
          <w:iCs/>
          <w:color w:val="0000FF"/>
          <w:sz w:val="32"/>
          <w:szCs w:val="32"/>
        </w:rPr>
        <w:t>具有显影定位功能</w:t>
      </w:r>
      <w:r>
        <w:rPr>
          <w:rFonts w:eastAsia="仿宋_GB2312"/>
          <w:b/>
          <w:bCs/>
          <w:i/>
          <w:iCs/>
          <w:color w:val="0000FF"/>
          <w:sz w:val="32"/>
          <w:szCs w:val="32"/>
        </w:rPr>
        <w:t>。</w:t>
      </w:r>
    </w:p>
    <w:p>
      <w:pPr>
        <w:spacing w:line="520" w:lineRule="exact"/>
        <w:ind w:firstLine="619" w:firstLineChars="200"/>
        <w:rPr>
          <w:rFonts w:eastAsia="仿宋_GB2312"/>
          <w:b/>
          <w:bCs/>
          <w:i/>
          <w:iCs/>
          <w:color w:val="0000FF"/>
          <w:spacing w:val="-6"/>
          <w:sz w:val="32"/>
          <w:szCs w:val="32"/>
        </w:rPr>
      </w:pPr>
      <w:r>
        <w:rPr>
          <w:rFonts w:eastAsia="仿宋_GB2312"/>
          <w:b/>
          <w:bCs/>
          <w:i/>
          <w:iCs/>
          <w:color w:val="0000FF"/>
          <w:spacing w:val="-6"/>
          <w:sz w:val="32"/>
          <w:szCs w:val="32"/>
        </w:rPr>
        <w:t>典型产品结构</w:t>
      </w:r>
      <w:r>
        <w:rPr>
          <w:rFonts w:hint="eastAsia" w:eastAsia="仿宋_GB2312"/>
          <w:b/>
          <w:bCs/>
          <w:i/>
          <w:iCs/>
          <w:color w:val="0000FF"/>
          <w:spacing w:val="-6"/>
          <w:sz w:val="32"/>
          <w:szCs w:val="32"/>
        </w:rPr>
        <w:t>图示</w:t>
      </w:r>
      <w:r>
        <w:rPr>
          <w:rFonts w:eastAsia="仿宋_GB2312"/>
          <w:b/>
          <w:bCs/>
          <w:i/>
          <w:iCs/>
          <w:color w:val="0000FF"/>
          <w:spacing w:val="-6"/>
          <w:sz w:val="32"/>
          <w:szCs w:val="32"/>
        </w:rPr>
        <w:t>见图1</w:t>
      </w:r>
      <w:r>
        <w:rPr>
          <w:rFonts w:hint="eastAsia" w:eastAsia="仿宋_GB2312"/>
          <w:b/>
          <w:bCs/>
          <w:i/>
          <w:iCs/>
          <w:color w:val="0000FF"/>
          <w:spacing w:val="-6"/>
          <w:sz w:val="32"/>
          <w:szCs w:val="32"/>
        </w:rPr>
        <w:t>、图</w:t>
      </w:r>
      <w:r>
        <w:rPr>
          <w:rFonts w:eastAsia="仿宋_GB2312"/>
          <w:b/>
          <w:bCs/>
          <w:i/>
          <w:iCs/>
          <w:color w:val="0000FF"/>
          <w:spacing w:val="-6"/>
          <w:sz w:val="32"/>
          <w:szCs w:val="32"/>
        </w:rPr>
        <w:t>2。</w:t>
      </w:r>
    </w:p>
    <w:p>
      <w:pPr>
        <w:spacing w:line="520" w:lineRule="exact"/>
        <w:ind w:firstLine="619" w:firstLineChars="200"/>
        <w:rPr>
          <w:rFonts w:eastAsia="仿宋_GB2312"/>
          <w:b/>
          <w:bCs/>
          <w:i/>
          <w:iCs/>
          <w:color w:val="0000FF"/>
          <w:spacing w:val="-6"/>
          <w:sz w:val="32"/>
          <w:szCs w:val="32"/>
        </w:rPr>
      </w:pPr>
      <w:r>
        <w:rPr>
          <w:rFonts w:eastAsia="仿宋_GB2312"/>
          <w:b/>
          <w:bCs/>
          <w:i/>
          <w:iCs/>
          <w:color w:val="0000FF"/>
          <w:spacing w:val="-6"/>
          <w:sz w:val="32"/>
          <w:szCs w:val="32"/>
        </w:rPr>
        <w:t>典型产品外形结构见图3</w:t>
      </w:r>
      <w:r>
        <w:rPr>
          <w:rFonts w:hint="eastAsia" w:eastAsia="仿宋_GB2312"/>
          <w:b/>
          <w:bCs/>
          <w:i/>
          <w:iCs/>
          <w:color w:val="0000FF"/>
          <w:spacing w:val="-6"/>
          <w:sz w:val="32"/>
          <w:szCs w:val="32"/>
        </w:rPr>
        <w:t>、图4、图5</w:t>
      </w:r>
      <w:r>
        <w:rPr>
          <w:rFonts w:eastAsia="仿宋_GB2312"/>
          <w:b/>
          <w:bCs/>
          <w:i/>
          <w:iCs/>
          <w:color w:val="0000FF"/>
          <w:spacing w:val="-6"/>
          <w:sz w:val="32"/>
          <w:szCs w:val="32"/>
        </w:rPr>
        <w:t>。</w:t>
      </w:r>
    </w:p>
    <w:p>
      <w:pPr>
        <w:ind w:firstLine="643" w:firstLineChars="200"/>
        <w:jc w:val="center"/>
        <w:rPr>
          <w:rFonts w:hint="eastAsia" w:eastAsia="仿宋_GB2312"/>
          <w:b/>
          <w:bCs/>
          <w:i/>
          <w:iCs/>
          <w:color w:val="0000FF"/>
          <w:sz w:val="32"/>
          <w:szCs w:val="32"/>
        </w:rPr>
      </w:pPr>
      <w:r>
        <w:rPr>
          <w:rFonts w:hint="eastAsia" w:eastAsia="仿宋_GB2312"/>
          <w:b/>
          <w:bCs/>
          <w:i/>
          <w:iCs/>
          <w:color w:val="0000FF"/>
          <w:sz w:val="32"/>
          <w:szCs w:val="32"/>
        </w:rPr>
        <w:drawing>
          <wp:inline distT="0" distB="0" distL="114300" distR="114300">
            <wp:extent cx="1905000" cy="4819650"/>
            <wp:effectExtent l="0" t="0" r="0" b="0"/>
            <wp:docPr id="14" name="图片 11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图片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050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ind w:firstLine="2249" w:firstLineChars="800"/>
        <w:rPr>
          <w:rFonts w:eastAsia="黑体" w:cs="微软雅黑"/>
          <w:b/>
          <w:bCs/>
          <w:i/>
          <w:iCs/>
          <w:color w:val="0000FF"/>
          <w:sz w:val="28"/>
          <w:szCs w:val="28"/>
        </w:rPr>
      </w:pPr>
      <w:r>
        <w:rPr>
          <w:rFonts w:hint="eastAsia" w:eastAsia="黑体" w:cs="微软雅黑"/>
          <w:b/>
          <w:bCs/>
          <w:i/>
          <w:iCs/>
          <w:color w:val="0000FF"/>
          <w:sz w:val="28"/>
          <w:szCs w:val="28"/>
        </w:rPr>
        <w:t>图1单腔经鼻肠营养导管示意图</w:t>
      </w:r>
    </w:p>
    <w:p>
      <w:pPr>
        <w:spacing w:line="520" w:lineRule="exact"/>
        <w:ind w:firstLine="482" w:firstLineChars="200"/>
        <w:jc w:val="left"/>
        <w:rPr>
          <w:rFonts w:hint="eastAsia" w:ascii="仿宋_GB2312" w:eastAsia="仿宋_GB2312"/>
          <w:b/>
          <w:bCs/>
          <w:i/>
          <w:iCs/>
          <w:color w:val="0000FF"/>
          <w:sz w:val="24"/>
        </w:rPr>
      </w:pPr>
      <w:r>
        <w:rPr>
          <w:rFonts w:hint="eastAsia" w:ascii="仿宋_GB2312" w:eastAsia="仿宋_GB2312"/>
          <w:b/>
          <w:bCs/>
          <w:i/>
          <w:iCs/>
          <w:color w:val="0000FF"/>
          <w:sz w:val="24"/>
        </w:rPr>
        <w:t>1——导丝接头及导丝；</w:t>
      </w:r>
    </w:p>
    <w:p>
      <w:pPr>
        <w:spacing w:line="520" w:lineRule="exact"/>
        <w:ind w:firstLine="482" w:firstLineChars="200"/>
        <w:jc w:val="left"/>
        <w:rPr>
          <w:rFonts w:hint="eastAsia" w:ascii="仿宋_GB2312" w:eastAsia="仿宋_GB2312"/>
          <w:b/>
          <w:bCs/>
          <w:i/>
          <w:iCs/>
          <w:color w:val="0000FF"/>
          <w:sz w:val="24"/>
        </w:rPr>
      </w:pPr>
      <w:r>
        <w:rPr>
          <w:rFonts w:hint="eastAsia" w:ascii="仿宋_GB2312" w:eastAsia="仿宋_GB2312"/>
          <w:b/>
          <w:bCs/>
          <w:i/>
          <w:iCs/>
          <w:color w:val="0000FF"/>
          <w:sz w:val="24"/>
        </w:rPr>
        <w:t>2——接头；</w:t>
      </w:r>
    </w:p>
    <w:p>
      <w:pPr>
        <w:spacing w:line="520" w:lineRule="exact"/>
        <w:ind w:firstLine="482" w:firstLineChars="200"/>
        <w:jc w:val="left"/>
        <w:rPr>
          <w:rFonts w:hint="eastAsia" w:ascii="仿宋_GB2312" w:eastAsia="仿宋_GB2312"/>
          <w:b/>
          <w:bCs/>
          <w:i/>
          <w:iCs/>
          <w:color w:val="0000FF"/>
          <w:sz w:val="24"/>
        </w:rPr>
      </w:pPr>
      <w:r>
        <w:rPr>
          <w:rFonts w:hint="eastAsia" w:ascii="仿宋_GB2312" w:eastAsia="仿宋_GB2312"/>
          <w:b/>
          <w:bCs/>
          <w:i/>
          <w:iCs/>
          <w:color w:val="0000FF"/>
          <w:sz w:val="24"/>
        </w:rPr>
        <w:t>3——接头盖固定带；</w:t>
      </w:r>
    </w:p>
    <w:p>
      <w:pPr>
        <w:spacing w:line="520" w:lineRule="exact"/>
        <w:ind w:firstLine="482" w:firstLineChars="200"/>
        <w:jc w:val="left"/>
        <w:rPr>
          <w:rFonts w:hint="eastAsia" w:ascii="仿宋_GB2312" w:eastAsia="仿宋_GB2312"/>
          <w:b/>
          <w:bCs/>
          <w:i/>
          <w:iCs/>
          <w:color w:val="0000FF"/>
          <w:sz w:val="24"/>
        </w:rPr>
      </w:pPr>
      <w:r>
        <w:rPr>
          <w:rFonts w:hint="eastAsia" w:ascii="仿宋_GB2312" w:eastAsia="仿宋_GB2312"/>
          <w:b/>
          <w:bCs/>
          <w:i/>
          <w:iCs/>
          <w:color w:val="0000FF"/>
          <w:sz w:val="24"/>
        </w:rPr>
        <w:t>4——接头盖；</w:t>
      </w:r>
    </w:p>
    <w:p>
      <w:pPr>
        <w:spacing w:line="520" w:lineRule="exact"/>
        <w:ind w:firstLine="482" w:firstLineChars="200"/>
        <w:jc w:val="left"/>
        <w:rPr>
          <w:rFonts w:hint="eastAsia" w:ascii="仿宋_GB2312" w:eastAsia="仿宋_GB2312"/>
          <w:b/>
          <w:bCs/>
          <w:i/>
          <w:iCs/>
          <w:color w:val="0000FF"/>
          <w:sz w:val="24"/>
        </w:rPr>
      </w:pPr>
      <w:r>
        <w:rPr>
          <w:rFonts w:hint="eastAsia" w:ascii="仿宋_GB2312" w:eastAsia="仿宋_GB2312"/>
          <w:b/>
          <w:bCs/>
          <w:i/>
          <w:iCs/>
          <w:color w:val="0000FF"/>
          <w:sz w:val="24"/>
        </w:rPr>
        <w:t>5——管体；</w:t>
      </w:r>
    </w:p>
    <w:p>
      <w:pPr>
        <w:spacing w:line="520" w:lineRule="exact"/>
        <w:ind w:firstLine="482" w:firstLineChars="200"/>
        <w:jc w:val="left"/>
        <w:rPr>
          <w:rFonts w:hint="eastAsia" w:ascii="仿宋_GB2312" w:eastAsia="仿宋_GB2312"/>
          <w:b/>
          <w:bCs/>
          <w:i/>
          <w:iCs/>
          <w:color w:val="0000FF"/>
          <w:sz w:val="24"/>
        </w:rPr>
      </w:pPr>
      <w:r>
        <w:rPr>
          <w:rFonts w:hint="eastAsia" w:ascii="仿宋_GB2312" w:eastAsia="仿宋_GB2312"/>
          <w:b/>
          <w:bCs/>
          <w:i/>
          <w:iCs/>
          <w:color w:val="0000FF"/>
          <w:sz w:val="24"/>
        </w:rPr>
        <w:t>6——头端。</w:t>
      </w:r>
    </w:p>
    <w:p>
      <w:pPr>
        <w:spacing w:line="520" w:lineRule="exact"/>
        <w:ind w:firstLine="602" w:firstLineChars="200"/>
        <w:jc w:val="left"/>
        <w:rPr>
          <w:rFonts w:hint="eastAsia" w:eastAsia="仿宋_GB2312"/>
          <w:b/>
          <w:bCs/>
          <w:i/>
          <w:iCs/>
          <w:color w:val="0000FF"/>
          <w:sz w:val="30"/>
          <w:szCs w:val="30"/>
        </w:rPr>
      </w:pPr>
    </w:p>
    <w:p>
      <w:pPr>
        <w:ind w:firstLine="643" w:firstLineChars="200"/>
        <w:jc w:val="center"/>
        <w:rPr>
          <w:rFonts w:hint="eastAsia" w:eastAsia="仿宋_GB2312"/>
          <w:b/>
          <w:bCs/>
          <w:i/>
          <w:iCs/>
          <w:color w:val="0000FF"/>
          <w:sz w:val="32"/>
          <w:szCs w:val="32"/>
        </w:rPr>
      </w:pPr>
      <w:r>
        <w:rPr>
          <w:rFonts w:hint="eastAsia" w:eastAsia="仿宋_GB2312"/>
          <w:b/>
          <w:bCs/>
          <w:i/>
          <w:iCs/>
          <w:color w:val="0000FF"/>
          <w:sz w:val="32"/>
          <w:szCs w:val="32"/>
        </w:rPr>
        <w:drawing>
          <wp:inline distT="0" distB="0" distL="114300" distR="114300">
            <wp:extent cx="2189480" cy="5360670"/>
            <wp:effectExtent l="0" t="0" r="11430" b="1270"/>
            <wp:docPr id="13" name="图片 1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rcRect r="35994" b="2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9480" cy="536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jc w:val="center"/>
        <w:rPr>
          <w:rFonts w:eastAsia="黑体" w:cs="微软雅黑"/>
          <w:b/>
          <w:bCs/>
          <w:i/>
          <w:iCs/>
          <w:color w:val="0000FF"/>
          <w:sz w:val="28"/>
          <w:szCs w:val="28"/>
        </w:rPr>
      </w:pPr>
      <w:r>
        <w:rPr>
          <w:rFonts w:hint="eastAsia" w:eastAsia="黑体" w:cs="微软雅黑"/>
          <w:b/>
          <w:bCs/>
          <w:i/>
          <w:iCs/>
          <w:color w:val="0000FF"/>
          <w:sz w:val="28"/>
          <w:szCs w:val="28"/>
        </w:rPr>
        <w:t>图2三腔鼻肠管示意图</w:t>
      </w:r>
    </w:p>
    <w:p>
      <w:pPr>
        <w:spacing w:line="520" w:lineRule="exact"/>
        <w:ind w:firstLine="482" w:firstLineChars="200"/>
        <w:rPr>
          <w:rFonts w:hint="eastAsia" w:ascii="仿宋_GB2312" w:eastAsia="仿宋_GB2312"/>
          <w:b/>
          <w:bCs/>
          <w:i/>
          <w:iCs/>
          <w:color w:val="0000FF"/>
          <w:sz w:val="24"/>
        </w:rPr>
      </w:pPr>
      <w:r>
        <w:rPr>
          <w:rFonts w:hint="eastAsia" w:ascii="仿宋_GB2312" w:eastAsia="仿宋_GB2312"/>
          <w:b/>
          <w:bCs/>
          <w:i/>
          <w:iCs/>
          <w:color w:val="0000FF"/>
          <w:sz w:val="24"/>
        </w:rPr>
        <w:t>1——导丝接头；</w:t>
      </w:r>
    </w:p>
    <w:p>
      <w:pPr>
        <w:spacing w:line="520" w:lineRule="exact"/>
        <w:ind w:firstLine="482" w:firstLineChars="200"/>
        <w:rPr>
          <w:rFonts w:hint="eastAsia" w:ascii="仿宋_GB2312" w:eastAsia="仿宋_GB2312"/>
          <w:b/>
          <w:bCs/>
          <w:i/>
          <w:iCs/>
          <w:color w:val="0000FF"/>
          <w:sz w:val="24"/>
        </w:rPr>
      </w:pPr>
      <w:r>
        <w:rPr>
          <w:rFonts w:hint="eastAsia" w:ascii="仿宋_GB2312" w:eastAsia="仿宋_GB2312"/>
          <w:b/>
          <w:bCs/>
          <w:i/>
          <w:iCs/>
          <w:color w:val="0000FF"/>
          <w:sz w:val="24"/>
        </w:rPr>
        <w:t>2——导丝；</w:t>
      </w:r>
    </w:p>
    <w:p>
      <w:pPr>
        <w:spacing w:line="520" w:lineRule="exact"/>
        <w:ind w:firstLine="482" w:firstLineChars="200"/>
        <w:rPr>
          <w:rFonts w:hint="eastAsia" w:ascii="仿宋_GB2312" w:eastAsia="仿宋_GB2312"/>
          <w:b/>
          <w:bCs/>
          <w:i/>
          <w:iCs/>
          <w:color w:val="0000FF"/>
          <w:sz w:val="24"/>
        </w:rPr>
      </w:pPr>
      <w:r>
        <w:rPr>
          <w:rFonts w:hint="eastAsia" w:ascii="仿宋_GB2312" w:eastAsia="仿宋_GB2312"/>
          <w:b/>
          <w:bCs/>
          <w:i/>
          <w:iCs/>
          <w:color w:val="0000FF"/>
          <w:sz w:val="24"/>
        </w:rPr>
        <w:t>3——接头盖；</w:t>
      </w:r>
    </w:p>
    <w:p>
      <w:pPr>
        <w:spacing w:line="520" w:lineRule="exact"/>
        <w:ind w:firstLine="482" w:firstLineChars="200"/>
        <w:rPr>
          <w:rFonts w:hint="eastAsia" w:ascii="仿宋_GB2312" w:eastAsia="仿宋_GB2312"/>
          <w:b/>
          <w:bCs/>
          <w:i/>
          <w:iCs/>
          <w:color w:val="0000FF"/>
          <w:sz w:val="24"/>
        </w:rPr>
      </w:pPr>
      <w:r>
        <w:rPr>
          <w:rFonts w:hint="eastAsia" w:ascii="仿宋_GB2312" w:eastAsia="仿宋_GB2312"/>
          <w:b/>
          <w:bCs/>
          <w:i/>
          <w:iCs/>
          <w:color w:val="0000FF"/>
          <w:sz w:val="24"/>
        </w:rPr>
        <w:t>4——接头（喂养腔）；</w:t>
      </w:r>
    </w:p>
    <w:p>
      <w:pPr>
        <w:spacing w:line="520" w:lineRule="exact"/>
        <w:ind w:firstLine="482" w:firstLineChars="200"/>
        <w:rPr>
          <w:rFonts w:hint="eastAsia" w:ascii="仿宋_GB2312" w:eastAsia="仿宋_GB2312"/>
          <w:b/>
          <w:bCs/>
          <w:i/>
          <w:iCs/>
          <w:color w:val="0000FF"/>
          <w:sz w:val="24"/>
        </w:rPr>
      </w:pPr>
      <w:r>
        <w:rPr>
          <w:rFonts w:hint="eastAsia" w:ascii="仿宋_GB2312" w:eastAsia="仿宋_GB2312"/>
          <w:b/>
          <w:bCs/>
          <w:i/>
          <w:iCs/>
          <w:color w:val="0000FF"/>
          <w:sz w:val="24"/>
        </w:rPr>
        <w:t>5——延长管路；</w:t>
      </w:r>
    </w:p>
    <w:p>
      <w:pPr>
        <w:spacing w:line="520" w:lineRule="exact"/>
        <w:ind w:firstLine="482" w:firstLineChars="200"/>
        <w:rPr>
          <w:rFonts w:hint="eastAsia" w:ascii="仿宋_GB2312" w:eastAsia="仿宋_GB2312"/>
          <w:b/>
          <w:bCs/>
          <w:i/>
          <w:iCs/>
          <w:color w:val="0000FF"/>
          <w:sz w:val="24"/>
        </w:rPr>
      </w:pPr>
      <w:r>
        <w:rPr>
          <w:rFonts w:hint="eastAsia" w:ascii="仿宋_GB2312" w:eastAsia="仿宋_GB2312"/>
          <w:b/>
          <w:bCs/>
          <w:i/>
          <w:iCs/>
          <w:color w:val="0000FF"/>
          <w:sz w:val="24"/>
        </w:rPr>
        <w:t>6——接头（吸引腔，用于胃减压）；</w:t>
      </w:r>
    </w:p>
    <w:p>
      <w:pPr>
        <w:spacing w:line="520" w:lineRule="exact"/>
        <w:ind w:firstLine="482" w:firstLineChars="200"/>
        <w:rPr>
          <w:rFonts w:hint="eastAsia" w:ascii="仿宋_GB2312" w:eastAsia="仿宋_GB2312"/>
          <w:b/>
          <w:bCs/>
          <w:i/>
          <w:iCs/>
          <w:color w:val="0000FF"/>
          <w:sz w:val="24"/>
        </w:rPr>
      </w:pPr>
      <w:r>
        <w:rPr>
          <w:rFonts w:hint="eastAsia" w:ascii="仿宋_GB2312" w:eastAsia="仿宋_GB2312"/>
          <w:b/>
          <w:bCs/>
          <w:i/>
          <w:iCs/>
          <w:color w:val="0000FF"/>
          <w:sz w:val="24"/>
        </w:rPr>
        <w:t>7——接头（压力调节腔，用于胃减压的气压控制）；</w:t>
      </w:r>
    </w:p>
    <w:p>
      <w:pPr>
        <w:spacing w:line="520" w:lineRule="exact"/>
        <w:ind w:firstLine="482" w:firstLineChars="200"/>
        <w:rPr>
          <w:rFonts w:hint="eastAsia" w:ascii="仿宋_GB2312" w:eastAsia="仿宋_GB2312"/>
          <w:b/>
          <w:bCs/>
          <w:i/>
          <w:iCs/>
          <w:color w:val="0000FF"/>
          <w:sz w:val="24"/>
        </w:rPr>
      </w:pPr>
      <w:r>
        <w:rPr>
          <w:rFonts w:hint="eastAsia" w:ascii="仿宋_GB2312" w:eastAsia="仿宋_GB2312"/>
          <w:b/>
          <w:bCs/>
          <w:i/>
          <w:iCs/>
          <w:color w:val="0000FF"/>
          <w:sz w:val="24"/>
        </w:rPr>
        <w:t>8——管路上部；</w:t>
      </w:r>
    </w:p>
    <w:p>
      <w:pPr>
        <w:spacing w:line="520" w:lineRule="exact"/>
        <w:ind w:firstLine="482" w:firstLineChars="200"/>
        <w:rPr>
          <w:rFonts w:hint="eastAsia" w:ascii="仿宋_GB2312" w:eastAsia="仿宋_GB2312"/>
          <w:b/>
          <w:bCs/>
          <w:i/>
          <w:iCs/>
          <w:color w:val="0000FF"/>
          <w:sz w:val="24"/>
        </w:rPr>
      </w:pPr>
      <w:r>
        <w:rPr>
          <w:rFonts w:hint="eastAsia" w:ascii="仿宋_GB2312" w:eastAsia="仿宋_GB2312"/>
          <w:b/>
          <w:bCs/>
          <w:i/>
          <w:iCs/>
          <w:color w:val="0000FF"/>
          <w:sz w:val="24"/>
        </w:rPr>
        <w:t>9——三腔管路；</w:t>
      </w:r>
    </w:p>
    <w:p>
      <w:pPr>
        <w:spacing w:line="520" w:lineRule="exact"/>
        <w:ind w:firstLine="482" w:firstLineChars="200"/>
        <w:rPr>
          <w:rFonts w:hint="eastAsia" w:ascii="仿宋_GB2312" w:eastAsia="仿宋_GB2312"/>
          <w:b/>
          <w:bCs/>
          <w:i/>
          <w:iCs/>
          <w:color w:val="0000FF"/>
          <w:sz w:val="24"/>
        </w:rPr>
      </w:pPr>
      <w:r>
        <w:rPr>
          <w:rFonts w:hint="eastAsia" w:ascii="仿宋_GB2312" w:eastAsia="仿宋_GB2312"/>
          <w:b/>
          <w:bCs/>
          <w:i/>
          <w:iCs/>
          <w:color w:val="0000FF"/>
          <w:sz w:val="24"/>
        </w:rPr>
        <w:t>10——管孔（减压）；</w:t>
      </w:r>
    </w:p>
    <w:p>
      <w:pPr>
        <w:spacing w:line="520" w:lineRule="exact"/>
        <w:ind w:firstLine="482" w:firstLineChars="200"/>
        <w:rPr>
          <w:rFonts w:hint="eastAsia" w:ascii="仿宋_GB2312" w:eastAsia="仿宋_GB2312"/>
          <w:b/>
          <w:bCs/>
          <w:i/>
          <w:iCs/>
          <w:color w:val="0000FF"/>
          <w:sz w:val="24"/>
        </w:rPr>
      </w:pPr>
      <w:r>
        <w:rPr>
          <w:rFonts w:hint="eastAsia" w:ascii="仿宋_GB2312" w:eastAsia="仿宋_GB2312"/>
          <w:b/>
          <w:bCs/>
          <w:i/>
          <w:iCs/>
          <w:color w:val="0000FF"/>
          <w:sz w:val="24"/>
        </w:rPr>
        <w:t>11——管路；</w:t>
      </w:r>
    </w:p>
    <w:p>
      <w:pPr>
        <w:spacing w:line="520" w:lineRule="exact"/>
        <w:ind w:firstLine="482" w:firstLineChars="200"/>
        <w:rPr>
          <w:rFonts w:hint="eastAsia" w:ascii="仿宋_GB2312" w:eastAsia="仿宋_GB2312"/>
          <w:b/>
          <w:bCs/>
          <w:i/>
          <w:iCs/>
          <w:color w:val="0000FF"/>
          <w:sz w:val="24"/>
        </w:rPr>
      </w:pPr>
      <w:r>
        <w:rPr>
          <w:rFonts w:hint="eastAsia" w:ascii="仿宋_GB2312" w:eastAsia="仿宋_GB2312"/>
          <w:b/>
          <w:bCs/>
          <w:i/>
          <w:iCs/>
          <w:color w:val="0000FF"/>
          <w:sz w:val="24"/>
        </w:rPr>
        <w:t>12——头端。</w:t>
      </w:r>
    </w:p>
    <w:p>
      <w:pPr>
        <w:spacing w:line="560" w:lineRule="exact"/>
        <w:ind w:firstLine="643" w:firstLineChars="200"/>
        <w:rPr>
          <w:rFonts w:eastAsia="仿宋_GB2312"/>
          <w:b/>
          <w:bCs/>
          <w:i/>
          <w:iCs/>
          <w:color w:val="0000FF"/>
          <w:sz w:val="32"/>
          <w:szCs w:val="32"/>
        </w:rPr>
      </w:pPr>
    </w:p>
    <w:p>
      <w:pPr>
        <w:ind w:firstLine="643" w:firstLineChars="200"/>
        <w:jc w:val="center"/>
        <w:rPr>
          <w:rFonts w:eastAsia="仿宋_GB2312"/>
          <w:b/>
          <w:bCs/>
          <w:i/>
          <w:iCs/>
          <w:color w:val="0000FF"/>
          <w:sz w:val="32"/>
          <w:szCs w:val="32"/>
        </w:rPr>
      </w:pPr>
      <w:r>
        <w:rPr>
          <w:rFonts w:eastAsia="仿宋_GB2312"/>
          <w:b/>
          <w:bCs/>
          <w:i/>
          <w:iCs/>
          <w:color w:val="0000FF"/>
          <w:sz w:val="32"/>
          <w:szCs w:val="32"/>
        </w:rPr>
        <w:drawing>
          <wp:inline distT="0" distB="0" distL="114300" distR="114300">
            <wp:extent cx="3798570" cy="2538095"/>
            <wp:effectExtent l="0" t="0" r="11430" b="14605"/>
            <wp:docPr id="15" name="图片 13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图片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黑体" w:cs="微软雅黑"/>
          <w:b/>
          <w:bCs/>
          <w:i/>
          <w:iCs/>
          <w:color w:val="0000FF"/>
          <w:sz w:val="28"/>
          <w:szCs w:val="28"/>
        </w:rPr>
      </w:pPr>
      <w:r>
        <w:rPr>
          <w:rFonts w:hint="eastAsia" w:eastAsia="黑体" w:cs="微软雅黑"/>
          <w:b/>
          <w:bCs/>
          <w:i/>
          <w:iCs/>
          <w:color w:val="0000FF"/>
          <w:sz w:val="28"/>
          <w:szCs w:val="28"/>
        </w:rPr>
        <w:t>图3 螺旋型经鼻肠营养管示意图</w:t>
      </w:r>
    </w:p>
    <w:p>
      <w:pPr>
        <w:spacing w:line="560" w:lineRule="exact"/>
        <w:ind w:firstLine="643" w:firstLineChars="200"/>
        <w:jc w:val="center"/>
        <w:rPr>
          <w:rFonts w:eastAsia="仿宋_GB2312"/>
          <w:b/>
          <w:bCs/>
          <w:i/>
          <w:iCs/>
          <w:color w:val="0000FF"/>
          <w:sz w:val="32"/>
          <w:szCs w:val="32"/>
        </w:rPr>
      </w:pPr>
    </w:p>
    <w:p>
      <w:pPr>
        <w:ind w:firstLine="643" w:firstLineChars="200"/>
        <w:jc w:val="center"/>
        <w:rPr>
          <w:rFonts w:eastAsia="仿宋_GB2312"/>
          <w:b/>
          <w:bCs/>
          <w:i/>
          <w:iCs/>
          <w:color w:val="0000FF"/>
          <w:sz w:val="32"/>
          <w:szCs w:val="32"/>
        </w:rPr>
      </w:pPr>
      <w:r>
        <w:rPr>
          <w:rFonts w:eastAsia="仿宋_GB2312"/>
          <w:b/>
          <w:bCs/>
          <w:i/>
          <w:iCs/>
          <w:color w:val="0000FF"/>
          <w:sz w:val="32"/>
          <w:szCs w:val="32"/>
        </w:rPr>
        <w:drawing>
          <wp:inline distT="0" distB="0" distL="114300" distR="114300">
            <wp:extent cx="3843655" cy="3483610"/>
            <wp:effectExtent l="0" t="0" r="4445" b="2540"/>
            <wp:docPr id="16" name="图片 14" descr="鼻胃肠管（头端加重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鼻胃肠管（头端加重型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3655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黑体" w:cs="微软雅黑"/>
          <w:b/>
          <w:bCs/>
          <w:i/>
          <w:iCs/>
          <w:color w:val="0000FF"/>
          <w:sz w:val="28"/>
          <w:szCs w:val="28"/>
        </w:rPr>
      </w:pPr>
      <w:r>
        <w:rPr>
          <w:rFonts w:hint="eastAsia" w:eastAsia="黑体" w:cs="微软雅黑"/>
          <w:b/>
          <w:bCs/>
          <w:i/>
          <w:iCs/>
          <w:color w:val="0000FF"/>
          <w:sz w:val="28"/>
          <w:szCs w:val="28"/>
        </w:rPr>
        <w:t>图4 头端加重型经鼻肠营养管示意图</w:t>
      </w:r>
    </w:p>
    <w:p>
      <w:pPr>
        <w:jc w:val="center"/>
        <w:rPr>
          <w:rFonts w:hint="eastAsia" w:eastAsia="黑体" w:cs="微软雅黑"/>
          <w:b/>
          <w:bCs/>
          <w:i/>
          <w:iCs/>
          <w:color w:val="0000FF"/>
          <w:sz w:val="28"/>
          <w:szCs w:val="28"/>
        </w:rPr>
      </w:pPr>
    </w:p>
    <w:p>
      <w:pPr>
        <w:ind w:firstLine="643" w:firstLineChars="200"/>
        <w:jc w:val="center"/>
        <w:rPr>
          <w:rFonts w:eastAsia="仿宋_GB2312"/>
          <w:b/>
          <w:bCs/>
          <w:i/>
          <w:iCs/>
          <w:color w:val="0000FF"/>
          <w:sz w:val="32"/>
          <w:szCs w:val="32"/>
        </w:rPr>
      </w:pPr>
      <w:r>
        <w:rPr>
          <w:rFonts w:eastAsia="仿宋_GB2312"/>
          <w:b/>
          <w:bCs/>
          <w:i/>
          <w:iCs/>
          <w:color w:val="0000FF"/>
          <w:sz w:val="32"/>
          <w:szCs w:val="32"/>
        </w:rPr>
        <w:drawing>
          <wp:inline distT="0" distB="0" distL="114300" distR="114300">
            <wp:extent cx="3913505" cy="2402840"/>
            <wp:effectExtent l="0" t="0" r="10795" b="16510"/>
            <wp:docPr id="17" name="图片 15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图片9"/>
                    <pic:cNvPicPr>
                      <a:picLocks noChangeAspect="1"/>
                    </pic:cNvPicPr>
                  </pic:nvPicPr>
                  <pic:blipFill>
                    <a:blip r:embed="rId10"/>
                    <a:srcRect t="17119"/>
                    <a:stretch>
                      <a:fillRect/>
                    </a:stretch>
                  </pic:blipFill>
                  <pic:spPr>
                    <a:xfrm>
                      <a:off x="0" y="0"/>
                      <a:ext cx="391350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Cs/>
          <w:sz w:val="24"/>
          <w:szCs w:val="24"/>
          <w:lang w:val="en-US" w:eastAsia="zh-CN"/>
        </w:rPr>
      </w:pPr>
      <w:r>
        <w:rPr>
          <w:rFonts w:hint="eastAsia" w:eastAsia="黑体" w:cs="微软雅黑"/>
          <w:b/>
          <w:bCs/>
          <w:i/>
          <w:iCs/>
          <w:color w:val="0000FF"/>
          <w:sz w:val="28"/>
          <w:szCs w:val="28"/>
        </w:rPr>
        <w:t>图5 三腔鼻肠管示意图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bCs/>
          <w:sz w:val="24"/>
          <w:szCs w:val="24"/>
        </w:rPr>
      </w:pPr>
      <w:r>
        <w:rPr>
          <w:rFonts w:hint="eastAsia"/>
          <w:b/>
          <w:bCs w:val="0"/>
          <w:i/>
          <w:iCs/>
          <w:color w:val="0000FF"/>
          <w:sz w:val="24"/>
          <w:szCs w:val="24"/>
          <w:lang w:val="en-US" w:eastAsia="zh-CN"/>
        </w:rPr>
        <w:t>)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sz w:val="24"/>
          <w:szCs w:val="24"/>
          <w:lang w:val="zh-CN"/>
        </w:rPr>
        <w:t>【</w:t>
      </w:r>
      <w:r>
        <w:rPr>
          <w:rFonts w:hint="eastAsia" w:ascii="Times New Roman" w:hAnsi="Times New Roman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  <w:t>结构和组成主要跟产品有关，以产品实际情况为准，如</w:t>
      </w: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  <w:t>有指导原则的产品，</w:t>
      </w:r>
      <w:r>
        <w:rPr>
          <w:rFonts w:hint="eastAsia" w:ascii="Times New Roman" w:hAnsi="Times New Roman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  <w:t>可参考指导原则进行描述</w:t>
      </w: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  <w:t>；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Times New Roman" w:hAnsi="Times New Roman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  <w:t>结构和组成需要与注册申请表中的内容一致；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sz w:val="24"/>
          <w:szCs w:val="24"/>
          <w:lang w:val="zh-CN"/>
        </w:rPr>
      </w:pP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sz w:val="24"/>
          <w:szCs w:val="24"/>
          <w:lang w:val="zh-CN"/>
        </w:rPr>
        <w:t>】</w:t>
      </w:r>
    </w:p>
    <w:p>
      <w:pPr>
        <w:pStyle w:val="10"/>
        <w:keepNext w:val="0"/>
        <w:keepLines w:val="0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bidi w:val="0"/>
        <w:adjustRightInd w:val="0"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val="en-US" w:eastAsia="en-US"/>
        </w:rPr>
        <w:t>原材料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pacing w:line="360" w:lineRule="auto"/>
        <w:textAlignment w:val="auto"/>
        <w:rPr>
          <w:rFonts w:hint="eastAsia" w:ascii="Times New Roman" w:hAnsi="Times New Roman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pacing w:line="360" w:lineRule="auto"/>
        <w:textAlignment w:val="auto"/>
        <w:rPr>
          <w:rFonts w:hint="eastAsia" w:ascii="Times New Roman" w:hAnsi="Times New Roman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  <w:t>【与使用者和/或患者直接或间接接触的材料成分；若器械中包含生物材料或衍生物，描述物质来源和原材料、预期使用目的、主要作用方式；若器械中包含活性药物成分（API）或药物，描述药物名称、预期使用目的、主要作用方式、来源】</w:t>
      </w: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/>
          <w:bCs/>
          <w:sz w:val="24"/>
          <w:szCs w:val="24"/>
        </w:rPr>
      </w:pP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/>
          <w:bCs/>
          <w:sz w:val="24"/>
          <w:szCs w:val="24"/>
        </w:rPr>
      </w:pPr>
    </w:p>
    <w:p>
      <w:pPr>
        <w:pStyle w:val="10"/>
        <w:keepNext w:val="0"/>
        <w:keepLines w:val="0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bidi w:val="0"/>
        <w:adjustRightInd w:val="0"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val="en-US" w:eastAsia="en-US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val="en-US" w:eastAsia="en-US"/>
        </w:rPr>
        <w:t>交付状态及灭菌方式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pacing w:line="360" w:lineRule="auto"/>
        <w:textAlignment w:val="auto"/>
        <w:rPr>
          <w:rFonts w:hint="eastAsia" w:ascii="Times New Roman" w:hAnsi="Times New Roman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  <w:t>(交付状态：无菌；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pacing w:line="360" w:lineRule="auto"/>
        <w:textAlignment w:val="auto"/>
        <w:rPr>
          <w:rFonts w:hint="eastAsia" w:ascii="Times New Roman" w:hAnsi="Times New Roman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  <w:t>灭菌方式：EO灭菌；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pacing w:line="360" w:lineRule="auto"/>
        <w:textAlignment w:val="auto"/>
        <w:rPr>
          <w:rFonts w:hint="eastAsia" w:ascii="Times New Roman" w:hAnsi="Times New Roman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  <w:t>灭菌实施者：{XX公司}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pacing w:line="360" w:lineRule="auto"/>
        <w:textAlignment w:val="auto"/>
        <w:rPr>
          <w:rFonts w:hint="eastAsia" w:ascii="Times New Roman" w:hAnsi="Times New Roman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  <w:t>灭菌有效期：{三年}【灭菌有效期需要跟经过验证，且该信息需要与后面的验证信息一致】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pacing w:line="360" w:lineRule="auto"/>
        <w:textAlignment w:val="auto"/>
        <w:rPr>
          <w:rFonts w:hint="default" w:ascii="Times New Roman" w:hAnsi="Times New Roman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  <w:t>)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pacing w:line="360" w:lineRule="auto"/>
        <w:textAlignment w:val="auto"/>
        <w:rPr>
          <w:rFonts w:hint="eastAsia" w:ascii="Times New Roman" w:hAnsi="Times New Roman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 w:val="0"/>
          <w:i/>
          <w:iCs/>
          <w:color w:val="0000FF"/>
          <w:sz w:val="24"/>
          <w:szCs w:val="24"/>
          <w:lang w:val="en-US" w:eastAsia="zh-CN"/>
        </w:rPr>
        <w:t>【如适用，描述灭菌实施者、灭菌方法、灭菌有效期】</w:t>
      </w: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/>
          <w:bCs/>
          <w:sz w:val="24"/>
          <w:szCs w:val="24"/>
        </w:rPr>
      </w:pP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/>
          <w:bCs/>
          <w:sz w:val="24"/>
          <w:szCs w:val="24"/>
        </w:rPr>
      </w:pPr>
    </w:p>
    <w:p>
      <w:pPr>
        <w:pStyle w:val="10"/>
        <w:keepNext w:val="0"/>
        <w:keepLines w:val="0"/>
        <w:pageBreakBefore w:val="0"/>
        <w:numPr>
          <w:ilvl w:val="1"/>
          <w:numId w:val="2"/>
        </w:numPr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val="en-US" w:eastAsia="en-US" w:bidi="ar-SA"/>
        </w:rPr>
        <w:t>结构示意图和/或产品图示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【提供产品示意图和/或产品图示】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Cs/>
          <w:kern w:val="0"/>
          <w:sz w:val="24"/>
        </w:rPr>
      </w:pPr>
    </w:p>
    <w:p>
      <w:pPr>
        <w:pStyle w:val="10"/>
        <w:keepNext w:val="0"/>
        <w:keepLines w:val="0"/>
        <w:pageBreakBefore w:val="0"/>
        <w:numPr>
          <w:ilvl w:val="1"/>
          <w:numId w:val="2"/>
        </w:numPr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/>
          <w:bCs w:val="0"/>
          <w:i/>
          <w:iCs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4"/>
          <w:szCs w:val="24"/>
        </w:rPr>
        <w:t>使用方法及图示</w:t>
      </w: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leftChars="0"/>
        <w:jc w:val="both"/>
        <w:textAlignment w:val="auto"/>
        <w:rPr>
          <w:rFonts w:hint="eastAsia" w:ascii="Times New Roman" w:hAnsi="Times New Roman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【使用方法及图示，需要与说明书中的内容一致</w:t>
      </w:r>
      <w:r>
        <w:rPr>
          <w:rFonts w:hint="eastAsia" w:ascii="Times New Roman" w:hAnsi="Times New Roman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；</w:t>
      </w: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leftChars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如果临床评价报告中有相应内容的对比，则该信息也要与临床评价报告中的信息一致</w:t>
      </w: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】</w:t>
      </w: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leftChars="0"/>
        <w:jc w:val="both"/>
        <w:textAlignment w:val="auto"/>
        <w:rPr>
          <w:rFonts w:hint="default" w:ascii="Times New Roman" w:hAnsi="Times New Roman" w:eastAsia="宋体" w:cs="Times New Roman"/>
          <w:color w:val="000000"/>
          <w:sz w:val="24"/>
          <w:szCs w:val="24"/>
          <w:lang w:val="en-US" w:eastAsia="zh-CN"/>
        </w:rPr>
      </w:pPr>
    </w:p>
    <w:p>
      <w:pPr>
        <w:pStyle w:val="10"/>
        <w:keepNext w:val="0"/>
        <w:keepLines w:val="0"/>
        <w:pageBreakBefore w:val="0"/>
        <w:widowControl/>
        <w:numPr>
          <w:ilvl w:val="1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color w:val="00000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</w:rPr>
        <w:t>区别于其他同类产品的特征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0"/>
        <w:textAlignment w:val="auto"/>
        <w:rPr>
          <w:rFonts w:hint="default" w:ascii="Times New Roman" w:hAnsi="Times New Roman" w:eastAsia="宋体" w:cs="Times New Roman"/>
          <w:color w:val="000000"/>
          <w:sz w:val="24"/>
          <w:szCs w:val="24"/>
          <w:lang w:val="en-US" w:eastAsia="zh-CN"/>
        </w:rPr>
      </w:pPr>
    </w:p>
    <w:p>
      <w:pPr>
        <w:pStyle w:val="10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bCs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Cs/>
          <w:color w:val="auto"/>
          <w:kern w:val="0"/>
          <w:sz w:val="24"/>
          <w:szCs w:val="24"/>
          <w:lang w:val="en-US" w:eastAsia="zh-CN" w:bidi="ar-SA"/>
        </w:rPr>
        <w:t>申报产品</w:t>
      </w:r>
      <w:r>
        <w:rPr>
          <w:rFonts w:hint="eastAsia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{产品名称}</w:t>
      </w:r>
      <w:r>
        <w:rPr>
          <w:rFonts w:hint="eastAsia" w:ascii="Times New Roman" w:hAnsi="Times New Roman" w:eastAsia="宋体" w:cs="Times New Roman"/>
          <w:bCs/>
          <w:color w:val="auto"/>
          <w:kern w:val="0"/>
          <w:sz w:val="24"/>
          <w:szCs w:val="24"/>
          <w:lang w:val="en-US" w:eastAsia="zh-CN" w:bidi="ar-SA"/>
        </w:rPr>
        <w:t>与同品种医疗器械</w:t>
      </w:r>
      <w:r>
        <w:rPr>
          <w:rFonts w:hint="eastAsia" w:ascii="Times New Roman" w:hAnsi="Times New Roman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{对比产品名称及型号、注册证号、注册人名称 }</w:t>
      </w:r>
      <w:r>
        <w:rPr>
          <w:rFonts w:hint="eastAsia" w:ascii="Times New Roman" w:hAnsi="Times New Roman" w:eastAsia="宋体" w:cs="Times New Roman"/>
          <w:bCs/>
          <w:color w:val="auto"/>
          <w:kern w:val="0"/>
          <w:sz w:val="24"/>
          <w:szCs w:val="24"/>
          <w:lang w:val="en-US" w:eastAsia="zh-CN" w:bidi="ar-SA"/>
        </w:rPr>
        <w:t>等同），具体的对比及说明见注册资料《4. 临床评价资料》。</w:t>
      </w:r>
    </w:p>
    <w:p>
      <w:pPr>
        <w:pStyle w:val="10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bCs/>
          <w:color w:val="auto"/>
          <w:kern w:val="0"/>
          <w:sz w:val="24"/>
          <w:szCs w:val="24"/>
          <w:lang w:val="en-US" w:eastAsia="zh-CN" w:bidi="ar-SA"/>
        </w:rPr>
      </w:pPr>
    </w:p>
    <w:p>
      <w:pPr>
        <w:pStyle w:val="10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bCs/>
          <w:color w:val="auto"/>
          <w:kern w:val="0"/>
          <w:sz w:val="24"/>
          <w:szCs w:val="24"/>
          <w:lang w:val="en-US" w:eastAsia="zh-CN" w:bidi="ar-SA"/>
        </w:rPr>
      </w:pPr>
    </w:p>
    <w:p>
      <w:pPr>
        <w:pStyle w:val="10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bCs/>
          <w:color w:val="auto"/>
          <w:kern w:val="0"/>
          <w:sz w:val="24"/>
          <w:szCs w:val="24"/>
          <w:lang w:val="en-US" w:eastAsia="zh-CN" w:bidi="ar-SA"/>
        </w:rPr>
      </w:pPr>
    </w:p>
    <w:p>
      <w:pPr>
        <w:pStyle w:val="10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bCs/>
          <w:color w:val="auto"/>
          <w:kern w:val="0"/>
          <w:sz w:val="24"/>
          <w:szCs w:val="24"/>
          <w:lang w:val="en-US" w:eastAsia="zh-CN" w:bidi="ar-SA"/>
        </w:rPr>
      </w:pPr>
    </w:p>
    <w:p>
      <w:pPr>
        <w:pStyle w:val="10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bCs/>
          <w:color w:val="auto"/>
          <w:kern w:val="0"/>
          <w:sz w:val="24"/>
          <w:szCs w:val="24"/>
          <w:lang w:val="en-US" w:eastAsia="zh-CN" w:bidi="ar-SA"/>
        </w:rPr>
      </w:pPr>
    </w:p>
    <w:p>
      <w:pPr>
        <w:pStyle w:val="10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bCs/>
          <w:color w:val="auto"/>
          <w:kern w:val="0"/>
          <w:sz w:val="24"/>
          <w:szCs w:val="24"/>
          <w:lang w:val="en-US" w:eastAsia="zh-CN" w:bidi="ar-SA"/>
        </w:rPr>
      </w:pPr>
    </w:p>
    <w:p>
      <w:pPr>
        <w:pStyle w:val="10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bCs/>
          <w:color w:val="auto"/>
          <w:kern w:val="0"/>
          <w:sz w:val="24"/>
          <w:szCs w:val="24"/>
          <w:lang w:val="en-US" w:eastAsia="zh-CN" w:bidi="ar-SA"/>
        </w:rPr>
      </w:pPr>
    </w:p>
    <w:p>
      <w:pPr>
        <w:pStyle w:val="10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bCs/>
          <w:color w:val="auto"/>
          <w:kern w:val="0"/>
          <w:sz w:val="24"/>
          <w:szCs w:val="24"/>
          <w:lang w:val="en-US" w:eastAsia="zh-CN" w:bidi="ar-SA"/>
        </w:rPr>
      </w:pPr>
    </w:p>
    <w:p>
      <w:pPr>
        <w:pStyle w:val="10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bCs/>
          <w:color w:val="auto"/>
          <w:kern w:val="0"/>
          <w:sz w:val="24"/>
          <w:szCs w:val="24"/>
          <w:lang w:val="en-US" w:eastAsia="zh-CN" w:bidi="ar-SA"/>
        </w:rPr>
      </w:pPr>
    </w:p>
    <w:p>
      <w:pPr>
        <w:pStyle w:val="10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bCs/>
          <w:color w:val="auto"/>
          <w:kern w:val="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型号</w:t>
      </w: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tbl>
      <w:tblPr>
        <w:tblStyle w:val="7"/>
        <w:tblW w:w="85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5"/>
        <w:gridCol w:w="2428"/>
        <w:gridCol w:w="2450"/>
        <w:gridCol w:w="2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1015" w:type="dxa"/>
            <w:vMerge w:val="restart"/>
            <w:noWrap w:val="0"/>
            <w:vAlign w:val="center"/>
            <mc:AlternateContent>
              <mc:Choice Requires="wpsCustomData">
                <wpsCustomData:diagonals>
                  <wpsCustomData:diagonal from="10000" to="3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both"/>
              <w:textAlignment w:val="auto"/>
              <mc:AlternateContent>
                <mc:Choice Requires="wpsCustomData">
                  <wpsCustomData:diagonalParaType/>
                </mc:Choice>
              </mc:AlternateContent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  <w:t>比较项目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  <w:t>型号</w:t>
            </w:r>
          </w:p>
        </w:tc>
        <w:tc>
          <w:tcPr>
            <w:tcW w:w="242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  <w:t>型号 1</w:t>
            </w:r>
          </w:p>
        </w:tc>
        <w:tc>
          <w:tcPr>
            <w:tcW w:w="24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  <w:t>型号 2</w:t>
            </w:r>
          </w:p>
        </w:tc>
        <w:tc>
          <w:tcPr>
            <w:tcW w:w="27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  <w:t>型号 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101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auto"/>
            </w:pPr>
          </w:p>
        </w:tc>
        <w:tc>
          <w:tcPr>
            <w:tcW w:w="242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{产品型号}</w:t>
            </w:r>
          </w:p>
        </w:tc>
        <w:tc>
          <w:tcPr>
            <w:tcW w:w="24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{产品型号}</w:t>
            </w:r>
          </w:p>
        </w:tc>
        <w:tc>
          <w:tcPr>
            <w:tcW w:w="27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{产品型号}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0" w:hRule="atLeast"/>
        </w:trPr>
        <w:tc>
          <w:tcPr>
            <w:tcW w:w="101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  <w:t>图片</w:t>
            </w:r>
          </w:p>
        </w:tc>
        <w:tc>
          <w:tcPr>
            <w:tcW w:w="242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{按实际情况填写}</w:t>
            </w:r>
          </w:p>
        </w:tc>
        <w:tc>
          <w:tcPr>
            <w:tcW w:w="24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{按实际情况填写}</w:t>
            </w:r>
          </w:p>
        </w:tc>
        <w:tc>
          <w:tcPr>
            <w:tcW w:w="27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{按实际情况填写}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101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  <w:t>结构组成（配置）</w:t>
            </w:r>
          </w:p>
        </w:tc>
        <w:tc>
          <w:tcPr>
            <w:tcW w:w="242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{按实际情况填写}</w:t>
            </w:r>
          </w:p>
        </w:tc>
        <w:tc>
          <w:tcPr>
            <w:tcW w:w="24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{按实际情况填写}</w:t>
            </w:r>
          </w:p>
        </w:tc>
        <w:tc>
          <w:tcPr>
            <w:tcW w:w="27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{按实际情况填写}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101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  <w:t>功能</w:t>
            </w:r>
          </w:p>
        </w:tc>
        <w:tc>
          <w:tcPr>
            <w:tcW w:w="242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{按实际情况填写}</w:t>
            </w:r>
          </w:p>
        </w:tc>
        <w:tc>
          <w:tcPr>
            <w:tcW w:w="24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{按实际情况填写}</w:t>
            </w:r>
          </w:p>
        </w:tc>
        <w:tc>
          <w:tcPr>
            <w:tcW w:w="27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{按实际情况填写}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101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  <w:t>产品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  <w:t>特征</w:t>
            </w:r>
          </w:p>
        </w:tc>
        <w:tc>
          <w:tcPr>
            <w:tcW w:w="242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{按实际情况填写}</w:t>
            </w:r>
          </w:p>
        </w:tc>
        <w:tc>
          <w:tcPr>
            <w:tcW w:w="24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{按实际情况填写}</w:t>
            </w:r>
          </w:p>
        </w:tc>
        <w:tc>
          <w:tcPr>
            <w:tcW w:w="27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{按实际情况填写}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101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  <w:t>运行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  <w:t>模式</w:t>
            </w:r>
          </w:p>
        </w:tc>
        <w:tc>
          <w:tcPr>
            <w:tcW w:w="242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{按实际情况填写}</w:t>
            </w:r>
          </w:p>
        </w:tc>
        <w:tc>
          <w:tcPr>
            <w:tcW w:w="24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{按实际情况填写}</w:t>
            </w:r>
          </w:p>
        </w:tc>
        <w:tc>
          <w:tcPr>
            <w:tcW w:w="27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{按实际情况填写}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101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Times New Roman" w:hAnsi="Times New Roman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  <w:t>技术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  <w:t>参数</w:t>
            </w:r>
          </w:p>
        </w:tc>
        <w:tc>
          <w:tcPr>
            <w:tcW w:w="242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{按实际情况填写}</w:t>
            </w:r>
          </w:p>
        </w:tc>
        <w:tc>
          <w:tcPr>
            <w:tcW w:w="24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{按实际情况填写}</w:t>
            </w:r>
          </w:p>
        </w:tc>
        <w:tc>
          <w:tcPr>
            <w:tcW w:w="27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i w:val="0"/>
                <w:iCs w:val="0"/>
                <w:color w:val="auto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{按实际情况填写}</w:t>
            </w:r>
          </w:p>
        </w:tc>
      </w:tr>
    </w:tbl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【对于存在多种型号规格的产品，应当明确各型号规格的区别。应当采用对比表或带有说明性文字的图片、图表，描述各种型号规格的结构组成（或配置）、功能、产品特征和运行模式、技术参数等内容。】</w:t>
      </w:r>
    </w:p>
    <w:p>
      <w:pPr>
        <w:pStyle w:val="10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eastAsia="宋体" w:cs="Times New Roman"/>
          <w:bCs/>
          <w:color w:val="auto"/>
          <w:kern w:val="0"/>
          <w:sz w:val="24"/>
          <w:szCs w:val="24"/>
          <w:lang w:val="en-US" w:eastAsia="zh-CN" w:bidi="ar-SA"/>
        </w:rPr>
      </w:pPr>
    </w:p>
    <w:p>
      <w:pPr>
        <w:pStyle w:val="10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eastAsia="宋体" w:cs="Times New Roman"/>
          <w:bCs/>
          <w:color w:val="auto"/>
          <w:kern w:val="0"/>
          <w:sz w:val="24"/>
          <w:szCs w:val="24"/>
          <w:lang w:val="en-US" w:eastAsia="zh-CN" w:bidi="ar-SA"/>
        </w:rPr>
      </w:pPr>
    </w:p>
    <w:p>
      <w:pPr>
        <w:pStyle w:val="10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eastAsia="宋体" w:cs="Times New Roman"/>
          <w:bCs/>
          <w:color w:val="auto"/>
          <w:kern w:val="0"/>
          <w:sz w:val="24"/>
          <w:szCs w:val="24"/>
          <w:lang w:val="en-US" w:eastAsia="zh-CN" w:bidi="ar-SA"/>
        </w:rPr>
      </w:pPr>
    </w:p>
    <w:p>
      <w:pPr>
        <w:pStyle w:val="10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eastAsia="宋体" w:cs="Times New Roman"/>
          <w:bCs/>
          <w:color w:val="auto"/>
          <w:kern w:val="0"/>
          <w:sz w:val="24"/>
          <w:szCs w:val="24"/>
          <w:lang w:val="en-US" w:eastAsia="zh-CN" w:bidi="ar-SA"/>
        </w:rPr>
      </w:pPr>
    </w:p>
    <w:p>
      <w:pPr>
        <w:pStyle w:val="10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eastAsia="宋体" w:cs="Times New Roman"/>
          <w:bCs/>
          <w:color w:val="auto"/>
          <w:kern w:val="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包装说明</w:t>
      </w:r>
    </w:p>
    <w:p>
      <w:pPr>
        <w:pStyle w:val="3"/>
        <w:pageBreakBefore w:val="0"/>
        <w:kinsoku/>
        <w:wordWrap/>
        <w:topLinePunct w:val="0"/>
        <w:bidi w:val="0"/>
        <w:spacing w:before="0" w:after="0" w:line="360" w:lineRule="auto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3.1</w:t>
      </w:r>
      <w:r>
        <w:rPr>
          <w:rFonts w:hint="default" w:ascii="Times New Roman" w:hAnsi="Times New Roman" w:cs="Times New Roman"/>
          <w:sz w:val="24"/>
          <w:szCs w:val="24"/>
        </w:rPr>
        <w:t>包装信息说明</w:t>
      </w:r>
    </w:p>
    <w:p>
      <w:pPr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bCs/>
          <w:kern w:val="0"/>
          <w:sz w:val="24"/>
        </w:rPr>
      </w:pPr>
      <w:r>
        <w:rPr>
          <w:rFonts w:hint="default" w:ascii="Times New Roman" w:hAnsi="Times New Roman" w:cs="Times New Roman"/>
          <w:bCs/>
          <w:kern w:val="0"/>
          <w:sz w:val="24"/>
        </w:rPr>
        <w:t>1）文件应随产品置于相应的独立包装内；</w:t>
      </w:r>
    </w:p>
    <w:p>
      <w:pPr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bCs/>
          <w:kern w:val="0"/>
          <w:sz w:val="24"/>
        </w:rPr>
      </w:pPr>
      <w:r>
        <w:rPr>
          <w:rFonts w:hint="default" w:ascii="Times New Roman" w:hAnsi="Times New Roman" w:cs="Times New Roman"/>
          <w:bCs/>
          <w:kern w:val="0"/>
          <w:sz w:val="24"/>
        </w:rPr>
        <w:t>2）外包装应能保证产品不受机械和自然损坏；</w:t>
      </w:r>
    </w:p>
    <w:p>
      <w:pPr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bCs/>
          <w:kern w:val="0"/>
          <w:sz w:val="24"/>
        </w:rPr>
      </w:pPr>
      <w:r>
        <w:rPr>
          <w:rFonts w:hint="default" w:ascii="Times New Roman" w:hAnsi="Times New Roman" w:cs="Times New Roman"/>
          <w:bCs/>
          <w:kern w:val="0"/>
          <w:sz w:val="24"/>
        </w:rPr>
        <w:t>3）随机文件应有产品说明书，装箱清单；</w:t>
      </w:r>
    </w:p>
    <w:p>
      <w:pPr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bCs/>
          <w:kern w:val="0"/>
          <w:sz w:val="24"/>
        </w:rPr>
      </w:pPr>
      <w:r>
        <w:rPr>
          <w:rFonts w:hint="default" w:ascii="Times New Roman" w:hAnsi="Times New Roman" w:cs="Times New Roman"/>
          <w:bCs/>
          <w:kern w:val="0"/>
          <w:sz w:val="24"/>
        </w:rPr>
        <w:t>4）包装外部标识应符合GB/T 191-2008、YY/T 0466.1-2016</w:t>
      </w:r>
      <w:r>
        <w:rPr>
          <w:rFonts w:hint="eastAsia" w:cs="Times New Roman"/>
          <w:bCs/>
          <w:kern w:val="0"/>
          <w:sz w:val="24"/>
          <w:lang w:val="en-US" w:eastAsia="zh-CN"/>
        </w:rPr>
        <w:t>的要求</w:t>
      </w:r>
      <w:r>
        <w:rPr>
          <w:rFonts w:hint="default" w:ascii="Times New Roman" w:hAnsi="Times New Roman" w:cs="Times New Roman"/>
          <w:bCs/>
          <w:kern w:val="0"/>
          <w:sz w:val="24"/>
        </w:rPr>
        <w:t>。</w:t>
      </w:r>
    </w:p>
    <w:p>
      <w:pPr>
        <w:pStyle w:val="3"/>
        <w:pageBreakBefore w:val="0"/>
        <w:kinsoku/>
        <w:wordWrap/>
        <w:topLinePunct w:val="0"/>
        <w:bidi w:val="0"/>
        <w:spacing w:before="0" w:after="0" w:line="360" w:lineRule="auto"/>
        <w:textAlignment w:val="auto"/>
        <w:rPr>
          <w:rFonts w:hint="default" w:ascii="Times New Roman" w:hAnsi="Times New Roman" w:cs="Times New Roman"/>
          <w:sz w:val="24"/>
          <w:szCs w:val="24"/>
        </w:rPr>
      </w:pPr>
      <w:bookmarkStart w:id="1" w:name="_Toc587"/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3.2</w:t>
      </w:r>
      <w:r>
        <w:rPr>
          <w:rFonts w:hint="default" w:ascii="Times New Roman" w:hAnsi="Times New Roman" w:cs="Times New Roman"/>
          <w:sz w:val="24"/>
          <w:szCs w:val="24"/>
        </w:rPr>
        <w:t>包装方式说明</w:t>
      </w:r>
      <w:bookmarkEnd w:id="1"/>
    </w:p>
    <w:p>
      <w:pPr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eastAsia="宋体" w:cs="Times New Roman"/>
          <w:bCs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bCs/>
          <w:kern w:val="0"/>
          <w:sz w:val="24"/>
          <w:lang w:val="en-US" w:eastAsia="zh-CN"/>
        </w:rPr>
        <w:t>3.2.1</w:t>
      </w:r>
      <w:r>
        <w:rPr>
          <w:rFonts w:hint="default" w:ascii="Times New Roman" w:hAnsi="Times New Roman" w:cs="Times New Roman"/>
          <w:bCs/>
          <w:kern w:val="0"/>
          <w:sz w:val="24"/>
        </w:rPr>
        <w:t>无菌屏障系统</w:t>
      </w: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{填写无菌屏障系统的描述，包装方式}</w:t>
      </w: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bCs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Cs/>
          <w:kern w:val="0"/>
          <w:sz w:val="24"/>
          <w:szCs w:val="24"/>
          <w:lang w:val="en-US" w:eastAsia="zh-CN" w:bidi="ar-SA"/>
        </w:rPr>
        <w:t>3.2.1.1 纸</w:t>
      </w: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{</w:t>
      </w: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克重：</w:t>
      </w: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生产厂家：</w:t>
      </w: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规格：</w:t>
      </w: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.....</w:t>
      </w: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}</w:t>
      </w: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【填写可以识别纸的信息】</w:t>
      </w: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bCs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Cs/>
          <w:kern w:val="0"/>
          <w:sz w:val="24"/>
          <w:szCs w:val="24"/>
          <w:lang w:val="en-US" w:eastAsia="zh-CN" w:bidi="ar-SA"/>
        </w:rPr>
        <w:t>3.2.1.2 膜</w:t>
      </w: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{</w:t>
      </w: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厚度：</w:t>
      </w: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生产厂家：</w:t>
      </w: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规格：</w:t>
      </w: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....</w:t>
      </w: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}</w:t>
      </w:r>
    </w:p>
    <w:p>
      <w:pPr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【填写可以识别膜的信息】</w:t>
      </w: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ascii="Times New Roman" w:hAnsi="Times New Roman" w:eastAsia="宋体" w:cs="Times New Roman"/>
          <w:bCs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Cs/>
          <w:kern w:val="0"/>
          <w:sz w:val="24"/>
          <w:szCs w:val="24"/>
          <w:lang w:val="en-US" w:eastAsia="zh-CN" w:bidi="ar-SA"/>
        </w:rPr>
        <w:t>3.2.2</w:t>
      </w:r>
      <w:r>
        <w:rPr>
          <w:rFonts w:hint="default" w:ascii="Times New Roman" w:hAnsi="Times New Roman" w:eastAsia="宋体" w:cs="Times New Roman"/>
          <w:bCs/>
          <w:kern w:val="0"/>
          <w:sz w:val="24"/>
          <w:szCs w:val="24"/>
          <w:lang w:val="en-US" w:eastAsia="zh-CN" w:bidi="ar-SA"/>
        </w:rPr>
        <w:t>微生物限度的包装信息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ascii="Times New Roman" w:hAnsi="Times New Roman" w:eastAsia="宋体" w:cs="Times New Roman"/>
          <w:bCs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Cs/>
          <w:kern w:val="0"/>
          <w:sz w:val="24"/>
          <w:szCs w:val="24"/>
          <w:lang w:val="en-US" w:eastAsia="zh-CN" w:bidi="ar-SA"/>
        </w:rPr>
        <w:t>同3.2.1</w:t>
      </w: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ascii="Times New Roman" w:hAnsi="Times New Roman" w:eastAsia="宋体" w:cs="Times New Roman"/>
          <w:bCs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Cs/>
          <w:kern w:val="0"/>
          <w:sz w:val="24"/>
          <w:szCs w:val="24"/>
          <w:lang w:val="en-US" w:eastAsia="zh-CN" w:bidi="ar-SA"/>
        </w:rPr>
        <w:t>3.2.3</w:t>
      </w:r>
      <w:r>
        <w:rPr>
          <w:rFonts w:hint="default" w:ascii="Times New Roman" w:hAnsi="Times New Roman" w:eastAsia="宋体" w:cs="Times New Roman"/>
          <w:bCs/>
          <w:kern w:val="0"/>
          <w:sz w:val="24"/>
          <w:szCs w:val="24"/>
          <w:lang w:val="en-US" w:eastAsia="zh-CN" w:bidi="ar-SA"/>
        </w:rPr>
        <w:t>辨识包装的完整性</w:t>
      </w: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{</w:t>
      </w: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可参考说明书中的说明进行识别。</w:t>
      </w: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}</w:t>
      </w:r>
    </w:p>
    <w:p>
      <w:pPr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【可按照实际情况填写】</w:t>
      </w: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/>
        </w:rPr>
      </w:pP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eastAsia="宋体" w:cs="Times New Roman"/>
          <w:bCs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Cs/>
          <w:kern w:val="0"/>
          <w:sz w:val="24"/>
          <w:szCs w:val="24"/>
          <w:lang w:val="en-US" w:eastAsia="zh-CN" w:bidi="ar-SA"/>
        </w:rPr>
        <w:t xml:space="preserve">3.2.4 </w:t>
      </w:r>
      <w:r>
        <w:rPr>
          <w:rFonts w:hint="eastAsia" w:ascii="Times New Roman" w:hAnsi="Times New Roman" w:cs="Times New Roman"/>
          <w:bCs/>
          <w:kern w:val="0"/>
          <w:sz w:val="24"/>
          <w:szCs w:val="24"/>
          <w:lang w:val="en-US" w:eastAsia="zh-CN" w:bidi="ar-SA"/>
        </w:rPr>
        <w:t>外包装</w:t>
      </w:r>
    </w:p>
    <w:p>
      <w:pPr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(</w:t>
      </w:r>
    </w:p>
    <w:p>
      <w:pPr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产品包装方式为</w:t>
      </w: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护套+外箱</w:t>
      </w:r>
      <w:r>
        <w:rPr>
          <w:rFonts w:hint="default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包装。所有型号包装尺寸一致，具体信息如下</w:t>
      </w: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：</w:t>
      </w:r>
    </w:p>
    <w:tbl>
      <w:tblPr>
        <w:tblStyle w:val="6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7"/>
        <w:gridCol w:w="3354"/>
        <w:gridCol w:w="335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7" w:type="dxa"/>
            <w:noWrap w:val="0"/>
            <w:vAlign w:val="top"/>
          </w:tcPr>
          <w:p>
            <w:pPr>
              <w:pageBreakBefore w:val="0"/>
              <w:kinsoku/>
              <w:wordWrap/>
              <w:topLinePunct w:val="0"/>
              <w:bidi w:val="0"/>
              <w:spacing w:line="360" w:lineRule="auto"/>
              <w:textAlignment w:val="auto"/>
              <w:rPr>
                <w:rFonts w:hint="default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包装信息</w:t>
            </w:r>
          </w:p>
        </w:tc>
        <w:tc>
          <w:tcPr>
            <w:tcW w:w="3354" w:type="dxa"/>
            <w:noWrap w:val="0"/>
            <w:vAlign w:val="top"/>
          </w:tcPr>
          <w:p>
            <w:pPr>
              <w:pageBreakBefore w:val="0"/>
              <w:kinsoku/>
              <w:wordWrap/>
              <w:topLinePunct w:val="0"/>
              <w:bidi w:val="0"/>
              <w:spacing w:line="360" w:lineRule="auto"/>
              <w:textAlignment w:val="auto"/>
              <w:rPr>
                <w:rFonts w:hint="default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护套</w:t>
            </w:r>
          </w:p>
        </w:tc>
        <w:tc>
          <w:tcPr>
            <w:tcW w:w="3355" w:type="dxa"/>
            <w:noWrap w:val="0"/>
            <w:vAlign w:val="top"/>
          </w:tcPr>
          <w:p>
            <w:pPr>
              <w:pageBreakBefore w:val="0"/>
              <w:kinsoku/>
              <w:wordWrap/>
              <w:topLinePunct w:val="0"/>
              <w:bidi w:val="0"/>
              <w:spacing w:line="360" w:lineRule="auto"/>
              <w:textAlignment w:val="auto"/>
              <w:rPr>
                <w:rFonts w:hint="default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外箱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7" w:type="dxa"/>
            <w:noWrap w:val="0"/>
            <w:vAlign w:val="top"/>
          </w:tcPr>
          <w:p>
            <w:pPr>
              <w:pageBreakBefore w:val="0"/>
              <w:kinsoku/>
              <w:wordWrap/>
              <w:topLinePunct w:val="0"/>
              <w:bidi w:val="0"/>
              <w:spacing w:line="360" w:lineRule="auto"/>
              <w:textAlignment w:val="auto"/>
              <w:rPr>
                <w:rFonts w:hint="default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装入数量</w:t>
            </w:r>
          </w:p>
        </w:tc>
        <w:tc>
          <w:tcPr>
            <w:tcW w:w="3354" w:type="dxa"/>
            <w:noWrap w:val="0"/>
            <w:vAlign w:val="top"/>
          </w:tcPr>
          <w:p>
            <w:pPr>
              <w:pageBreakBefore w:val="0"/>
              <w:kinsoku/>
              <w:wordWrap/>
              <w:topLinePunct w:val="0"/>
              <w:bidi w:val="0"/>
              <w:spacing w:line="360" w:lineRule="auto"/>
              <w:textAlignment w:val="auto"/>
              <w:rPr>
                <w:rFonts w:hint="default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2 pcs</w:t>
            </w:r>
          </w:p>
        </w:tc>
        <w:tc>
          <w:tcPr>
            <w:tcW w:w="3355" w:type="dxa"/>
            <w:noWrap w:val="0"/>
            <w:vAlign w:val="top"/>
          </w:tcPr>
          <w:p>
            <w:pPr>
              <w:pageBreakBefore w:val="0"/>
              <w:kinsoku/>
              <w:wordWrap/>
              <w:topLinePunct w:val="0"/>
              <w:bidi w:val="0"/>
              <w:spacing w:line="360" w:lineRule="auto"/>
              <w:textAlignment w:val="auto"/>
              <w:rPr>
                <w:rFonts w:hint="default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1 pcs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7" w:type="dxa"/>
            <w:noWrap w:val="0"/>
            <w:vAlign w:val="top"/>
          </w:tcPr>
          <w:p>
            <w:pPr>
              <w:pageBreakBefore w:val="0"/>
              <w:kinsoku/>
              <w:wordWrap/>
              <w:topLinePunct w:val="0"/>
              <w:bidi w:val="0"/>
              <w:spacing w:line="360" w:lineRule="auto"/>
              <w:textAlignment w:val="auto"/>
              <w:rPr>
                <w:rFonts w:hint="default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材质</w:t>
            </w:r>
          </w:p>
        </w:tc>
        <w:tc>
          <w:tcPr>
            <w:tcW w:w="6709" w:type="dxa"/>
            <w:gridSpan w:val="2"/>
            <w:noWrap w:val="0"/>
            <w:vAlign w:val="top"/>
          </w:tcPr>
          <w:p>
            <w:pPr>
              <w:pageBreakBefore w:val="0"/>
              <w:kinsoku/>
              <w:wordWrap/>
              <w:topLinePunct w:val="0"/>
              <w:bidi w:val="0"/>
              <w:spacing w:line="360" w:lineRule="auto"/>
              <w:textAlignment w:val="auto"/>
              <w:rPr>
                <w:rFonts w:hint="default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珍珠棉、瓦楞纸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7" w:type="dxa"/>
            <w:noWrap w:val="0"/>
            <w:vAlign w:val="top"/>
          </w:tcPr>
          <w:p>
            <w:pPr>
              <w:pageBreakBefore w:val="0"/>
              <w:kinsoku/>
              <w:wordWrap/>
              <w:topLinePunct w:val="0"/>
              <w:bidi w:val="0"/>
              <w:spacing w:line="360" w:lineRule="auto"/>
              <w:textAlignment w:val="auto"/>
              <w:rPr>
                <w:rFonts w:hint="default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尺寸</w:t>
            </w:r>
          </w:p>
        </w:tc>
        <w:tc>
          <w:tcPr>
            <w:tcW w:w="6709" w:type="dxa"/>
            <w:gridSpan w:val="2"/>
            <w:noWrap w:val="0"/>
            <w:vAlign w:val="top"/>
          </w:tcPr>
          <w:p>
            <w:pPr>
              <w:pageBreakBefore w:val="0"/>
              <w:kinsoku/>
              <w:wordWrap/>
              <w:topLinePunct w:val="0"/>
              <w:bidi w:val="0"/>
              <w:spacing w:line="360" w:lineRule="auto"/>
              <w:textAlignment w:val="auto"/>
              <w:rPr>
                <w:rFonts w:hint="default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W*H*D=</w:t>
            </w:r>
            <w:r>
              <w:rPr>
                <w:rFonts w:hint="eastAsia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4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60mm*</w:t>
            </w:r>
            <w:r>
              <w:rPr>
                <w:rFonts w:hint="eastAsia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3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i/>
                <w:iCs/>
                <w:color w:val="0000FF"/>
                <w:kern w:val="0"/>
                <w:sz w:val="24"/>
                <w:szCs w:val="24"/>
                <w:lang w:val="en-US" w:eastAsia="zh-CN" w:bidi="ar-SA"/>
              </w:rPr>
              <w:t>25mm*495mm</w:t>
            </w:r>
          </w:p>
        </w:tc>
      </w:tr>
    </w:tbl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)</w:t>
      </w: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【按照实际情况填写】</w:t>
      </w:r>
    </w:p>
    <w:p>
      <w:pPr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【</w:t>
      </w:r>
    </w:p>
    <w:p>
      <w:pPr>
        <w:pageBreakBefore w:val="0"/>
        <w:numPr>
          <w:ilvl w:val="0"/>
          <w:numId w:val="3"/>
        </w:numPr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说明所有产品组成的包装信息。对于无菌医疗器械，应当说明其无菌屏障系统的信息；对于具有微生物限度要求的医疗器械，应当说明保持其微生物限度的包装信息。说明如何确保最终使用者可清晰地辨识包装的完整性。</w:t>
      </w:r>
    </w:p>
    <w:p>
      <w:pPr>
        <w:pageBreakBefore w:val="0"/>
        <w:numPr>
          <w:ilvl w:val="0"/>
          <w:numId w:val="3"/>
        </w:numPr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若使用者在进行灭菌前需要包装医疗器械或附件时，应当提供正确包装的信息（如材料、成分和尺寸等）。</w:t>
      </w:r>
    </w:p>
    <w:p>
      <w:pPr>
        <w:pageBreakBefore w:val="0"/>
        <w:numPr>
          <w:ilvl w:val="0"/>
          <w:numId w:val="0"/>
        </w:numPr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】</w:t>
      </w:r>
    </w:p>
    <w:p>
      <w:pPr>
        <w:pStyle w:val="2"/>
        <w:pageBreakBefore w:val="0"/>
        <w:numPr>
          <w:ilvl w:val="0"/>
          <w:numId w:val="0"/>
        </w:numPr>
        <w:kinsoku/>
        <w:wordWrap/>
        <w:topLinePunct w:val="0"/>
        <w:bidi w:val="0"/>
        <w:spacing w:line="360" w:lineRule="auto"/>
        <w:textAlignment w:val="auto"/>
        <w:rPr>
          <w:rFonts w:hint="eastAsia"/>
          <w:lang w:eastAsia="zh-CN"/>
        </w:rPr>
      </w:pP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>
      <w:pPr>
        <w:pStyle w:val="10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eastAsia="宋体" w:cs="Times New Roman"/>
          <w:bCs/>
          <w:color w:val="auto"/>
          <w:kern w:val="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>研发历程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4.1 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申请注册产品的研发背景和目的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{按照实际情况填写}</w:t>
      </w: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cs="Times New Roman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4.2 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参考的同类产品（国内外已上市）或前代产品（如有）</w:t>
      </w:r>
    </w:p>
    <w:p>
      <w:pPr>
        <w:pStyle w:val="10"/>
        <w:keepNext w:val="0"/>
        <w:keepLines w:val="0"/>
        <w:pageBreakBefore w:val="0"/>
        <w:kinsoku/>
        <w:wordWrap/>
        <w:topLinePunct w:val="0"/>
        <w:bidi w:val="0"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4.2.1 </w:t>
      </w:r>
      <w:r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</w:rPr>
        <w:t>同类产品或前代产品的信息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{按照实际情况填写}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4.2.2.选择</w:t>
      </w:r>
      <w:r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</w:rPr>
        <w:t>同类产品或前代产品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作为研发参考的原因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{按照实际情况填写}</w:t>
      </w: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kern w:val="2"/>
          <w:sz w:val="24"/>
          <w:szCs w:val="24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kern w:val="2"/>
          <w:sz w:val="24"/>
          <w:szCs w:val="24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 w:val="0"/>
          <w:i/>
          <w:iCs/>
          <w:color w:val="0000FF"/>
          <w:kern w:val="0"/>
          <w:sz w:val="24"/>
          <w:szCs w:val="24"/>
          <w:lang w:val="en-US" w:eastAsia="zh-CN" w:bidi="ar-SA"/>
        </w:rPr>
        <w:t>【阐述申请注册产品的研发背景和目的。如有参考的同类产品或前代产品，应当提供同类产品或前代产品的信息，并说明选择其作为研发参考的原因。】</w:t>
      </w: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kern w:val="2"/>
          <w:sz w:val="24"/>
          <w:szCs w:val="24"/>
          <w:highlight w:val="none"/>
          <w:lang w:val="en-US" w:eastAsia="zh-CN" w:bidi="ar-SA"/>
        </w:rPr>
      </w:pP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kern w:val="2"/>
          <w:sz w:val="24"/>
          <w:szCs w:val="24"/>
          <w:highlight w:val="none"/>
          <w:lang w:val="en-US" w:eastAsia="zh-CN" w:bidi="ar-SA"/>
        </w:rPr>
      </w:pPr>
    </w:p>
    <w:p>
      <w:pPr>
        <w:pStyle w:val="2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Times New Roman" w:hAnsi="Times New Roman" w:eastAsia="宋体" w:cs="Times New Roman"/>
          <w:kern w:val="2"/>
          <w:sz w:val="24"/>
          <w:szCs w:val="24"/>
          <w:highlight w:val="none"/>
          <w:lang w:val="en-US" w:eastAsia="zh-CN" w:bidi="ar-SA"/>
        </w:rPr>
      </w:pPr>
    </w:p>
    <w:p>
      <w:pPr>
        <w:pStyle w:val="10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eastAsia="宋体" w:cs="Times New Roman"/>
          <w:bCs/>
          <w:color w:val="auto"/>
          <w:kern w:val="0"/>
          <w:sz w:val="24"/>
          <w:szCs w:val="24"/>
          <w:lang w:val="en-US" w:eastAsia="zh-CN" w:bidi="ar-SA"/>
        </w:rPr>
      </w:pPr>
    </w:p>
    <w:p>
      <w:pPr>
        <w:pStyle w:val="10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eastAsia="宋体" w:cs="Times New Roman"/>
          <w:bCs/>
          <w:color w:val="auto"/>
          <w:kern w:val="0"/>
          <w:sz w:val="24"/>
          <w:szCs w:val="24"/>
          <w:lang w:val="en-US" w:eastAsia="zh-CN" w:bidi="ar-SA"/>
        </w:rPr>
      </w:pPr>
    </w:p>
    <w:p>
      <w:pPr>
        <w:pStyle w:val="10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eastAsia="宋体" w:cs="Times New Roman"/>
          <w:bCs/>
          <w:color w:val="auto"/>
          <w:kern w:val="0"/>
          <w:sz w:val="24"/>
          <w:szCs w:val="24"/>
          <w:lang w:val="en-US" w:eastAsia="zh-CN" w:bidi="ar-SA"/>
        </w:rPr>
      </w:pPr>
    </w:p>
    <w:p>
      <w:pPr>
        <w:pStyle w:val="10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eastAsia="宋体" w:cs="Times New Roman"/>
          <w:bCs/>
          <w:color w:val="auto"/>
          <w:kern w:val="0"/>
          <w:sz w:val="24"/>
          <w:szCs w:val="24"/>
          <w:lang w:val="en-US" w:eastAsia="zh-CN" w:bidi="ar-SA"/>
        </w:rPr>
      </w:pPr>
    </w:p>
    <w:p>
      <w:pPr>
        <w:pStyle w:val="10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eastAsia="宋体" w:cs="Times New Roman"/>
          <w:bCs/>
          <w:color w:val="auto"/>
          <w:kern w:val="0"/>
          <w:sz w:val="24"/>
          <w:szCs w:val="24"/>
          <w:lang w:val="en-US" w:eastAsia="zh-CN" w:bidi="ar-SA"/>
        </w:rPr>
      </w:pPr>
    </w:p>
    <w:p>
      <w:pPr>
        <w:pStyle w:val="10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eastAsia="宋体" w:cs="Times New Roman"/>
          <w:bCs/>
          <w:color w:val="auto"/>
          <w:kern w:val="0"/>
          <w:sz w:val="24"/>
          <w:szCs w:val="24"/>
          <w:lang w:val="en-US" w:eastAsia="zh-CN" w:bidi="ar-SA"/>
        </w:rPr>
      </w:pPr>
    </w:p>
    <w:p>
      <w:pPr>
        <w:pStyle w:val="10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eastAsia="宋体" w:cs="Times New Roman"/>
          <w:bCs/>
          <w:color w:val="auto"/>
          <w:kern w:val="0"/>
          <w:sz w:val="24"/>
          <w:szCs w:val="24"/>
          <w:lang w:val="en-US" w:eastAsia="zh-CN" w:bidi="ar-SA"/>
        </w:rPr>
      </w:pPr>
    </w:p>
    <w:p>
      <w:pPr>
        <w:pStyle w:val="10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eastAsia="宋体" w:cs="Times New Roman"/>
          <w:bCs/>
          <w:color w:val="auto"/>
          <w:kern w:val="0"/>
          <w:sz w:val="24"/>
          <w:szCs w:val="24"/>
          <w:lang w:val="en-US" w:eastAsia="zh-CN" w:bidi="ar-SA"/>
        </w:rPr>
      </w:pPr>
    </w:p>
    <w:p>
      <w:pPr>
        <w:pStyle w:val="10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eastAsia="宋体" w:cs="Times New Roman"/>
          <w:bCs/>
          <w:color w:val="auto"/>
          <w:kern w:val="0"/>
          <w:sz w:val="24"/>
          <w:szCs w:val="24"/>
          <w:lang w:val="en-US" w:eastAsia="zh-CN" w:bidi="ar-SA"/>
        </w:rPr>
      </w:pPr>
    </w:p>
    <w:p>
      <w:pPr>
        <w:pStyle w:val="10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eastAsia="宋体" w:cs="Times New Roman"/>
          <w:bCs/>
          <w:color w:val="auto"/>
          <w:kern w:val="0"/>
          <w:sz w:val="24"/>
          <w:szCs w:val="24"/>
          <w:lang w:val="en-US" w:eastAsia="zh-CN" w:bidi="ar-SA"/>
        </w:rPr>
      </w:pPr>
    </w:p>
    <w:p>
      <w:pPr>
        <w:pStyle w:val="10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default" w:ascii="Times New Roman" w:hAnsi="Times New Roman" w:eastAsia="宋体" w:cs="Times New Roman"/>
          <w:bCs/>
          <w:color w:val="auto"/>
          <w:kern w:val="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与同类和/或前代产品的参考和比较</w:t>
      </w:r>
    </w:p>
    <w:p>
      <w:pPr>
        <w:pStyle w:val="10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见临床评价报告。</w:t>
      </w:r>
    </w:p>
    <w:p>
      <w:pPr>
        <w:pStyle w:val="10"/>
        <w:pageBreakBefore w:val="0"/>
        <w:kinsoku/>
        <w:wordWrap/>
        <w:topLinePunct w:val="0"/>
        <w:bidi w:val="0"/>
        <w:spacing w:line="360" w:lineRule="auto"/>
        <w:textAlignment w:val="auto"/>
        <w:rPr>
          <w:rFonts w:hint="eastAsia"/>
          <w:lang w:eastAsia="zh-CN"/>
        </w:rPr>
      </w:pPr>
    </w:p>
    <w:p>
      <w:pPr>
        <w:pStyle w:val="10"/>
        <w:rPr>
          <w:rFonts w:hint="default" w:ascii="Times New Roman" w:hAnsi="Times New Roman" w:eastAsia="宋体" w:cs="Times New Roman"/>
          <w:bCs/>
          <w:color w:val="auto"/>
          <w:kern w:val="0"/>
          <w:sz w:val="24"/>
          <w:szCs w:val="24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Univers 57 Condensed">
    <w:altName w:val="宋体"/>
    <w:panose1 w:val="00000000000000000000"/>
    <w:charset w:val="86"/>
    <w:family w:val="swiss"/>
    <w:pitch w:val="default"/>
    <w:sig w:usb0="00000000" w:usb1="00000000" w:usb2="00000000" w:usb3="00000000" w:csb0="00000093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left" w:pos="6391"/>
        <w:tab w:val="clear" w:pos="4153"/>
      </w:tabs>
      <w:jc w:val="left"/>
      <w:rPr>
        <w:rFonts w:hint="eastAsia" w:ascii="宋体" w:hAnsi="宋体" w:eastAsia="宋体" w:cs="宋体"/>
        <w:b/>
        <w:bCs/>
        <w:sz w:val="18"/>
        <w:szCs w:val="18"/>
        <w:lang w:val="en-US" w:eastAsia="zh-CN"/>
      </w:rPr>
    </w:pPr>
  </w:p>
  <w:p>
    <w:pPr>
      <w:pStyle w:val="4"/>
      <w:tabs>
        <w:tab w:val="left" w:pos="6391"/>
        <w:tab w:val="clear" w:pos="4153"/>
      </w:tabs>
      <w:jc w:val="left"/>
    </w:pPr>
    <w:r>
      <w:rPr>
        <w:rFonts w:hint="eastAsia" w:ascii="宋体" w:hAnsi="宋体" w:eastAsia="宋体" w:cs="宋体"/>
        <w:b/>
        <w:bCs/>
        <w:sz w:val="18"/>
        <w:szCs w:val="18"/>
        <w:lang w:val="en-US" w:eastAsia="zh-CN"/>
      </w:rPr>
      <w:t>专业带去价值，服务赢来美誉!                                   模板仅供参考，请以法规要求为准。</w:t>
    </w:r>
    <w:r>
      <w:rPr>
        <w:sz w:val="18"/>
      </w:rPr>
      <w:pict>
        <v:shape id="_x0000_s3073" o:spid="_x0000_s3073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4"/>
                </w:pPr>
                <w:r>
                  <w:t xml:space="preserve">第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t xml:space="preserve"> 页 共 </w:t>
                </w:r>
                <w:r>
                  <w:fldChar w:fldCharType="begin"/>
                </w:r>
                <w:r>
                  <w:instrText xml:space="preserve"> NUMPAGES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t xml:space="preserve"> 页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bottom"/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33020</wp:posOffset>
          </wp:positionH>
          <wp:positionV relativeFrom="paragraph">
            <wp:posOffset>2540</wp:posOffset>
          </wp:positionV>
          <wp:extent cx="621030" cy="613410"/>
          <wp:effectExtent l="0" t="0" r="7620" b="15240"/>
          <wp:wrapSquare wrapText="bothSides"/>
          <wp:docPr id="4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030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宋体" w:hAnsi="宋体" w:eastAsia="宋体" w:cs="宋体"/>
        <w:b/>
        <w:bCs/>
        <w:color w:val="auto"/>
        <w:sz w:val="21"/>
        <w:szCs w:val="21"/>
      </w:rPr>
      <w:drawing>
        <wp:inline distT="0" distB="0" distL="114300" distR="114300">
          <wp:extent cx="846455" cy="608965"/>
          <wp:effectExtent l="0" t="0" r="10795" b="635"/>
          <wp:docPr id="5" name="图片 5" descr="C:\Users\Administrator\Desktop\模板图标3.png模板图标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Administrator\Desktop\模板图标3.png模板图标3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6455" cy="608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C00000"/>
        <w:sz w:val="21"/>
        <w:szCs w:val="21"/>
      </w:rPr>
      <w:t>医械企业一站式知识平台！</w:t>
    </w:r>
    <w:r>
      <w:rPr>
        <w:rFonts w:hint="eastAsia" w:ascii="宋体" w:hAnsi="宋体" w:eastAsia="宋体" w:cs="宋体"/>
        <w:b/>
        <w:bCs/>
        <w:color w:val="auto"/>
        <w:sz w:val="21"/>
        <w:szCs w:val="21"/>
        <w:lang w:val="en-US" w:eastAsia="zh-CN"/>
      </w:rPr>
      <w:t xml:space="preserve">                  联系龙德获取更多知识!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A2B410"/>
    <w:multiLevelType w:val="multilevel"/>
    <w:tmpl w:val="8FA2B410"/>
    <w:lvl w:ilvl="0" w:tentative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>
    <w:nsid w:val="0599173E"/>
    <w:multiLevelType w:val="singleLevel"/>
    <w:tmpl w:val="0599173E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2C996EDE"/>
    <w:multiLevelType w:val="singleLevel"/>
    <w:tmpl w:val="2C996ED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DBmYjRiMDBmOWY5NmEyZDFkMWY5ZWYwN2E4OThiMGEifQ=="/>
  </w:docVars>
  <w:rsids>
    <w:rsidRoot w:val="002239B9"/>
    <w:rsid w:val="000857AE"/>
    <w:rsid w:val="00086FB7"/>
    <w:rsid w:val="000D6BCA"/>
    <w:rsid w:val="002239B9"/>
    <w:rsid w:val="008D66A9"/>
    <w:rsid w:val="00B41D81"/>
    <w:rsid w:val="00DB106B"/>
    <w:rsid w:val="04D55F72"/>
    <w:rsid w:val="19DA2300"/>
    <w:rsid w:val="1E907AE9"/>
    <w:rsid w:val="231D1ECF"/>
    <w:rsid w:val="25EA2CA7"/>
    <w:rsid w:val="3B07083A"/>
    <w:rsid w:val="42491C0F"/>
    <w:rsid w:val="46561FD1"/>
    <w:rsid w:val="4B950155"/>
    <w:rsid w:val="52727066"/>
    <w:rsid w:val="543A6A17"/>
    <w:rsid w:val="5854681A"/>
    <w:rsid w:val="5B3D4524"/>
    <w:rsid w:val="62D83FC8"/>
    <w:rsid w:val="638C3F6B"/>
    <w:rsid w:val="70226573"/>
    <w:rsid w:val="73041C9C"/>
    <w:rsid w:val="7E194322"/>
    <w:rsid w:val="7E8F578B"/>
    <w:rsid w:val="BE5AE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_Style 2"/>
    <w:qFormat/>
    <w:uiPriority w:val="1"/>
    <w:pPr>
      <w:adjustRightInd w:val="0"/>
      <w:snapToGrid w:val="0"/>
    </w:pPr>
    <w:rPr>
      <w:rFonts w:ascii="Tahoma" w:hAnsi="Tahoma" w:eastAsia="宋体" w:cs="Times New Roman"/>
      <w:sz w:val="22"/>
      <w:szCs w:val="22"/>
      <w:lang w:val="en-US" w:eastAsia="zh-CN" w:bidi="ar-SA"/>
    </w:rPr>
  </w:style>
  <w:style w:type="paragraph" w:styleId="4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9">
    <w:name w:val="Hyperlink"/>
    <w:basedOn w:val="8"/>
    <w:uiPriority w:val="0"/>
    <w:rPr>
      <w:color w:val="0000FF"/>
      <w:u w:val="single"/>
    </w:rPr>
  </w:style>
  <w:style w:type="paragraph" w:customStyle="1" w:styleId="10">
    <w:name w:val="Default"/>
    <w:qFormat/>
    <w:uiPriority w:val="0"/>
    <w:pPr>
      <w:widowControl w:val="0"/>
      <w:autoSpaceDE w:val="0"/>
      <w:autoSpaceDN w:val="0"/>
      <w:adjustRightInd w:val="0"/>
    </w:pPr>
    <w:rPr>
      <w:rFonts w:ascii="Univers 57 Condensed" w:hAnsi="Times New Roman" w:eastAsia="Univers 57 Condensed" w:cs="Univers 57 Condensed"/>
      <w:color w:val="000000"/>
      <w:sz w:val="24"/>
      <w:szCs w:val="24"/>
      <w:lang w:val="en-US" w:eastAsia="zh-CN" w:bidi="ar-SA"/>
    </w:rPr>
  </w:style>
  <w:style w:type="character" w:customStyle="1" w:styleId="11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4"/>
    <w:semiHidden/>
    <w:qFormat/>
    <w:uiPriority w:val="99"/>
    <w:rPr>
      <w:sz w:val="18"/>
      <w:szCs w:val="18"/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12</Pages>
  <Words>2136</Words>
  <Characters>2256</Characters>
  <Lines>1</Lines>
  <Paragraphs>1</Paragraphs>
  <TotalTime>4</TotalTime>
  <ScaleCrop>false</ScaleCrop>
  <LinksUpToDate>false</LinksUpToDate>
  <CharactersWithSpaces>2346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2021-04-15T15:49:00Z</dcterms:created>
  <dc:creator>龙德</dc:creator>
  <cp:lastModifiedBy>ASUS</cp:lastModifiedBy>
  <dcterms:modified xsi:type="dcterms:W3CDTF">2023-04-20T07:55:31Z</dcterms:modified>
  <dc:subject>医械宝模板仅供参考，具体以法规要求为准。需要更多医械宝信息请联系龙德。</dc:subject>
  <dc:title>医械宝模板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276E00956E904AD9B0009AAEEE1D5F38</vt:lpwstr>
  </property>
</Properties>
</file>