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2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pStyle w:val="2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  <w:t>2.2概述</w:t>
      </w:r>
    </w:p>
    <w:p>
      <w:pPr>
        <w:pStyle w:val="8"/>
        <w:rPr>
          <w:rFonts w:hint="eastAsia"/>
          <w:lang w:val="zh-CN"/>
        </w:rPr>
      </w:pPr>
    </w:p>
    <w:p>
      <w:pPr>
        <w:pStyle w:val="8"/>
        <w:rPr>
          <w:rFonts w:hint="eastAsia"/>
          <w:lang w:val="zh-CN"/>
        </w:rPr>
      </w:pPr>
    </w:p>
    <w:p>
      <w:pPr>
        <w:pStyle w:val="8"/>
        <w:rPr>
          <w:rFonts w:hint="eastAsia"/>
          <w:lang w:val="zh-CN"/>
        </w:rPr>
      </w:pPr>
    </w:p>
    <w:p>
      <w:pPr>
        <w:pStyle w:val="8"/>
        <w:rPr>
          <w:rFonts w:hint="eastAsia"/>
          <w:lang w:val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8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8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8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8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8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申报产品的通用名称及其确定依据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通用名称：</w:t>
      </w:r>
      <w:r>
        <w:rPr>
          <w:rFonts w:hint="eastAsia"/>
          <w:b/>
          <w:bCs/>
          <w:i/>
          <w:iCs/>
          <w:color w:val="0000FF"/>
          <w:lang w:val="en-US" w:eastAsia="zh-CN"/>
        </w:rPr>
        <w:t>{填写申报产品名称}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确定依据：</w:t>
      </w:r>
      <w:r>
        <w:rPr>
          <w:rFonts w:hint="eastAsia"/>
          <w:i/>
          <w:iCs/>
          <w:color w:val="0000FF"/>
          <w:sz w:val="24"/>
          <w:szCs w:val="24"/>
          <w:lang w:val="en-US" w:eastAsia="zh-CN"/>
        </w:rPr>
        <w:t>{根据实际情况填写；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i/>
          <w:iCs/>
          <w:color w:val="0000FF"/>
          <w:sz w:val="24"/>
          <w:szCs w:val="24"/>
          <w:lang w:val="en-US" w:eastAsia="zh-CN"/>
        </w:rPr>
        <w:t>(举例如下：参考已上市同类产品名称确定，具体的同类产品见临床评价资料。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i/>
          <w:iCs/>
          <w:color w:val="0000FF"/>
        </w:rPr>
      </w:pPr>
      <w:r>
        <w:drawing>
          <wp:inline distT="0" distB="0" distL="114300" distR="114300">
            <wp:extent cx="5264785" cy="3324225"/>
            <wp:effectExtent l="0" t="0" r="1206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/>
          <w:i/>
          <w:iCs/>
          <w:color w:val="0000FF"/>
          <w:lang w:val="en-US" w:eastAsia="zh-CN"/>
        </w:rPr>
      </w:pPr>
      <w:r>
        <w:rPr>
          <w:rFonts w:hint="eastAsia"/>
          <w:i/>
          <w:iCs/>
          <w:color w:val="0000FF"/>
          <w:lang w:val="en-US" w:eastAsia="zh-CN"/>
        </w:rPr>
        <w:t>)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/>
          <w:i/>
          <w:iCs/>
          <w:color w:val="0000FF"/>
          <w:lang w:val="en-US" w:eastAsia="zh-CN"/>
        </w:rPr>
      </w:pPr>
      <w:r>
        <w:rPr>
          <w:rFonts w:hint="eastAsia"/>
          <w:i/>
          <w:iCs/>
          <w:color w:val="0000FF"/>
          <w:lang w:val="en-US" w:eastAsia="zh-CN"/>
        </w:rPr>
        <w:t>}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【主要可以参考《医疗器械通用名称命名规则》（国家食品药品监督管理总局令第19号）确认产品名称】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/>
          <w:i/>
          <w:iCs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申报产品的管理类别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>所属分类子目录名称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14注输、护理和防护器械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)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>一级产品类别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05非血管内导（插）管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)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>二级产品类别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02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经鼻肠营养导管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)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>管理类别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>II类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>分类编码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(14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-05-02</w:t>
      </w:r>
      <w:r>
        <w:rPr>
          <w:rFonts w:hint="eastAsia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  <w:t>)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default" w:cs="Times New Roman"/>
          <w:b/>
          <w:bCs w:val="0"/>
          <w:i/>
          <w:iCs/>
          <w:color w:val="0000FF"/>
          <w:sz w:val="24"/>
          <w:szCs w:val="24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eastAsia="仿宋_GB2312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</w:rPr>
        <w:drawing>
          <wp:inline distT="0" distB="0" distL="114300" distR="114300">
            <wp:extent cx="5271770" cy="710565"/>
            <wp:effectExtent l="0" t="0" r="5080" b="133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rPr>
          <w:rFonts w:eastAsia="仿宋_GB2312"/>
          <w:bCs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申报产品适用范围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</w:pPr>
      <w:bookmarkStart w:id="0" w:name="OLE_LINK9"/>
      <w:bookmarkStart w:id="1" w:name="OLE_LINK8"/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  <w:t>经鼻肠营养导管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的预期用途：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本产品适用于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  <w:t>经鼻插入患者胃、十二指肠或空肠内，用于向肠内引入营养液或药液的导管，部分可实现冲洗等其他辅助功能。本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产品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  <w:t>不适用于经鼻腔插至胃内，供临床鼻饲用的导管类产品。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)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  <w:t>【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常规预期用途的描述来源一般有两种：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1）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对比产品的预期用途描述，一般在做临床评价时会考虑写成与对比产品预期用途完成一致；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2）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有指导原则的产品，预期用途可以参考指导原则中的描述进行；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  <w:t>】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bookmarkEnd w:id="0"/>
    <w:bookmarkEnd w:id="1"/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申报产品的背景信息概述或特别细节</w:t>
      </w:r>
    </w:p>
    <w:p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申报产品的历史概述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不适用。申报产品为首次提交注册。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4.2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历次提交的信息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不适用。申报产品为首次提交注册。</w:t>
      </w:r>
    </w:p>
    <w:p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与其他经批准上市产品的关系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不适用。申报产品为首次提交注册。</w:t>
      </w:r>
    </w:p>
    <w:p>
      <w:pPr>
        <w:pStyle w:val="8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其他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无。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default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【如适用，描述有关申报产品的背景信息概述或特别细节，如：申报产品的历史概述、历次提交的信息，与其他经批准上市产品的关系等。】</w:t>
      </w:r>
      <w:bookmarkStart w:id="2" w:name="_GoBack"/>
      <w:bookmarkEnd w:id="2"/>
    </w:p>
    <w:p>
      <w:pPr>
        <w:pStyle w:val="8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B66D3"/>
    <w:multiLevelType w:val="multilevel"/>
    <w:tmpl w:val="219B66D3"/>
    <w:lvl w:ilvl="0" w:tentative="0">
      <w:start w:val="3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2C996EDE"/>
    <w:multiLevelType w:val="singleLevel"/>
    <w:tmpl w:val="2C996E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4717434"/>
    <w:rsid w:val="46561FD1"/>
    <w:rsid w:val="4B950155"/>
    <w:rsid w:val="543A6A17"/>
    <w:rsid w:val="5854681A"/>
    <w:rsid w:val="5B3D4524"/>
    <w:rsid w:val="62D83FC8"/>
    <w:rsid w:val="638C3F6B"/>
    <w:rsid w:val="70226573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2023-04-20T02:53:49Z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