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hint="default" w:eastAsia="Univers 57 Condensed"/>
          <w:lang w:val="en-US" w:eastAsia="zh-CN"/>
        </w:rPr>
      </w:pPr>
    </w:p>
    <w:p>
      <w:pPr>
        <w:pStyle w:val="9"/>
        <w:rPr>
          <w:rFonts w:hint="default" w:eastAsia="Univers 57 Condensed"/>
          <w:lang w:val="en-US" w:eastAsia="zh-CN"/>
        </w:rPr>
      </w:pPr>
    </w:p>
    <w:p>
      <w:pPr>
        <w:jc w:val="center"/>
        <w:rPr>
          <w:rFonts w:ascii="仿宋" w:hAnsi="仿宋" w:eastAsia="仿宋"/>
          <w:b/>
          <w:sz w:val="36"/>
          <w:szCs w:val="36"/>
        </w:rPr>
      </w:pPr>
      <w:r>
        <w:rPr>
          <w:rFonts w:hint="eastAsia" w:ascii="仿宋" w:hAnsi="仿宋" w:eastAsia="仿宋"/>
          <w:b/>
          <w:sz w:val="36"/>
          <w:szCs w:val="36"/>
        </w:rPr>
        <w:t>符合性声明</w:t>
      </w:r>
    </w:p>
    <w:p>
      <w:pPr>
        <w:jc w:val="center"/>
        <w:rPr>
          <w:rFonts w:hint="eastAsia"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宋体" w:cs="Times New Roman"/>
          <w:b/>
          <w:bCs/>
          <w:i/>
          <w:iCs/>
          <w:color w:val="0000FF"/>
          <w:sz w:val="24"/>
          <w:szCs w:val="24"/>
          <w:lang w:val="en-US" w:eastAsia="zh-CN"/>
        </w:rPr>
      </w:pPr>
      <w:r>
        <w:rPr>
          <w:rFonts w:hint="eastAsia" w:ascii="Times New Roman" w:hAnsi="Times New Roman" w:eastAsia="宋体" w:cs="Times New Roman"/>
          <w:b/>
          <w:bCs/>
          <w:i/>
          <w:iCs/>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lang w:val="en-US" w:eastAsia="zh-CN"/>
        </w:rPr>
        <w:t>我公司声明：我公司生产的</w:t>
      </w:r>
      <w:r>
        <w:rPr>
          <w:rFonts w:hint="eastAsia" w:ascii="Times New Roman" w:hAnsi="Times New Roman" w:eastAsia="宋体" w:cs="Times New Roman"/>
          <w:b/>
          <w:bCs/>
          <w:i/>
          <w:iCs/>
          <w:color w:val="0000FF"/>
          <w:sz w:val="24"/>
          <w:szCs w:val="24"/>
          <w:lang w:val="en-US" w:eastAsia="zh-CN"/>
        </w:rPr>
        <w:t>{填写申报产品名称}</w:t>
      </w:r>
      <w:r>
        <w:rPr>
          <w:rFonts w:hint="default" w:ascii="Times New Roman" w:hAnsi="Times New Roman" w:eastAsia="宋体" w:cs="Times New Roman"/>
          <w:b/>
          <w:bCs/>
          <w:i/>
          <w:iCs/>
          <w:color w:val="0000FF"/>
          <w:sz w:val="24"/>
          <w:szCs w:val="24"/>
          <w:lang w:val="en-US" w:eastAsia="zh-CN"/>
        </w:rPr>
        <w:t>产品申请第二类医疗器械注册证核发。本产品符合《医疗器械注册与备案管理办法》(国家市场监督管理总局令第47号)和相关法规的要求；产品符合《医疗器械分类规则》有关分类的要求；产品符合现行国家标准、行业标准，标准清单如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i/>
                <w:iCs/>
                <w:color w:val="0000FF"/>
                <w:kern w:val="2"/>
                <w:sz w:val="24"/>
                <w:szCs w:val="24"/>
                <w:lang w:val="en-US" w:eastAsia="zh-CN" w:bidi="ar-SA"/>
              </w:rPr>
            </w:pPr>
            <w:r>
              <w:rPr>
                <w:rFonts w:hint="eastAsia" w:ascii="宋体" w:hAnsi="宋体" w:eastAsia="宋体" w:cs="宋体"/>
                <w:b/>
                <w:bCs/>
                <w:i/>
                <w:iCs/>
                <w:color w:val="0000FF"/>
                <w:sz w:val="24"/>
                <w:szCs w:val="24"/>
              </w:rPr>
              <w:t>标准编号</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i/>
                <w:iCs/>
                <w:color w:val="0000FF"/>
                <w:kern w:val="2"/>
                <w:sz w:val="24"/>
                <w:szCs w:val="24"/>
                <w:lang w:val="en-US" w:eastAsia="zh-CN" w:bidi="ar-SA"/>
              </w:rPr>
            </w:pPr>
            <w:r>
              <w:rPr>
                <w:rFonts w:hint="eastAsia" w:ascii="宋体" w:hAnsi="宋体" w:eastAsia="宋体" w:cs="宋体"/>
                <w:b/>
                <w:bCs/>
                <w:i/>
                <w:iCs/>
                <w:color w:val="0000FF"/>
                <w:sz w:val="24"/>
                <w:szCs w:val="24"/>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191—2008</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GB/T 16886.1—2011</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《医疗器械生物学评价第1部分：风险管理过程中的评价与试验》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GB/T16886.5—201</w:t>
            </w:r>
            <w:r>
              <w:rPr>
                <w:rFonts w:hint="default" w:ascii="Times New Roman" w:hAnsi="Times New Roman" w:eastAsia="宋体" w:cs="Times New Roman"/>
                <w:b/>
                <w:bCs/>
                <w:i/>
                <w:iCs/>
                <w:color w:val="0000FF"/>
                <w:sz w:val="24"/>
                <w:szCs w:val="24"/>
                <w:lang w:val="en-US" w:eastAsia="zh-CN"/>
              </w:rPr>
              <w:t>7</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《医疗器械生物学评价第5部分：体外细胞毒性试验》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GB/T16886.10—201</w:t>
            </w:r>
            <w:r>
              <w:rPr>
                <w:rFonts w:hint="default" w:ascii="Times New Roman" w:hAnsi="Times New Roman" w:eastAsia="宋体" w:cs="Times New Roman"/>
                <w:b/>
                <w:bCs/>
                <w:i/>
                <w:iCs/>
                <w:color w:val="0000FF"/>
                <w:sz w:val="24"/>
                <w:szCs w:val="24"/>
                <w:lang w:val="en-US" w:eastAsia="zh-CN"/>
              </w:rPr>
              <w:t>7</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《医疗器械生物学评价第10部分：刺激与迟发型超敏反应试验》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GB/T 16886.7-2015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医疗器械生物学评价 第7部分：环氧乙烷灭菌残留量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YY/T 0316</w:t>
            </w:r>
            <w:r>
              <w:rPr>
                <w:rFonts w:hint="eastAsia" w:ascii="Times New Roman" w:hAnsi="Times New Roman" w:eastAsia="宋体" w:cs="Times New Roman"/>
                <w:b/>
                <w:bCs/>
                <w:i/>
                <w:iCs/>
                <w:color w:val="0000FF"/>
                <w:sz w:val="24"/>
                <w:szCs w:val="24"/>
                <w:lang w:val="en-US" w:eastAsia="zh-CN"/>
              </w:rPr>
              <w:t>-</w:t>
            </w:r>
            <w:r>
              <w:rPr>
                <w:rFonts w:hint="default" w:ascii="Times New Roman" w:hAnsi="Times New Roman" w:eastAsia="宋体" w:cs="Times New Roman"/>
                <w:b/>
                <w:bCs/>
                <w:i/>
                <w:iCs/>
                <w:color w:val="0000FF"/>
                <w:sz w:val="24"/>
                <w:szCs w:val="24"/>
              </w:rPr>
              <w:t>2016</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《医疗器械风险管理对医疗器械的应用》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YY/T 0466.1</w:t>
            </w:r>
            <w:r>
              <w:rPr>
                <w:rFonts w:hint="eastAsia" w:ascii="Times New Roman" w:hAnsi="Times New Roman" w:eastAsia="宋体" w:cs="Times New Roman"/>
                <w:b/>
                <w:bCs/>
                <w:i/>
                <w:iCs/>
                <w:color w:val="0000FF"/>
                <w:sz w:val="24"/>
                <w:szCs w:val="24"/>
                <w:lang w:val="en-US" w:eastAsia="zh-CN"/>
              </w:rPr>
              <w:t>-</w:t>
            </w:r>
            <w:r>
              <w:rPr>
                <w:rFonts w:hint="default" w:ascii="Times New Roman" w:hAnsi="Times New Roman" w:eastAsia="宋体" w:cs="Times New Roman"/>
                <w:b/>
                <w:bCs/>
                <w:i/>
                <w:iCs/>
                <w:color w:val="0000FF"/>
                <w:sz w:val="24"/>
                <w:szCs w:val="24"/>
              </w:rPr>
              <w:t>2016</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textAlignment w:val="auto"/>
              <w:rPr>
                <w:rFonts w:hint="default" w:ascii="Times New Roman" w:hAnsi="Times New Roman" w:eastAsia="宋体" w:cs="Times New Roman"/>
                <w:b/>
                <w:bCs/>
                <w:i/>
                <w:iCs/>
                <w:color w:val="0000FF"/>
                <w:kern w:val="2"/>
                <w:sz w:val="24"/>
                <w:szCs w:val="24"/>
                <w:lang w:val="en-US" w:eastAsia="zh-CN" w:bidi="ar-SA"/>
              </w:rPr>
            </w:pPr>
            <w:r>
              <w:rPr>
                <w:rFonts w:hint="default" w:ascii="Times New Roman" w:hAnsi="Times New Roman" w:eastAsia="宋体" w:cs="Times New Roman"/>
                <w:b/>
                <w:bCs/>
                <w:i/>
                <w:iCs/>
                <w:color w:val="0000FF"/>
                <w:sz w:val="24"/>
                <w:szCs w:val="24"/>
              </w:rPr>
              <w:t>《医疗器械用于医疗器械标签、标记和提供信息的符号第1部分:通用要求》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YY/T 0483-2004</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一次性使用肠营养导管、肠给养器及其连接件 设计与试验方法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YY 0450.1-2020</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一次性使用无菌血管内导管辅件 第1部分：导引器械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GB/T 19633.1-2015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最终灭菌医疗器械包装 第1部分：材料、无菌屏障系统和包装系统的要求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default" w:ascii="Times New Roman" w:hAnsi="Times New Roman" w:eastAsia="宋体" w:cs="Times New Roman"/>
                <w:b/>
                <w:bCs/>
                <w:i/>
                <w:iCs/>
                <w:color w:val="0000FF"/>
                <w:sz w:val="24"/>
                <w:szCs w:val="24"/>
              </w:rPr>
              <w:t>GB 18279.1-2015</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医疗保健产品灭菌 环氧乙烷 第1部分：医疗器械灭菌过程的开发、确认和常规控制的要求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lang w:val="en-US" w:eastAsia="zh-CN"/>
              </w:rPr>
            </w:pPr>
            <w:r>
              <w:rPr>
                <w:rFonts w:hint="eastAsia" w:ascii="Times New Roman" w:hAnsi="Times New Roman" w:eastAsia="宋体" w:cs="Times New Roman"/>
                <w:b/>
                <w:bCs/>
                <w:i/>
                <w:iCs/>
                <w:color w:val="0000FF"/>
                <w:sz w:val="24"/>
                <w:szCs w:val="24"/>
                <w:lang w:val="en-US" w:eastAsia="zh-CN"/>
              </w:rPr>
              <w:t>.......</w:t>
            </w:r>
          </w:p>
        </w:tc>
        <w:tc>
          <w:tcPr>
            <w:tcW w:w="5952" w:type="dxa"/>
            <w:noWrap w:val="0"/>
            <w:vAlign w:val="top"/>
          </w:tcPr>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default" w:ascii="Times New Roman" w:hAnsi="Times New Roman" w:eastAsia="宋体" w:cs="Times New Roman"/>
                <w:b/>
                <w:bCs/>
                <w:i/>
                <w:iCs/>
                <w:color w:val="0000FF"/>
                <w:sz w:val="24"/>
                <w:szCs w:val="24"/>
              </w:rPr>
            </w:pPr>
          </w:p>
        </w:tc>
      </w:tr>
    </w:tbl>
    <w:p>
      <w:pPr>
        <w:rPr>
          <w:rFonts w:hint="default" w:ascii="仿宋" w:hAnsi="仿宋" w:eastAsia="仿宋"/>
          <w:b/>
          <w:bCs/>
          <w:i/>
          <w:iCs/>
          <w:color w:val="0000FF"/>
          <w:sz w:val="24"/>
          <w:szCs w:val="24"/>
          <w:lang w:val="en-US" w:eastAsia="zh-CN"/>
        </w:rPr>
      </w:pP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iCs/>
          <w:color w:val="0000FF"/>
          <w:kern w:val="2"/>
          <w:sz w:val="24"/>
          <w:szCs w:val="24"/>
          <w:lang w:val="en-US" w:eastAsia="zh-CN" w:bidi="ar-SA"/>
        </w:rPr>
      </w:pP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iCs/>
          <w:color w:val="0000FF"/>
          <w:kern w:val="2"/>
          <w:sz w:val="24"/>
          <w:szCs w:val="24"/>
          <w:lang w:val="en-US" w:eastAsia="zh-CN" w:bidi="ar-SA"/>
        </w:rPr>
      </w:pPr>
      <w:r>
        <w:rPr>
          <w:rFonts w:hint="eastAsia" w:ascii="宋体" w:hAnsi="宋体" w:eastAsia="宋体" w:cs="宋体"/>
          <w:b/>
          <w:bCs/>
          <w:i/>
          <w:iCs/>
          <w:color w:val="0000FF"/>
          <w:kern w:val="2"/>
          <w:sz w:val="24"/>
          <w:szCs w:val="24"/>
          <w:lang w:val="en-US" w:eastAsia="zh-CN" w:bidi="ar-SA"/>
        </w:rPr>
        <w:t>【以上标准信息，均为举例，在具体的产品申报过程中，需要根据具体的产品来确定】</w:t>
      </w:r>
    </w:p>
    <w:p>
      <w:pPr>
        <w:pStyle w:val="2"/>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iCs/>
          <w:color w:val="0000FF"/>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i/>
          <w:iCs/>
          <w:color w:val="0000FF"/>
          <w:sz w:val="24"/>
          <w:szCs w:val="24"/>
        </w:rPr>
      </w:pPr>
      <w:r>
        <w:rPr>
          <w:rFonts w:hint="eastAsia" w:ascii="仿宋" w:hAnsi="仿宋" w:eastAsia="仿宋"/>
          <w:b/>
          <w:bCs/>
          <w:i/>
          <w:iCs/>
          <w:color w:val="0000FF"/>
          <w:sz w:val="32"/>
          <w:szCs w:val="32"/>
        </w:rPr>
        <w:t xml:space="preserve"> </w:t>
      </w:r>
      <w:r>
        <w:rPr>
          <w:rFonts w:ascii="仿宋" w:hAnsi="仿宋" w:eastAsia="仿宋"/>
          <w:b/>
          <w:bCs/>
          <w:i/>
          <w:iCs/>
          <w:color w:val="0000FF"/>
          <w:sz w:val="32"/>
          <w:szCs w:val="32"/>
        </w:rPr>
        <w:t xml:space="preserve">  </w:t>
      </w:r>
      <w:r>
        <w:rPr>
          <w:rFonts w:hint="eastAsia" w:ascii="宋体" w:hAnsi="宋体" w:eastAsia="宋体" w:cs="宋体"/>
          <w:b/>
          <w:bCs/>
          <w:i/>
          <w:iCs/>
          <w:color w:val="0000FF"/>
          <w:sz w:val="24"/>
          <w:szCs w:val="24"/>
        </w:rPr>
        <w:t>我公司声明本次申请第二类医疗器械注册证核发所提交的材料均真实、有效。如有虚假，我公司承担相应的法律责任。</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ascii="宋体" w:hAnsi="宋体" w:eastAsia="宋体" w:cs="宋体"/>
          <w:b/>
          <w:bCs/>
          <w:i/>
          <w:iCs/>
          <w:color w:val="0000FF"/>
          <w:sz w:val="24"/>
          <w:szCs w:val="24"/>
          <w:lang w:val="en-US" w:eastAsia="zh-CN"/>
        </w:rPr>
      </w:pPr>
      <w:r>
        <w:rPr>
          <w:b/>
          <w:bCs/>
          <w:i/>
          <w:iCs/>
          <w:color w:val="0000FF"/>
          <w:sz w:val="28"/>
          <w:szCs w:val="28"/>
        </w:rPr>
        <w:t xml:space="preserve">                    </w:t>
      </w:r>
      <w:r>
        <w:rPr>
          <w:rFonts w:hint="eastAsia" w:ascii="宋体" w:hAnsi="宋体" w:eastAsia="宋体" w:cs="宋体"/>
          <w:b/>
          <w:bCs/>
          <w:i/>
          <w:iCs/>
          <w:color w:val="0000FF"/>
          <w:sz w:val="24"/>
          <w:szCs w:val="24"/>
        </w:rPr>
        <w:t xml:space="preserve">   </w:t>
      </w:r>
      <w:r>
        <w:rPr>
          <w:rFonts w:hint="eastAsia" w:ascii="宋体" w:hAnsi="宋体" w:eastAsia="宋体" w:cs="宋体"/>
          <w:b/>
          <w:bCs/>
          <w:i/>
          <w:iCs/>
          <w:color w:val="0000FF"/>
          <w:sz w:val="24"/>
          <w:szCs w:val="24"/>
          <w:lang w:val="en-US" w:eastAsia="zh-CN"/>
        </w:rPr>
        <w:t>{填写申报企业公司名称}</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b/>
          <w:bCs/>
          <w:i/>
          <w:iCs/>
          <w:color w:val="0000FF"/>
          <w:sz w:val="24"/>
          <w:szCs w:val="24"/>
        </w:rPr>
      </w:pPr>
      <w:r>
        <w:rPr>
          <w:rFonts w:hint="eastAsia" w:ascii="宋体" w:hAnsi="宋体" w:eastAsia="宋体" w:cs="宋体"/>
          <w:b/>
          <w:bCs/>
          <w:i/>
          <w:iCs/>
          <w:color w:val="0000FF"/>
          <w:sz w:val="24"/>
          <w:szCs w:val="24"/>
        </w:rPr>
        <w:t>　　　　　　　　　　　　　　     年  月  日</w:t>
      </w:r>
    </w:p>
    <w:p>
      <w:pPr>
        <w:pStyle w:val="2"/>
        <w:jc w:val="right"/>
        <w:rPr>
          <w:rFonts w:hint="eastAsia" w:ascii="宋体" w:hAnsi="宋体" w:eastAsia="宋体" w:cs="宋体"/>
          <w:b/>
          <w:bCs/>
          <w:i/>
          <w:iCs/>
          <w:color w:val="0000FF"/>
          <w:sz w:val="24"/>
          <w:szCs w:val="24"/>
          <w:lang w:val="en-US" w:eastAsia="zh-CN"/>
        </w:rPr>
      </w:pPr>
      <w:r>
        <w:rPr>
          <w:rFonts w:hint="eastAsia" w:ascii="宋体" w:hAnsi="宋体" w:cs="宋体"/>
          <w:b/>
          <w:bCs/>
          <w:i/>
          <w:iCs/>
          <w:color w:val="0000FF"/>
          <w:sz w:val="24"/>
          <w:szCs w:val="24"/>
          <w:lang w:val="en-US" w:eastAsia="zh-CN"/>
        </w:rPr>
        <w:t>)</w:t>
      </w:r>
    </w:p>
    <w:p>
      <w:pPr>
        <w:spacing w:line="560" w:lineRule="exact"/>
        <w:rPr>
          <w:rFonts w:hint="default" w:ascii="Times New Roman" w:hAnsi="Times New Roman" w:eastAsia="宋体" w:cs="Times New Roman"/>
          <w:b/>
          <w:bCs/>
          <w:i/>
          <w:iCs/>
          <w:color w:val="0000FF"/>
          <w:sz w:val="24"/>
          <w:szCs w:val="24"/>
          <w:lang w:eastAsia="zh-CN"/>
        </w:rPr>
      </w:pPr>
      <w:r>
        <w:rPr>
          <w:rFonts w:hint="default" w:ascii="Times New Roman" w:hAnsi="Times New Roman" w:eastAsia="宋体" w:cs="Times New Roman"/>
          <w:b/>
          <w:bCs/>
          <w:i/>
          <w:iCs/>
          <w:color w:val="0000FF"/>
          <w:sz w:val="24"/>
          <w:szCs w:val="24"/>
          <w:lang w:eastAsia="zh-CN"/>
        </w:rPr>
        <w:t>【</w:t>
      </w:r>
    </w:p>
    <w:p>
      <w:pPr>
        <w:spacing w:line="560" w:lineRule="exact"/>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申请人应当声明下列内容：</w:t>
      </w:r>
    </w:p>
    <w:p>
      <w:pPr>
        <w:spacing w:line="560" w:lineRule="exact"/>
        <w:ind w:firstLine="482" w:firstLineChars="200"/>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1.申报产品符合《医疗器械注册与备案管理办法》和相关法规的要求。</w:t>
      </w:r>
    </w:p>
    <w:p>
      <w:pPr>
        <w:spacing w:line="560" w:lineRule="exact"/>
        <w:ind w:firstLine="482" w:firstLineChars="200"/>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2.申报产品符合《医疗器械分类规则》有关分类的要求。</w:t>
      </w:r>
    </w:p>
    <w:p>
      <w:pPr>
        <w:spacing w:line="560" w:lineRule="exact"/>
        <w:ind w:firstLine="482" w:firstLineChars="200"/>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3.申报产品符合现行国家标准、行业标准，并提供符合标准的清单。</w:t>
      </w:r>
    </w:p>
    <w:p>
      <w:pPr>
        <w:spacing w:line="560" w:lineRule="exact"/>
        <w:ind w:firstLine="482" w:firstLineChars="200"/>
        <w:rPr>
          <w:rFonts w:hint="default" w:ascii="Times New Roman" w:hAnsi="Times New Roman" w:eastAsia="宋体" w:cs="Times New Roman"/>
          <w:b/>
          <w:bCs/>
          <w:i/>
          <w:iCs/>
          <w:color w:val="0000FF"/>
          <w:sz w:val="24"/>
          <w:szCs w:val="24"/>
        </w:rPr>
      </w:pPr>
      <w:r>
        <w:rPr>
          <w:rFonts w:hint="default" w:ascii="Times New Roman" w:hAnsi="Times New Roman" w:eastAsia="宋体" w:cs="Times New Roman"/>
          <w:b/>
          <w:bCs/>
          <w:i/>
          <w:iCs/>
          <w:color w:val="0000FF"/>
          <w:sz w:val="24"/>
          <w:szCs w:val="24"/>
        </w:rPr>
        <w:t>4.保证所提交资料的真实性（由申请人出具）。</w:t>
      </w:r>
    </w:p>
    <w:p>
      <w:pPr>
        <w:pStyle w:val="2"/>
        <w:rPr>
          <w:rFonts w:hint="default" w:ascii="Times New Roman" w:hAnsi="Times New Roman" w:eastAsia="宋体" w:cs="Times New Roman"/>
          <w:b/>
          <w:bCs/>
          <w:i/>
          <w:iCs/>
          <w:color w:val="0000FF"/>
          <w:sz w:val="24"/>
          <w:szCs w:val="24"/>
          <w:lang w:eastAsia="zh-CN"/>
        </w:rPr>
      </w:pPr>
      <w:r>
        <w:rPr>
          <w:rFonts w:hint="default" w:ascii="Times New Roman" w:hAnsi="Times New Roman" w:eastAsia="宋体" w:cs="Times New Roman"/>
          <w:b/>
          <w:bCs/>
          <w:i/>
          <w:iCs/>
          <w:color w:val="0000FF"/>
          <w:sz w:val="24"/>
          <w:szCs w:val="24"/>
          <w:lang w:eastAsia="zh-CN"/>
        </w:rPr>
        <w:t>】</w:t>
      </w:r>
    </w:p>
    <w:p>
      <w:pPr>
        <w:pStyle w:val="2"/>
        <w:rPr>
          <w:rFonts w:hint="eastAsia" w:ascii="宋体" w:hAnsi="宋体" w:eastAsia="宋体" w:cs="宋体"/>
          <w:b/>
          <w:bCs/>
          <w:i/>
          <w:iCs/>
          <w:color w:val="0000FF"/>
          <w:sz w:val="24"/>
          <w:szCs w:val="24"/>
          <w:lang w:val="en-US" w:eastAsia="zh-CN"/>
        </w:rPr>
      </w:pPr>
    </w:p>
    <w:p>
      <w:pPr>
        <w:pStyle w:val="9"/>
        <w:rPr>
          <w:rFonts w:hint="default" w:eastAsia="Univers 57 Condensed"/>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B07083A"/>
    <w:rsid w:val="42491C0F"/>
    <w:rsid w:val="46561FD1"/>
    <w:rsid w:val="4B950155"/>
    <w:rsid w:val="543A6A17"/>
    <w:rsid w:val="5854681A"/>
    <w:rsid w:val="5B3D4524"/>
    <w:rsid w:val="5CE916B5"/>
    <w:rsid w:val="5E7027CD"/>
    <w:rsid w:val="638C3F6B"/>
    <w:rsid w:val="70226573"/>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_Style 2"/>
    <w:qFormat/>
    <w:uiPriority w:val="1"/>
    <w:pPr>
      <w:adjustRightInd w:val="0"/>
      <w:snapToGrid w:val="0"/>
    </w:pPr>
    <w:rPr>
      <w:rFonts w:ascii="Tahoma" w:hAnsi="Tahoma" w:eastAsia="宋体" w:cs="Times New Roman"/>
      <w:sz w:val="22"/>
      <w:szCs w:val="22"/>
      <w:lang w:val="en-US" w:eastAsia="zh-CN" w:bidi="ar-SA"/>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customStyle="1" w:styleId="9">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2023-04-20T02:48:05Z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