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ascii="宋体" w:eastAsia="Times New Roman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1.6申报前与监管机构的联系情况和沟通记录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0B5FD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申报前与监管机构的联系情况和沟通记录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0"/>
        <w:rPr>
          <w:rFonts w:hint="eastAsia" w:ascii="宋体" w:hAnsi="宋体" w:eastAsia="宋体" w:cs="宋体"/>
          <w:bCs/>
          <w:i w:val="0"/>
          <w:iCs w:val="0"/>
          <w:color w:val="auto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i w:val="0"/>
          <w:iCs w:val="0"/>
          <w:color w:val="auto"/>
          <w:kern w:val="44"/>
          <w:sz w:val="24"/>
          <w:szCs w:val="24"/>
          <w:lang w:val="en-US" w:eastAsia="zh-CN"/>
        </w:rPr>
        <w:t>不适用。因为申报产品没有既往申报和/或申报前沟通。</w:t>
      </w:r>
    </w:p>
    <w:p>
      <w:pPr>
        <w:pStyle w:val="2"/>
        <w:rPr>
          <w:rFonts w:hint="eastAsia" w:ascii="宋体" w:hAnsi="宋体" w:eastAsia="宋体" w:cs="宋体"/>
          <w:bCs/>
          <w:i w:val="0"/>
          <w:iCs w:val="0"/>
          <w:color w:val="auto"/>
          <w:kern w:val="44"/>
          <w:sz w:val="24"/>
          <w:szCs w:val="24"/>
          <w:lang w:val="en-US" w:eastAsia="zh-CN"/>
        </w:rPr>
      </w:pPr>
    </w:p>
    <w:p>
      <w:pPr>
        <w:spacing w:line="560" w:lineRule="exact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在产品申报前，如果申请人与监管机构针对申报产品以会议形式进行了沟通，或者申报产品与既往注册申报相关。应当提供下列内容（如适用）：</w:t>
      </w:r>
    </w:p>
    <w:p>
      <w:pPr>
        <w:spacing w:line="560" w:lineRule="exact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（1）列出监管机构回复的申报前沟通。</w:t>
      </w:r>
    </w:p>
    <w:p>
      <w:pPr>
        <w:spacing w:line="560" w:lineRule="exact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（2）既往注册申报产品的受理号。</w:t>
      </w:r>
    </w:p>
    <w:p>
      <w:pPr>
        <w:spacing w:line="560" w:lineRule="exact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（3）既往申报前沟通的相关资料，如既往申报会议前提交的信息、会议议程、演示幻灯片、最终的会议纪要、会议中待办事项的回复，以及所有与申请相关的电子邮件。</w:t>
      </w:r>
    </w:p>
    <w:p>
      <w:pPr>
        <w:spacing w:line="560" w:lineRule="exact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（4）既往申报（如自行撤销/不予注册上市申请、临床试验审批申请等）中监管机构已明确的相关问题。</w:t>
      </w:r>
    </w:p>
    <w:p>
      <w:pPr>
        <w:spacing w:line="560" w:lineRule="exact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（5）在申报前沟通中，申请人明确提出的问题，以及监管机构提供的建议。</w:t>
      </w:r>
    </w:p>
    <w:p>
      <w:pPr>
        <w:spacing w:line="560" w:lineRule="exact"/>
        <w:ind w:firstLine="482" w:firstLineChars="200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</w:rPr>
        <w:t>（6）说明在本次申报中如何解决上述问题。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rPr>
          <w:rFonts w:hint="eastAsia" w:ascii="宋体" w:hAnsi="宋体" w:eastAsia="宋体" w:cs="宋体"/>
          <w:bCs/>
          <w:i w:val="0"/>
          <w:iCs w:val="0"/>
          <w:color w:val="auto"/>
          <w:kern w:val="44"/>
          <w:sz w:val="24"/>
          <w:szCs w:val="24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96EDE"/>
    <w:multiLevelType w:val="singleLevel"/>
    <w:tmpl w:val="2C996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CC336DD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5CE916B5"/>
    <w:rsid w:val="638C3F6B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2023-04-20T02:47:05Z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