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前 言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lang w:val="en-US" w:eastAsia="zh-CN"/>
        </w:rPr>
        <w:t>1 模板介绍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本模板主要用于指导国内三类有源产品注册项目，不仅可用于指导资料编写，也可适当的用于指导项目的进行，可参照模板中的批注、示例进行资料拟制、开展项目；其他产品可以作为参考。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本模板在“NT001-NMPA+eRPS+医疗器械注册申报资料模板”的基础上进行了拟制，主要变化如下：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按照目前最新的国内三类注册资料递交要求进行了更新及补充；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补充了一些常用、且重要的验证资料模板，如有源加速老化试验模板、使用次数验证模板(有限次重复使用器械)、可用性资料模板、临床评价报告模板(包括同品种路径和临床试验路径的临床评价报告模板、免于临床试验目录产品对应临床评价报告内容拟制的建议)以及质量体系相关文件等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lang w:val="en-US" w:eastAsia="zh-CN"/>
        </w:rPr>
        <w:t>2 模板目的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本模板主要用于国内三类有源产品的注册项目。</w:t>
      </w:r>
    </w:p>
    <w:p>
      <w:pPr>
        <w:rPr>
          <w:rFonts w:hint="default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>3 模板主要内容</w:t>
      </w:r>
    </w:p>
    <w:p>
      <w:pP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default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-SA"/>
        </w:rPr>
        <w:t>模板包括以下内容，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-SA"/>
        </w:rPr>
        <w:t>一共121份文件，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-SA"/>
        </w:rPr>
        <w:t>共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-SA"/>
        </w:rPr>
        <w:t>515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-SA"/>
        </w:rPr>
        <w:t>页。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895"/>
        <w:gridCol w:w="759"/>
        <w:gridCol w:w="3058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1363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RPS目录</w:t>
            </w:r>
          </w:p>
        </w:tc>
        <w:tc>
          <w:tcPr>
            <w:tcW w:w="189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标题</w:t>
            </w:r>
          </w:p>
        </w:tc>
        <w:tc>
          <w:tcPr>
            <w:tcW w:w="759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适用情况</w:t>
            </w:r>
          </w:p>
        </w:tc>
        <w:tc>
          <w:tcPr>
            <w:tcW w:w="305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上传文件名称</w:t>
            </w:r>
          </w:p>
        </w:tc>
        <w:tc>
          <w:tcPr>
            <w:tcW w:w="99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75" w:type="dxa"/>
            <w:gridSpan w:val="4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第1章——地区性管理信息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申报资料目录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 xml:space="preserve">GYS001-001-CH1.2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申报资料目录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bookmarkStart w:id="0" w:name="OLE_LINK1" w:colFirst="4" w:colLast="5"/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术语、缩写词列表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GYS001-002-CH1.3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术语缩写词列表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申请表/管理信息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GYS001-003-CH1.4(1)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医疗器械注册申请表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GYS001-004-CH1.4(2)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医疗器械优先审批申请表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GYS001-005-CH1.4(3)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小型微型企业收费优惠申请表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器械列表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GYS001-006-CH1.5 器械列表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质量管理体系、全面质量体系或其他证明文件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GYS001-007-CH1.6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质量管理体系全面质量体系或其他证明文件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申报前联系情况和与监管机构的既往沟通记录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GYS001-008-CH1.9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申报前联系情况和与监管机构的既往沟通记录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CH1.11.1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性能指标和推荐性标准声明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GYS001-009-CH1.11.1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性能指标和推荐性标准声明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CH1.11.5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真实性和准确性声明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GYS001-010-CH1.11.5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真实性和准确性声明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CH1.11.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符合性声明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GYS001-011-CH1.11.7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符合性声明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CH1.12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主文档授权信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GYS001-012-CH1.12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主文档授权信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CH1.14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其他地区性管理信息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GYS001-013-CH1.14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其他地区性管理信息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75" w:type="dxa"/>
            <w:gridSpan w:val="4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第2章——申报产品综述资料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章节目录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 xml:space="preserve">GYS001-014-CH2.1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申报产品综述资料章节目录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申报综述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GYS001-015-CH2.2 申报综述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CH2.4.1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全面的器械和操作原理描述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 xml:space="preserve">GYS001-016-CH2.4.1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全面的器械和操作原理描述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CH2.4.2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器械包装描述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 xml:space="preserve">GYS001-017-CH2.4.2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器械包装描述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CH2.4.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器械研发历程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GYS001-018-CH2.4.3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器械研发历程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CH2.4.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与相似和/或前几代器械的参考和比较（国内外已上市）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GYS001-019-CH2.4.4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与相似和或前几代器械的参考和比较（国内外已上市）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CH2.5.1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预期用途；使用目的；预期使用者；适用范围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GYS001-020-CH2.5.1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预期用途使用目的预期使用者适用范围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CH2.5.2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预期使用环境/安装要求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GYS001-021-CH2.5.2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预期使用环境安装要求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CH2.5.3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儿童使用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GYS001-022-CH2.5.3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儿童使用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CH2.5.4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使用禁忌症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GYS001-023-CH2.5.4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使用禁忌症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CH2.6.1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上市情况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GYS001-024-CH2.6.1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上市情况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CH2.6.2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不良事件和召回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GYS001-025-CH2.6.2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不良事件和召回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CH2.6.3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销售、不良事件及召回率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GYS001-026-CH2.6.3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销售不良事件及召回率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CH2.7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其他申报综述信息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GYS001-027-CH2.7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其他申报综述信息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075" w:type="dxa"/>
            <w:gridSpan w:val="4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第3章——非临床研究资料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章节目录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 xml:space="preserve">GYS001-028-CH3.1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非临床研究资料章节目录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风险管理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GYS001-029-CH3.2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产品风险分析资料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安全有效性基本要求（EP）清单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GYS001-030-CH3.3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安全有效性基本要求清单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CH3.4.1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标准列表（产品技术要求）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 xml:space="preserve">GYS001-031-CH3.4.1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标准列表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68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CH3.4.2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符合性声明和/或认证</w:t>
            </w:r>
          </w:p>
        </w:tc>
        <w:tc>
          <w:tcPr>
            <w:tcW w:w="759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 xml:space="preserve">GYS001-032-CH3.4.2(1)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产品技术要求(通用版)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GYS001-033-CH3.4.2(2)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注册检测报告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GYS001-034-CH3.4.2(3)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预评价意见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GYS001-035-CH3.4.2(4)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EMC检测报告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GYS001-036-CH3.4.2(5) 注册检验样品整改一致性确认表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.01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物理和机械性能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GYS001-037-CH3.5.01 物理和机械性能研究资料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化学/材料表征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GYS001-038-CH3.5.02 化学材料表征研究资料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电气系统：安全、机械和环境保护以及电磁兼容性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GYS001-039-CH3.5.03 电气系统：安全、机械和环境保护以及电磁兼容性研究资料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CH3.5.04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辐射安全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GYS001-040-CH3.5.04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辐射安全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独立软件/软件组件描述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GYS001-041-CH3.5.05.01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独立软件(软件组件)描述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危害分析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GYS001-042-CH3.5.05.02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软件风险分析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软件需求规范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GYS001-043-CH3.5.05.03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软件需求规范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CH3.5.05.04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体系结构图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GYS001-044-CH3.5.05.04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体系结构图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CH3.5.05.05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软件设计规范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GYS001-045-CH3.5.05.05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软件设计规范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CH3.5.05.06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可追溯性分析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GYS001-046-CH3.5.05.06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可追溯性分析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CH3.5.05.07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软件生存周期过程描述</w:t>
            </w:r>
          </w:p>
        </w:tc>
        <w:tc>
          <w:tcPr>
            <w:tcW w:w="759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GYS001-047-CH3.5.05.07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软件生存周期过程描述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GYS001-048-CH3.5.05.07(1)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附录1 YYT 0664符合性报告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CH3.5.05.08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软件验证与确认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GYS001-049-CH3.5.05.08(1)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集成测试计划和报告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GYS001-050-CH3.5.05.08(2)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系统测试计划和报告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GYS001-051-CH3.5.05.08(3)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用户测试计划和报告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CH3.5.05.09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版本更新历史</w:t>
            </w:r>
          </w:p>
        </w:tc>
        <w:tc>
          <w:tcPr>
            <w:tcW w:w="759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GYS001-052-CH3.5.05.09(1)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软件版本命名规则真实性声明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GYS001-053-CH3.5.05.09(2)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版本更新历史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CH3.5.05.10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剩余缺陷（错误、故障）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GYS001-054-CH3.5.05.10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剩余缺陷（错误、故障）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CH3.5.05.11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网络安全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GYS001-055-CH3.5.05.11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网络安全研究资料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CH3.5.05.12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互操作性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GYS001-056-CH3.5.05.12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互操作性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CH3.5.06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生物相容性和毒理学评价</w:t>
            </w:r>
          </w:p>
        </w:tc>
        <w:tc>
          <w:tcPr>
            <w:tcW w:w="759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</w:rPr>
              <w:t>GYS001-057-CH3.5.06(1)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</w:rPr>
              <w:t>生物学评价研究资料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</w:rPr>
              <w:t xml:space="preserve">GYS001-058-CH3.5.06(2)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</w:rPr>
              <w:t>生物相容性测试报告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CH3.5.07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非材料介导的热原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GYS001-059-CH3.5.07 非材料介导的热原研究资料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CH3.5.08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生物来源（人类/动物）材料的安全性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GYS001-060-CH3.5.08 生物来源（人类或动物）材料的安全性研究资料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CH3.5.08.1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证书/认证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GYS001-061-CH3.5.08.1 生物来源（人类或动物）材料的证书认证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CH3.5.09.1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最终使用者灭菌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GYS001-062-CH3.5.09.1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最终使用者灭菌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CH3.5.09.2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生产企业灭菌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GYS001-063-CH3.5.09.2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生产企业灭菌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CH3.5.09.3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残留毒性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GYS001-064-CH3.5.09.3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残留毒性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CH3.5.09.4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清洁和消毒确认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eastAsia="zh-CN"/>
              </w:rPr>
              <w:t xml:space="preserve">GYS001-065-CH3.5.09.4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eastAsia="zh-CN"/>
              </w:rPr>
              <w:t>消毒确认资料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CH3.5.09.5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可重复使用器械再处理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GYS001-066-CH3.5.09.5 可重复使用器械再处理研究资料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CH3.5.10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动物试验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GYS001-067-CH3.5.10 临床前动物试验研究资料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CH3.5.11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可用性/人为因素</w:t>
            </w:r>
          </w:p>
        </w:tc>
        <w:tc>
          <w:tcPr>
            <w:tcW w:w="759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GYS001-068-CH3.5.11 可用性研究资料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GYS001-069-CH3.5.11(1)人因设计研究报告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GYS001-070-CH3.5.11(2) 用户培训方案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GYS001-071-CH3.5.11(3) 培训记录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GYS001-072-CH3.5.11(4) 形成性可用性测试计划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GYS001-073-CH3.5.11(5) 形成性可用性测试报告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GYS001-074-CH3.5.11(6) 总结性可用性测试计划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GYS001-075-CH3.5.11(7) 总结性可用性测试报告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GYS001-076-CH3.5.11(8) 等效医疗器械对比评价报告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GYS001-077-CH3.5.11(9) 产品说明书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63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GYS001-078-CH3.5.11(10) 产品标签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CH3.6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非临床研究文献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GYS001-079-CH3.6 非临床研究文献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CH3.7.1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产品稳定性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GYS001-080-CH3.7.1(1) 有效期验证报告(有源)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GYS001-081-CH3.7.1(2) 加速老化试验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CH3.7.2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包装验证</w:t>
            </w:r>
          </w:p>
        </w:tc>
        <w:tc>
          <w:tcPr>
            <w:tcW w:w="759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GYS001-082-CH3.7.2(1) 使用次数验证资料(有限次重复使用器械)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GYS001-083-CH3.7.2(2) 包装及包装完整性验证报告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CH3.8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资料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GYS001-084-CH3.8 其他非临床研究资料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75" w:type="dxa"/>
            <w:gridSpan w:val="4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第4章——临床研究资料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CH4.1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章节目录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GYS001-085-CH4.1 临床研究资料章节目录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CH4.2.1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临床评价资料</w:t>
            </w:r>
          </w:p>
        </w:tc>
        <w:tc>
          <w:tcPr>
            <w:tcW w:w="759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GYS001-086-CH4.2.1(1)  临床评价资料(豁免临床)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GYS001-087-CH4.2.1(2)  临床评价资料(同品种)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GYS001-088-CH4.2.1(3)  临床评价资料(临床试验)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CH4.2.2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临床试验资料</w:t>
            </w:r>
          </w:p>
        </w:tc>
        <w:tc>
          <w:tcPr>
            <w:tcW w:w="759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GYS001-089-CH4.2.2(1) 临床试验协议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GYS001-090-CH4.2.2(2) 临床试验报告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GYS001-091-CH4.2.2(3) 临床试验数据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CH4.2.3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临床文献综述和其他合理的已知信息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GYS001-092-CH4.2.3 临床文献综述和其他合理的已知信息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CH4.3</w:t>
            </w:r>
          </w:p>
        </w:tc>
        <w:tc>
          <w:tcPr>
            <w:tcW w:w="1895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伦理委员会批准的相关文件</w:t>
            </w:r>
          </w:p>
        </w:tc>
        <w:tc>
          <w:tcPr>
            <w:tcW w:w="759" w:type="dxa"/>
            <w:vMerge w:val="restart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GYS001-093-CH4.3(1) 伦理委员会批件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GYS001-094-CH4.3(2) 知情同意书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9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GYS001-095-CH4.3(3) 临床试验方案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CH4.5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其他临床证据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GYS001-096-CH4.5 其他临床证据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75" w:type="dxa"/>
            <w:gridSpan w:val="4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第5章——说明书、标签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CH5.01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章节目录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GYS001-097-CH5.1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说明书、标签章节目录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CH5.02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产品/包装标签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GYS001-098-CH5.02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产品包装标签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CH5.03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包装说明/使用说明书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GYS001-099-CH5.03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包装说明使用说明书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CH5.05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医生说明书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GYS001-100-CH5.05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医生说明书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CH5.06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患者说明书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GYS001-101-CH5.06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患者说明书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CH5.07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技术说明书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GYS001-102-CH5.07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技术说明书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CH5.10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其他说明书标签材料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GYS001-103-CH5.10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其他说明书标签材料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75" w:type="dxa"/>
            <w:gridSpan w:val="4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1D41D5"/>
                <w:kern w:val="0"/>
                <w:sz w:val="21"/>
                <w:szCs w:val="21"/>
                <w:highlight w:val="none"/>
              </w:rPr>
              <w:t>第6A章——质量管理体系程序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CH6A.1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申请综述函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 xml:space="preserve">GYS001-104-CH6A.1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申请综述函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CH6A.2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章节目录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 xml:space="preserve">GYS001-105-CH6A.2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质量管理体系程序章节目录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CH6A.3.1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产品描述信息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GYS001-106-CH6A.3.1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产品描述信息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CH6A.3.2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一般生产信息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 xml:space="preserve">GYS001-107-CH6A.3.2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一般生产信息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CH6A.4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质量管理体系程序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GYS001-108-CH6A.4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质量管理体系程序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CH6A.5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管理责任程序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GYS001-109-CH6A.5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管理责任程序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CH6A.6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资源管理程序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GYS001-110-CH6A.6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资源管理程序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CH6A.7</w:t>
            </w:r>
          </w:p>
        </w:tc>
        <w:tc>
          <w:tcPr>
            <w:tcW w:w="189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产品实现程序</w:t>
            </w:r>
          </w:p>
        </w:tc>
        <w:tc>
          <w:tcPr>
            <w:tcW w:w="759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3058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GYS001-111-CH6A.7 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产品实现程序</w:t>
            </w:r>
          </w:p>
        </w:tc>
        <w:tc>
          <w:tcPr>
            <w:tcW w:w="995" w:type="dxa"/>
            <w:shd w:val="clear" w:color="auto" w:fill="FFFFFF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CH6A.8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测量、分析和改进程序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GYS001-112-CH6A.8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测量分析和改进程序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CH6A.9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其他质量体系程序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GYS001-113-CH6A.9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其他质量体系程序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75" w:type="dxa"/>
            <w:gridSpan w:val="4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1D41D5"/>
                <w:kern w:val="0"/>
                <w:sz w:val="21"/>
                <w:szCs w:val="21"/>
                <w:highlight w:val="none"/>
              </w:rPr>
              <w:t>第6B章——申报器械的质量管理体系信息</w:t>
            </w:r>
          </w:p>
        </w:tc>
        <w:tc>
          <w:tcPr>
            <w:tcW w:w="0" w:type="auto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CH6B.1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章节目录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GYS001-114-CH6B.1 申报器械的质量管理体系信息章节目录</w:t>
            </w:r>
          </w:p>
        </w:tc>
        <w:tc>
          <w:tcPr>
            <w:tcW w:w="0" w:type="auto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restart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CH6B.2</w:t>
            </w:r>
          </w:p>
        </w:tc>
        <w:tc>
          <w:tcPr>
            <w:tcW w:w="1895" w:type="dxa"/>
            <w:vMerge w:val="restart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 xml:space="preserve">质量管理体系 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信息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GYS001-115-CH6B.2(1)-注册申请人基本情况表</w:t>
            </w:r>
          </w:p>
        </w:tc>
        <w:tc>
          <w:tcPr>
            <w:tcW w:w="0" w:type="auto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GYS001-116-CH6B.2(2)-申请人组织机构图</w:t>
            </w:r>
          </w:p>
        </w:tc>
        <w:tc>
          <w:tcPr>
            <w:tcW w:w="0" w:type="auto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GYS001-117-CH6B.2(3)-生产企业及区域平面图</w:t>
            </w:r>
          </w:p>
        </w:tc>
        <w:tc>
          <w:tcPr>
            <w:tcW w:w="0" w:type="auto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GYS001-118-CH6B.2(4)-产品生产工艺流程图</w:t>
            </w:r>
          </w:p>
        </w:tc>
        <w:tc>
          <w:tcPr>
            <w:tcW w:w="0" w:type="auto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GYS001-119-CH6B.2(5)-主要生产设备和检验设备</w:t>
            </w:r>
          </w:p>
        </w:tc>
        <w:tc>
          <w:tcPr>
            <w:tcW w:w="0" w:type="auto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GYS001-120-CH6B.2(6)-质量管理体系自查报告</w:t>
            </w:r>
          </w:p>
        </w:tc>
        <w:tc>
          <w:tcPr>
            <w:tcW w:w="0" w:type="auto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95" w:type="dxa"/>
            <w:vMerge w:val="continue"/>
            <w:tcBorders/>
            <w:shd w:val="clear" w:color="auto" w:fill="FFFFFF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GYS001-121-CH6B.2(7)-拟查产品与既往产品在生产艺等方面的对比</w:t>
            </w:r>
          </w:p>
        </w:tc>
        <w:tc>
          <w:tcPr>
            <w:tcW w:w="0" w:type="auto"/>
            <w:shd w:val="clear" w:color="auto" w:fill="FFFFFF"/>
          </w:tcPr>
          <w:p>
            <w:pPr>
              <w:pageBreakBefore w:val="0"/>
              <w:kinsoku/>
              <w:wordWrap/>
              <w:overflowPunct w:val="0"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4 模板的使用注意事项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4.1 此模板是以国内三类递交为例进行编写，做境外注册递交的资料拟制时还需要考虑到与其他要求之间的差异。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4.2 此模板可能不包含具体产品的详细内容，部分内容需要结合产品在实际准备注册资料中进行细化；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4.3 此模板可能不包含所有最新的法规要求，部分内容需要结合最新法规要求在实际准备注册资料中进行细化；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4.4 后续的模板中会用以下三种括号来进行标注，以方便大家阅读。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“{}”之间为需要模板使用者独立填写的内容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“【】”之间为龙德对填写内容的相关要求作出的解释及补充说明。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“（）”之间为龙德对填写内容提供的参考示例。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4.5 注册实际递交资料只是“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CH1 第1章地区性管理信息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CH2 第2章申报产品综述资料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CH3 第3章非临床研究资料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CH4 第4章临床研究资料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  <w:t>CH5 第5章说明书标签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，CH6A 第6A章质量管理体系程序，CH6B 第6B章申报器械的质量管理体系信息”中的内容，“GYS001-000 前言”是对整体资料的说明。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5 其他提示：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该模板仅供参考，具体内容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请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以法规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要求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6 信息来源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如果需要更多的资料，扫描下方二维码，即可快速进入一站式知识平台医械宝！进入首页下滑找到高级版，即可立享一站式全方位医疗器械知识汇总平台。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</w:pPr>
      <w:r>
        <w:drawing>
          <wp:inline distT="0" distB="0" distL="114300" distR="114300">
            <wp:extent cx="1415415" cy="1400175"/>
            <wp:effectExtent l="0" t="0" r="13335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  <w:lang w:val="en-US" w:eastAsia="zh-CN" w:bidi="ar-SA"/>
        </w:rPr>
        <w:t>医械宝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或进入深圳市龙德生物科技有限公司官网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instrText xml:space="preserve"> HYPERLINK "https://hlongmed.com" </w:instrTex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Style w:val="7"/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https://hlongmed.com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2B6F5"/>
    <w:multiLevelType w:val="singleLevel"/>
    <w:tmpl w:val="5E62B6F5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DDD7DB2"/>
    <w:rsid w:val="13021765"/>
    <w:rsid w:val="19DA2300"/>
    <w:rsid w:val="1E907AE9"/>
    <w:rsid w:val="28B766F6"/>
    <w:rsid w:val="2E395471"/>
    <w:rsid w:val="3643781B"/>
    <w:rsid w:val="3B07083A"/>
    <w:rsid w:val="3BA42B0A"/>
    <w:rsid w:val="3D581DFE"/>
    <w:rsid w:val="42491C0F"/>
    <w:rsid w:val="462E437E"/>
    <w:rsid w:val="46561FD1"/>
    <w:rsid w:val="478163F5"/>
    <w:rsid w:val="4B950155"/>
    <w:rsid w:val="543A6A17"/>
    <w:rsid w:val="5854681A"/>
    <w:rsid w:val="5B3D4524"/>
    <w:rsid w:val="5DD72414"/>
    <w:rsid w:val="612B4FB0"/>
    <w:rsid w:val="638C3F6B"/>
    <w:rsid w:val="681F3395"/>
    <w:rsid w:val="6D082649"/>
    <w:rsid w:val="6D550ED5"/>
    <w:rsid w:val="6FAA0CDE"/>
    <w:rsid w:val="712832BA"/>
    <w:rsid w:val="73041C9C"/>
    <w:rsid w:val="77BE6726"/>
    <w:rsid w:val="7E8F578B"/>
    <w:rsid w:val="7F405C73"/>
    <w:rsid w:val="7F8738A2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3125</Words>
  <Characters>6080</Characters>
  <Lines>1</Lines>
  <Paragraphs>1</Paragraphs>
  <TotalTime>5</TotalTime>
  <ScaleCrop>false</ScaleCrop>
  <LinksUpToDate>false</LinksUpToDate>
  <CharactersWithSpaces>6207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2023-06-27T02:26:32Z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