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vertAlign w:val="baseline"/>
          <w:lang w:val="en-US" w:eastAsia="zh-CN" w:bidi="ar-SA"/>
        </w:rPr>
        <w:t>【产品生产工艺流程图，应当标明主要控制点与项目及主要原材料、采购件的来源及质量控制方法。】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7C9631D"/>
    <w:rsid w:val="681F3395"/>
    <w:rsid w:val="6FAA0CDE"/>
    <w:rsid w:val="73041C9C"/>
    <w:rsid w:val="7CA70FFF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2023-06-26T13:33:34Z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