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2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>其他说明书标签材料</w:t>
      </w:r>
    </w:p>
    <w:p>
      <w:pPr>
        <w:pStyle w:val="2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{此处放入其他说明书标签材料的内容}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R。根据注册申报事项以及产品实际判断是否适用，如适用，则需提交。如不适用，可以不必提交该资料。】</w:t>
      </w:r>
    </w:p>
    <w:p>
      <w:pPr>
        <w:pStyle w:val="2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07098A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2023-06-26T13:25:27Z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