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lang w:val="en-US" w:eastAsia="zh-CN"/>
        </w:rPr>
      </w:pPr>
      <w:r>
        <w:rPr>
          <w:rFonts w:hint="eastAsia" w:eastAsia="黑体"/>
          <w:b/>
          <w:bCs w:val="0"/>
          <w:kern w:val="44"/>
          <w:sz w:val="32"/>
          <w:szCs w:val="44"/>
          <w:lang w:val="en-US" w:eastAsia="zh-CN"/>
        </w:rPr>
        <w:t>其他非临床研究资料</w:t>
      </w:r>
    </w:p>
    <w:p>
      <w:pPr>
        <w:pStyle w:val="2"/>
        <w:rPr>
          <w:rFonts w:hint="eastAsia"/>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{此处放入其他非临床研究资料的内容}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R。根据注册申报事项以及产品实际判断是否适用，如适用，则需提交。如不适用，可以不必提交该资料。】</w:t>
      </w: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keepNext w:val="0"/>
        <w:keepLines w:val="0"/>
        <w:pageBreakBefore w:val="0"/>
        <w:widowControl w:val="0"/>
        <w:numPr>
          <w:ilvl w:val="0"/>
          <w:numId w:val="1"/>
        </w:numPr>
        <w:kinsoku/>
        <w:wordWrap/>
        <w:topLinePunct w:val="0"/>
        <w:autoSpaceDE/>
        <w:autoSpaceDN/>
        <w:bidi w:val="0"/>
        <w:adjustRightInd/>
        <w:snapToGrid/>
        <w:spacing w:line="240" w:lineRule="auto"/>
        <w:ind w:leftChars="0"/>
        <w:textAlignment w:val="auto"/>
        <w:rPr>
          <w:rFonts w:hint="default" w:ascii="宋体" w:hAnsi="宋体" w:eastAsia="宋体" w:cs="宋体"/>
          <w:b/>
          <w:bCs/>
          <w:kern w:val="0"/>
          <w:sz w:val="28"/>
          <w:szCs w:val="28"/>
          <w:lang w:val="en-US" w:eastAsia="zh-CN"/>
        </w:rPr>
      </w:pPr>
      <w:r>
        <w:rPr>
          <w:rFonts w:hint="default" w:ascii="宋体" w:hAnsi="宋体" w:eastAsia="宋体" w:cs="宋体"/>
          <w:b/>
          <w:bCs/>
          <w:kern w:val="0"/>
          <w:sz w:val="28"/>
          <w:szCs w:val="28"/>
          <w:lang w:val="en-US" w:eastAsia="zh-CN"/>
        </w:rPr>
        <w:t>其他产品性能</w:t>
      </w:r>
      <w:r>
        <w:rPr>
          <w:rFonts w:hint="eastAsia" w:ascii="宋体" w:hAnsi="宋体" w:eastAsia="宋体" w:cs="宋体"/>
          <w:b/>
          <w:bCs/>
          <w:kern w:val="0"/>
          <w:sz w:val="28"/>
          <w:szCs w:val="28"/>
          <w:lang w:val="en-US" w:eastAsia="zh-CN"/>
        </w:rPr>
        <w:t>指标相关的</w:t>
      </w:r>
      <w:r>
        <w:rPr>
          <w:rFonts w:hint="default" w:ascii="宋体" w:hAnsi="宋体" w:eastAsia="宋体" w:cs="宋体"/>
          <w:b/>
          <w:bCs/>
          <w:kern w:val="0"/>
          <w:sz w:val="28"/>
          <w:szCs w:val="28"/>
          <w:lang w:val="en-US" w:eastAsia="zh-CN"/>
        </w:rPr>
        <w:t>产品技术要求的研究和编制说明</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{此处放入其他产品性能指标相关的产品技术要求的研究和编制说明的内容}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【如有</w:t>
      </w:r>
      <w:r>
        <w:rPr>
          <w:rFonts w:hint="eastAsia" w:eastAsia="黑体"/>
          <w:bCs/>
          <w:i/>
          <w:iCs/>
          <w:color w:val="0070C0"/>
          <w:kern w:val="44"/>
          <w:sz w:val="21"/>
          <w:szCs w:val="21"/>
          <w:lang w:val="en-US" w:eastAsia="zh-CN"/>
        </w:rPr>
        <w:t>CH3.1-3.7之外的其他性能指标，需要提供该资料，</w:t>
      </w:r>
      <w:r>
        <w:rPr>
          <w:rFonts w:hint="eastAsia" w:eastAsia="黑体"/>
          <w:bCs/>
          <w:i/>
          <w:iCs/>
          <w:color w:val="0070C0"/>
          <w:kern w:val="44"/>
          <w:sz w:val="21"/>
          <w:szCs w:val="21"/>
          <w:lang w:val="zh-CN"/>
        </w:rPr>
        <w:t>建议考虑申报产品产品技术要求中的指标、需要符合的相关国家标准、行业标准、国际标准等、申报产品适用的专门的审评指导原则、《医疗器械安全和性能的基本原则》相关适用条款中有CH3.1-3.7之外的其他性能指标相关联的要求、设计阶段相关产品规格书等等；不同的产品要求不同，需要根据实际情况】</w:t>
      </w:r>
    </w:p>
    <w:p>
      <w:pPr>
        <w:pStyle w:val="2"/>
        <w:numPr>
          <w:ilvl w:val="0"/>
          <w:numId w:val="0"/>
        </w:numPr>
        <w:autoSpaceDE w:val="0"/>
        <w:autoSpaceDN w:val="0"/>
        <w:adjustRightInd w:val="0"/>
        <w:spacing w:line="400" w:lineRule="exact"/>
        <w:rPr>
          <w:rFonts w:hint="eastAsia"/>
          <w:color w:val="0B5FD1"/>
          <w:lang w:val="en-US" w:eastAsia="zh-CN"/>
        </w:rPr>
      </w:pPr>
    </w:p>
    <w:p>
      <w:pPr>
        <w:keepNext w:val="0"/>
        <w:keepLines w:val="0"/>
        <w:pageBreakBefore w:val="0"/>
        <w:widowControl w:val="0"/>
        <w:numPr>
          <w:ilvl w:val="0"/>
          <w:numId w:val="2"/>
        </w:numPr>
        <w:kinsoku/>
        <w:wordWrap/>
        <w:topLinePunct w:val="0"/>
        <w:autoSpaceDE/>
        <w:autoSpaceDN/>
        <w:bidi w:val="0"/>
        <w:adjustRightInd/>
        <w:snapToGrid/>
        <w:spacing w:line="240" w:lineRule="auto"/>
        <w:ind w:leftChars="0"/>
        <w:textAlignment w:val="auto"/>
        <w:rPr>
          <w:rFonts w:hint="default" w:ascii="宋体" w:hAnsi="宋体" w:eastAsia="宋体" w:cs="宋体"/>
          <w:b/>
          <w:bCs/>
          <w:kern w:val="0"/>
          <w:sz w:val="28"/>
          <w:szCs w:val="28"/>
          <w:lang w:val="en-US" w:eastAsia="zh-CN"/>
        </w:rPr>
      </w:pPr>
      <w:r>
        <w:rPr>
          <w:rFonts w:hint="default" w:ascii="宋体" w:hAnsi="宋体" w:eastAsia="宋体" w:cs="宋体"/>
          <w:b/>
          <w:bCs/>
          <w:kern w:val="0"/>
          <w:sz w:val="28"/>
          <w:szCs w:val="28"/>
          <w:lang w:val="en-US" w:eastAsia="zh-CN"/>
        </w:rPr>
        <w:t>其他产品性能指标</w:t>
      </w:r>
      <w:r>
        <w:rPr>
          <w:rFonts w:hint="eastAsia" w:ascii="宋体" w:hAnsi="宋体" w:eastAsia="宋体" w:cs="宋体"/>
          <w:b/>
          <w:bCs/>
          <w:kern w:val="0"/>
          <w:sz w:val="28"/>
          <w:szCs w:val="28"/>
          <w:lang w:val="en-US" w:eastAsia="zh-CN"/>
        </w:rPr>
        <w:t>的确定依据</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{此处放入其他产品性能指标的确定依据}</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【针对</w:t>
      </w:r>
      <w:r>
        <w:rPr>
          <w:rFonts w:hint="eastAsia" w:eastAsia="黑体"/>
          <w:bCs/>
          <w:i/>
          <w:iCs/>
          <w:color w:val="0070C0"/>
          <w:kern w:val="44"/>
          <w:sz w:val="21"/>
          <w:szCs w:val="21"/>
          <w:lang w:val="en-US" w:eastAsia="zh-CN"/>
        </w:rPr>
        <w:t>1中的</w:t>
      </w:r>
      <w:r>
        <w:rPr>
          <w:rFonts w:hint="eastAsia" w:eastAsia="黑体"/>
          <w:bCs/>
          <w:i/>
          <w:iCs/>
          <w:color w:val="0070C0"/>
          <w:kern w:val="44"/>
          <w:sz w:val="21"/>
          <w:szCs w:val="21"/>
          <w:lang w:val="zh-CN"/>
        </w:rPr>
        <w:t>其他产品性能指标逐条说明确定依据，确定依据包括但不限于相关国家标准、行业标准、国际标准、申报产品适用的专门的审评指导原则、已上市产品等等】</w:t>
      </w:r>
    </w:p>
    <w:p>
      <w:pPr>
        <w:pStyle w:val="2"/>
        <w:numPr>
          <w:ilvl w:val="0"/>
          <w:numId w:val="0"/>
        </w:numPr>
        <w:autoSpaceDE w:val="0"/>
        <w:autoSpaceDN w:val="0"/>
        <w:adjustRightInd w:val="0"/>
        <w:spacing w:line="400" w:lineRule="exact"/>
        <w:rPr>
          <w:kern w:val="0"/>
          <w:sz w:val="22"/>
        </w:rPr>
      </w:pPr>
    </w:p>
    <w:p>
      <w:pPr>
        <w:keepNext w:val="0"/>
        <w:keepLines w:val="0"/>
        <w:pageBreakBefore w:val="0"/>
        <w:widowControl w:val="0"/>
        <w:numPr>
          <w:ilvl w:val="0"/>
          <w:numId w:val="2"/>
        </w:numPr>
        <w:kinsoku/>
        <w:wordWrap/>
        <w:topLinePunct w:val="0"/>
        <w:autoSpaceDE/>
        <w:autoSpaceDN/>
        <w:bidi w:val="0"/>
        <w:adjustRightInd/>
        <w:snapToGrid/>
        <w:spacing w:line="240" w:lineRule="auto"/>
        <w:ind w:left="0" w:leftChars="0" w:firstLine="0" w:firstLineChars="0"/>
        <w:textAlignment w:val="auto"/>
        <w:rPr>
          <w:rFonts w:hint="default" w:ascii="宋体" w:hAnsi="宋体" w:eastAsia="宋体" w:cs="宋体"/>
          <w:b/>
          <w:bCs/>
          <w:kern w:val="0"/>
          <w:sz w:val="28"/>
          <w:szCs w:val="28"/>
          <w:lang w:val="en-US" w:eastAsia="zh-CN"/>
        </w:rPr>
      </w:pPr>
      <w:r>
        <w:rPr>
          <w:rFonts w:hint="default" w:ascii="宋体" w:hAnsi="宋体" w:eastAsia="宋体" w:cs="宋体"/>
          <w:b/>
          <w:bCs/>
          <w:kern w:val="0"/>
          <w:sz w:val="28"/>
          <w:szCs w:val="28"/>
          <w:lang w:val="en-US" w:eastAsia="zh-CN"/>
        </w:rPr>
        <w:t>其他产品性能指标的所采用的标准或方法</w:t>
      </w:r>
      <w:r>
        <w:rPr>
          <w:rFonts w:hint="eastAsia" w:ascii="宋体" w:hAnsi="宋体" w:eastAsia="宋体" w:cs="宋体"/>
          <w:b/>
          <w:bCs/>
          <w:kern w:val="0"/>
          <w:sz w:val="28"/>
          <w:szCs w:val="28"/>
          <w:lang w:val="en-US" w:eastAsia="zh-CN"/>
        </w:rPr>
        <w:t>，</w:t>
      </w:r>
      <w:r>
        <w:rPr>
          <w:rFonts w:hint="default" w:ascii="宋体" w:hAnsi="宋体" w:eastAsia="宋体" w:cs="宋体"/>
          <w:b/>
          <w:bCs/>
          <w:kern w:val="0"/>
          <w:sz w:val="28"/>
          <w:szCs w:val="28"/>
          <w:lang w:val="en-US" w:eastAsia="zh-CN"/>
        </w:rPr>
        <w:t>采用的原因及理论基础</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{此处放入其他产品性能指标的所采用的标准或方法，采用的原因及理论基础}</w:t>
      </w:r>
    </w:p>
    <w:p>
      <w:pPr>
        <w:pStyle w:val="2"/>
        <w:numPr>
          <w:ilvl w:val="0"/>
          <w:numId w:val="0"/>
        </w:numPr>
        <w:autoSpaceDE w:val="0"/>
        <w:autoSpaceDN w:val="0"/>
        <w:adjustRightInd w:val="0"/>
        <w:spacing w:line="400" w:lineRule="exact"/>
        <w:rPr>
          <w:rFonts w:hint="default"/>
          <w:kern w:val="0"/>
          <w:sz w:val="22"/>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default" w:ascii="宋体" w:hAnsi="宋体" w:eastAsia="宋体" w:cs="宋体"/>
          <w:b/>
          <w:bCs/>
          <w:kern w:val="0"/>
          <w:sz w:val="28"/>
          <w:szCs w:val="28"/>
          <w:lang w:val="en-US" w:eastAsia="zh-CN"/>
        </w:rPr>
      </w:pPr>
      <w:r>
        <w:rPr>
          <w:rFonts w:hint="eastAsia" w:ascii="宋体" w:hAnsi="宋体" w:cs="宋体"/>
          <w:b/>
          <w:bCs/>
          <w:kern w:val="0"/>
          <w:sz w:val="28"/>
          <w:szCs w:val="28"/>
          <w:lang w:val="en-US" w:eastAsia="zh-CN"/>
        </w:rPr>
        <w:t>4.</w:t>
      </w:r>
      <w:r>
        <w:rPr>
          <w:rFonts w:hint="eastAsia" w:ascii="宋体" w:hAnsi="宋体" w:eastAsia="宋体" w:cs="宋体"/>
          <w:b/>
          <w:bCs/>
          <w:kern w:val="0"/>
          <w:sz w:val="28"/>
          <w:szCs w:val="28"/>
          <w:lang w:val="en-US" w:eastAsia="zh-CN"/>
        </w:rPr>
        <w:t>其他产品性能研究</w:t>
      </w:r>
      <w:r>
        <w:rPr>
          <w:rFonts w:hint="eastAsia" w:ascii="宋体" w:hAnsi="宋体" w:cs="宋体"/>
          <w:b/>
          <w:bCs/>
          <w:kern w:val="0"/>
          <w:sz w:val="28"/>
          <w:szCs w:val="28"/>
          <w:lang w:val="en-US" w:eastAsia="zh-CN"/>
        </w:rPr>
        <w:t>资料</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{此处放入其他产品性能指标研究资料，或者用单独的附录}</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eastAsia="黑体"/>
          <w:bCs/>
          <w:i/>
          <w:iCs/>
          <w:color w:val="0070C0"/>
          <w:kern w:val="44"/>
          <w:sz w:val="21"/>
          <w:szCs w:val="21"/>
          <w:lang w:val="en-US" w:eastAsia="zh-CN"/>
        </w:rPr>
      </w:pPr>
      <w:r>
        <w:rPr>
          <w:rFonts w:hint="eastAsia" w:eastAsia="黑体"/>
          <w:bCs/>
          <w:i/>
          <w:iCs/>
          <w:color w:val="0070C0"/>
          <w:kern w:val="44"/>
          <w:sz w:val="21"/>
          <w:szCs w:val="21"/>
          <w:lang w:val="zh-CN"/>
        </w:rPr>
        <w:t>【以下</w:t>
      </w:r>
      <w:r>
        <w:rPr>
          <w:rFonts w:hint="eastAsia" w:eastAsia="黑体"/>
          <w:bCs/>
          <w:i/>
          <w:iCs/>
          <w:color w:val="0070C0"/>
          <w:kern w:val="44"/>
          <w:sz w:val="21"/>
          <w:szCs w:val="21"/>
          <w:lang w:val="en-US" w:eastAsia="zh-CN"/>
        </w:rPr>
        <w:t>4.1-4.4为建议包括的内容，供参考</w:t>
      </w:r>
      <w:r>
        <w:rPr>
          <w:rFonts w:hint="eastAsia" w:eastAsia="黑体"/>
          <w:bCs/>
          <w:i/>
          <w:iCs/>
          <w:color w:val="0070C0"/>
          <w:kern w:val="44"/>
          <w:sz w:val="21"/>
          <w:szCs w:val="21"/>
          <w:lang w:val="zh-CN"/>
        </w:rPr>
        <w:t>】</w:t>
      </w: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4.1 研究描述、研究编号、起始日期</w:t>
      </w: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4.2 总结</w:t>
      </w: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4.3 完整报告</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eastAsia="黑体"/>
          <w:bCs/>
          <w:i/>
          <w:iCs/>
          <w:color w:val="0070C0"/>
          <w:kern w:val="44"/>
          <w:sz w:val="21"/>
          <w:szCs w:val="21"/>
          <w:lang w:val="en-US" w:eastAsia="zh-CN"/>
        </w:rPr>
      </w:pPr>
      <w:r>
        <w:rPr>
          <w:rFonts w:hint="eastAsia" w:eastAsia="黑体"/>
          <w:bCs/>
          <w:i/>
          <w:iCs/>
          <w:color w:val="0070C0"/>
          <w:kern w:val="44"/>
          <w:sz w:val="21"/>
          <w:szCs w:val="21"/>
          <w:lang w:val="zh-CN"/>
        </w:rPr>
        <w:t>【建议至少包含研究方法、研究结果、研究结论】</w:t>
      </w: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4.4  统计数据</w:t>
      </w:r>
    </w:p>
    <w:p>
      <w:pPr>
        <w:pStyle w:val="2"/>
        <w:rPr>
          <w:rFonts w:hint="default" w:eastAsia="Univers 57 Condensed"/>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02D79"/>
    <w:multiLevelType w:val="singleLevel"/>
    <w:tmpl w:val="AFC02D79"/>
    <w:lvl w:ilvl="0" w:tentative="0">
      <w:start w:val="1"/>
      <w:numFmt w:val="decimal"/>
      <w:lvlText w:val="%1."/>
      <w:lvlJc w:val="left"/>
      <w:pPr>
        <w:tabs>
          <w:tab w:val="left" w:pos="312"/>
        </w:tabs>
      </w:pPr>
    </w:lvl>
  </w:abstractNum>
  <w:abstractNum w:abstractNumId="1">
    <w:nsid w:val="25179DE3"/>
    <w:multiLevelType w:val="singleLevel"/>
    <w:tmpl w:val="25179DE3"/>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yMGU0YjA5ZTBiYTE5YWQ1OGQ3OWVlNjQ4M2E0MDQifQ=="/>
  </w:docVars>
  <w:rsids>
    <w:rsidRoot w:val="002239B9"/>
    <w:rsid w:val="000857AE"/>
    <w:rsid w:val="00086FB7"/>
    <w:rsid w:val="000D6BCA"/>
    <w:rsid w:val="002239B9"/>
    <w:rsid w:val="008D66A9"/>
    <w:rsid w:val="00B41D81"/>
    <w:rsid w:val="00DB106B"/>
    <w:rsid w:val="04D55F72"/>
    <w:rsid w:val="05FF283E"/>
    <w:rsid w:val="19DA2300"/>
    <w:rsid w:val="1E907AE9"/>
    <w:rsid w:val="268364B1"/>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DELL</cp:lastModifiedBy>
  <dcterms:modified xsi:type="dcterms:W3CDTF">2023-06-26T12:58:05Z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