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center"/>
        <w:rPr>
          <w:rFonts w:hint="eastAsia" w:ascii="宋体" w:hAnsi="宋体" w:cs="Arial"/>
          <w:b/>
          <w:bCs/>
          <w:color w:val="000000"/>
          <w:kern w:val="0"/>
          <w:sz w:val="36"/>
          <w:szCs w:val="36"/>
          <w:lang w:val="en-US" w:eastAsia="zh-CN"/>
        </w:rPr>
      </w:pPr>
    </w:p>
    <w:p>
      <w:pPr>
        <w:pStyle w:val="2"/>
        <w:rPr>
          <w:rFonts w:hint="eastAsia" w:ascii="宋体" w:hAnsi="宋体" w:cs="Arial"/>
          <w:b/>
          <w:bCs/>
          <w:color w:val="000000"/>
          <w:kern w:val="0"/>
          <w:sz w:val="36"/>
          <w:szCs w:val="36"/>
          <w:lang w:val="en-US" w:eastAsia="zh-CN"/>
        </w:rPr>
      </w:pPr>
    </w:p>
    <w:p>
      <w:pPr>
        <w:pStyle w:val="2"/>
        <w:rPr>
          <w:rFonts w:hint="eastAsia" w:ascii="宋体" w:hAnsi="宋体" w:cs="Arial"/>
          <w:b/>
          <w:bCs/>
          <w:color w:val="000000"/>
          <w:kern w:val="0"/>
          <w:sz w:val="36"/>
          <w:szCs w:val="36"/>
          <w:lang w:val="en-US" w:eastAsia="zh-CN"/>
        </w:rPr>
      </w:pPr>
    </w:p>
    <w:p>
      <w:pPr>
        <w:keepNext w:val="0"/>
        <w:keepLines w:val="0"/>
        <w:widowControl/>
        <w:numPr>
          <w:ilvl w:val="0"/>
          <w:numId w:val="0"/>
        </w:numPr>
        <w:suppressLineNumbers w:val="0"/>
        <w:jc w:val="center"/>
        <w:rPr>
          <w:rFonts w:hint="eastAsia" w:ascii="宋体" w:hAnsi="宋体" w:cs="Arial"/>
          <w:b/>
          <w:bCs/>
          <w:color w:val="000000"/>
          <w:kern w:val="0"/>
          <w:sz w:val="36"/>
          <w:szCs w:val="36"/>
          <w:lang w:val="en-US" w:eastAsia="zh-CN"/>
        </w:rPr>
      </w:pPr>
      <w:r>
        <w:rPr>
          <w:rFonts w:hint="eastAsia" w:ascii="宋体" w:hAnsi="宋体" w:cs="Arial"/>
          <w:b/>
          <w:bCs/>
          <w:color w:val="000000"/>
          <w:kern w:val="0"/>
          <w:sz w:val="36"/>
          <w:szCs w:val="36"/>
          <w:lang w:val="en-US" w:eastAsia="zh-CN"/>
        </w:rPr>
        <w:t>加速老化试验方案</w:t>
      </w:r>
    </w:p>
    <w:p>
      <w:pPr>
        <w:pStyle w:val="2"/>
        <w:rPr>
          <w:rFonts w:hint="eastAsia" w:ascii="宋体" w:hAnsi="宋体" w:cs="Arial"/>
          <w:b/>
          <w:bCs/>
          <w:color w:val="000000"/>
          <w:kern w:val="0"/>
          <w:sz w:val="36"/>
          <w:szCs w:val="36"/>
          <w:lang w:val="en-US" w:eastAsia="zh-CN"/>
        </w:rPr>
      </w:pPr>
    </w:p>
    <w:p>
      <w:pPr>
        <w:pStyle w:val="2"/>
        <w:rPr>
          <w:rFonts w:hint="eastAsia" w:ascii="宋体" w:hAnsi="宋体" w:cs="Arial"/>
          <w:b/>
          <w:bCs/>
          <w:color w:val="000000"/>
          <w:kern w:val="0"/>
          <w:sz w:val="36"/>
          <w:szCs w:val="36"/>
          <w:lang w:val="en-US" w:eastAsia="zh-CN"/>
        </w:rPr>
      </w:pPr>
    </w:p>
    <w:p>
      <w:pPr>
        <w:pStyle w:val="2"/>
        <w:rPr>
          <w:rFonts w:hint="eastAsia" w:ascii="宋体" w:hAnsi="宋体" w:cs="Arial"/>
          <w:b/>
          <w:bCs/>
          <w:color w:val="000000"/>
          <w:kern w:val="0"/>
          <w:sz w:val="36"/>
          <w:szCs w:val="36"/>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ascii="宋体" w:hAnsi="宋体" w:cs="Arial"/>
          <w:b/>
          <w:bCs/>
          <w:color w:val="000000"/>
          <w:kern w:val="0"/>
          <w:sz w:val="36"/>
          <w:szCs w:val="36"/>
          <w:lang w:val="en-US" w:eastAsia="zh-CN"/>
        </w:rPr>
      </w:pPr>
    </w:p>
    <w:p>
      <w:pPr>
        <w:pStyle w:val="2"/>
        <w:rPr>
          <w:rFonts w:hint="default" w:ascii="宋体" w:hAnsi="宋体" w:cs="Arial"/>
          <w:b/>
          <w:bCs/>
          <w:color w:val="000000"/>
          <w:kern w:val="0"/>
          <w:sz w:val="36"/>
          <w:szCs w:val="36"/>
          <w:lang w:val="en-US" w:eastAsia="zh-CN"/>
        </w:rPr>
      </w:pPr>
    </w:p>
    <w:p>
      <w:pPr>
        <w:pStyle w:val="2"/>
        <w:rPr>
          <w:rFonts w:hint="default" w:ascii="宋体" w:hAnsi="宋体" w:cs="Arial"/>
          <w:b/>
          <w:bCs/>
          <w:color w:val="000000"/>
          <w:kern w:val="0"/>
          <w:sz w:val="36"/>
          <w:szCs w:val="36"/>
          <w:lang w:val="en-US" w:eastAsia="zh-CN"/>
        </w:rPr>
      </w:pPr>
    </w:p>
    <w:p>
      <w:pPr>
        <w:pStyle w:val="2"/>
        <w:rPr>
          <w:rFonts w:hint="default" w:ascii="宋体" w:hAnsi="宋体" w:cs="Arial"/>
          <w:b/>
          <w:bCs/>
          <w:color w:val="000000"/>
          <w:kern w:val="0"/>
          <w:sz w:val="36"/>
          <w:szCs w:val="36"/>
          <w:lang w:val="en-US" w:eastAsia="zh-CN"/>
        </w:rPr>
      </w:pPr>
    </w:p>
    <w:p>
      <w:pPr>
        <w:keepNext w:val="0"/>
        <w:keepLines w:val="0"/>
        <w:widowControl/>
        <w:numPr>
          <w:ilvl w:val="0"/>
          <w:numId w:val="0"/>
        </w:numPr>
        <w:suppressLineNumbers w:val="0"/>
        <w:jc w:val="left"/>
        <w:rPr>
          <w:rFonts w:hint="eastAsia" w:ascii="宋体" w:hAnsi="宋体" w:cs="Arial"/>
          <w:b/>
          <w:bCs/>
          <w:color w:val="000000"/>
          <w:kern w:val="0"/>
          <w:sz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 xml:space="preserve">1 </w:t>
      </w:r>
      <w:r>
        <w:rPr>
          <w:rFonts w:hint="eastAsia" w:ascii="Times New Roman" w:hAnsi="Times New Roman" w:cs="Times New Roman"/>
          <w:b/>
          <w:bCs/>
          <w:color w:val="000000"/>
          <w:kern w:val="0"/>
          <w:sz w:val="24"/>
          <w:szCs w:val="24"/>
          <w:lang w:val="en-US" w:eastAsia="zh-CN"/>
        </w:rPr>
        <w:t>基础</w:t>
      </w:r>
      <w:r>
        <w:rPr>
          <w:rFonts w:hint="default" w:ascii="Times New Roman" w:hAnsi="Times New Roman" w:eastAsia="宋体" w:cs="Times New Roman"/>
          <w:b/>
          <w:bCs/>
          <w:color w:val="000000"/>
          <w:kern w:val="0"/>
          <w:sz w:val="24"/>
          <w:szCs w:val="24"/>
          <w:lang w:val="en-US" w:eastAsia="zh-CN"/>
        </w:rPr>
        <w:t>信息</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eastAsia" w:ascii="Times New Roman" w:hAnsi="Times New Roman" w:cs="Times New Roman"/>
          <w:b w:val="0"/>
          <w:bCs w:val="0"/>
          <w:i/>
          <w:iCs/>
          <w:color w:val="0000FF"/>
          <w:kern w:val="0"/>
          <w:sz w:val="24"/>
          <w:szCs w:val="24"/>
          <w:lang w:val="en-US" w:eastAsia="zh-CN"/>
        </w:rPr>
        <w:t>1.1 产品信息</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lang w:val="en-US" w:eastAsia="zh-CN"/>
              </w:rPr>
              <w:t>产品名称</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lang w:val="en-US" w:eastAsia="zh-CN"/>
              </w:rPr>
              <w:t>产品型号</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产品序列号</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2130"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eastAsia" w:ascii="Times New Roman" w:hAnsi="Times New Roman" w:cs="Times New Roman"/>
          <w:b w:val="0"/>
          <w:bCs w:val="0"/>
          <w:i/>
          <w:iCs/>
          <w:color w:val="0000FF"/>
          <w:kern w:val="0"/>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eastAsia" w:ascii="Times New Roman" w:hAnsi="Times New Roman" w:cs="Times New Roman"/>
          <w:b w:val="0"/>
          <w:bCs w:val="0"/>
          <w:i/>
          <w:iCs/>
          <w:color w:val="0000FF"/>
          <w:kern w:val="0"/>
          <w:sz w:val="24"/>
          <w:szCs w:val="24"/>
          <w:lang w:val="en-US" w:eastAsia="zh-CN"/>
        </w:rPr>
      </w:pPr>
      <w:r>
        <w:rPr>
          <w:rFonts w:hint="eastAsia" w:ascii="Times New Roman" w:hAnsi="Times New Roman" w:cs="Times New Roman"/>
          <w:b w:val="0"/>
          <w:bCs w:val="0"/>
          <w:i/>
          <w:iCs/>
          <w:color w:val="0000FF"/>
          <w:kern w:val="0"/>
          <w:sz w:val="24"/>
          <w:szCs w:val="24"/>
          <w:lang w:val="en-US" w:eastAsia="zh-CN"/>
        </w:rPr>
        <w:t>1.2 检测设备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lang w:val="en-US" w:eastAsia="zh-CN"/>
              </w:rPr>
              <w:t>设备</w:t>
            </w:r>
            <w:r>
              <w:rPr>
                <w:rFonts w:hint="default" w:ascii="Times New Roman" w:hAnsi="Times New Roman" w:eastAsia="宋体" w:cs="Times New Roman"/>
                <w:b w:val="0"/>
                <w:bCs w:val="0"/>
                <w:i/>
                <w:iCs/>
                <w:color w:val="0000FF"/>
                <w:kern w:val="0"/>
                <w:sz w:val="24"/>
                <w:szCs w:val="24"/>
                <w:lang w:val="en-US" w:eastAsia="zh-CN"/>
              </w:rPr>
              <w:t>名称</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lang w:val="en-US" w:eastAsia="zh-CN"/>
              </w:rPr>
              <w:t>设备</w:t>
            </w:r>
            <w:r>
              <w:rPr>
                <w:rFonts w:hint="default" w:ascii="Times New Roman" w:hAnsi="Times New Roman" w:eastAsia="宋体" w:cs="Times New Roman"/>
                <w:b w:val="0"/>
                <w:bCs w:val="0"/>
                <w:i/>
                <w:iCs/>
                <w:color w:val="0000FF"/>
                <w:kern w:val="0"/>
                <w:sz w:val="24"/>
                <w:szCs w:val="24"/>
                <w:lang w:val="en-US" w:eastAsia="zh-CN"/>
              </w:rPr>
              <w:t>型号</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产品序列号</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制造商</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eastAsia" w:ascii="Times New Roman" w:hAnsi="Times New Roman" w:cs="Times New Roman"/>
                <w:b w:val="0"/>
                <w:bCs w:val="0"/>
                <w:i/>
                <w:iCs/>
                <w:color w:val="0000FF"/>
                <w:kern w:val="0"/>
                <w:sz w:val="24"/>
                <w:szCs w:val="24"/>
                <w:vertAlign w:val="baseline"/>
                <w:lang w:val="en-US" w:eastAsia="zh-CN"/>
              </w:rPr>
              <w:t>校准信息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c>
          <w:tcPr>
            <w:tcW w:w="1704"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vertAlign w:val="baseline"/>
                <w:lang w:val="en-US" w:eastAsia="zh-CN"/>
              </w:rPr>
            </w:pPr>
            <w:r>
              <w:rPr>
                <w:rFonts w:hint="default" w:ascii="Times New Roman" w:hAnsi="Times New Roman" w:eastAsia="宋体" w:cs="Times New Roman"/>
                <w:b w:val="0"/>
                <w:bCs w:val="0"/>
                <w:i/>
                <w:iCs/>
                <w:color w:val="0000FF"/>
                <w:kern w:val="0"/>
                <w:sz w:val="24"/>
                <w:szCs w:val="24"/>
                <w:vertAlign w:val="baseline"/>
                <w:lang w:val="en-US" w:eastAsia="zh-CN"/>
              </w:rPr>
              <w:t>***</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r>
        <w:rPr>
          <w:rFonts w:hint="default" w:ascii="Times New Roman" w:hAnsi="Times New Roman" w:eastAsia="宋体" w:cs="Times New Roman"/>
          <w:b w:val="0"/>
          <w:bCs w:val="0"/>
          <w:i/>
          <w:iCs/>
          <w:color w:val="0000FF"/>
          <w:kern w:val="0"/>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i/>
          <w:iCs/>
          <w:color w:val="0000FF"/>
          <w:kern w:val="0"/>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lang w:val="en-US" w:eastAsia="zh-CN"/>
        </w:rPr>
        <w:t xml:space="preserve">2 </w:t>
      </w:r>
      <w:r>
        <w:rPr>
          <w:rFonts w:hint="default" w:ascii="Times New Roman" w:hAnsi="Times New Roman" w:eastAsia="宋体" w:cs="Times New Roman"/>
          <w:b/>
          <w:bCs/>
          <w:color w:val="000000"/>
          <w:kern w:val="0"/>
          <w:sz w:val="24"/>
          <w:szCs w:val="24"/>
        </w:rPr>
        <w:t>产品介绍</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产品寿命由产品的主要组成部分的寿命及产品整机的寿命组成。产品主机包括PCBA，外壳，按键这三部，附件包括电缆线和电极片，附件是可更换部件，不是主要决定产品寿命的因素。</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对于各组成对产品寿命影响分析如下：</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表1 各部件对产品寿命的影响分析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44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组成部分</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对产品寿命的影响</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是否寿命决定主要因素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电子部分</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电子部分主要是产品的控制部分 ，关键影响部件，作为产品寿命的主要因素</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外壳</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保护内部电子部件，起支撑作用</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按键</w:t>
            </w:r>
          </w:p>
        </w:tc>
        <w:tc>
          <w:tcPr>
            <w:tcW w:w="5445"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使用寿命与次数有关，影响产品寿命主要因素</w:t>
            </w:r>
          </w:p>
        </w:tc>
        <w:tc>
          <w:tcPr>
            <w:tcW w:w="1859" w:type="dxa"/>
            <w:noWrap w:val="0"/>
            <w:vAlign w:val="top"/>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Times New Roman" w:hAnsi="Times New Roman" w:eastAsia="宋体" w:cs="Times New Roman"/>
                <w:color w:val="000000"/>
                <w:spacing w:val="8"/>
                <w:kern w:val="0"/>
                <w:sz w:val="24"/>
                <w:szCs w:val="24"/>
              </w:rPr>
            </w:pPr>
            <w:r>
              <w:rPr>
                <w:rFonts w:hint="default" w:ascii="Times New Roman" w:hAnsi="Times New Roman" w:eastAsia="宋体" w:cs="Times New Roman"/>
                <w:color w:val="000000"/>
                <w:spacing w:val="8"/>
                <w:kern w:val="0"/>
                <w:sz w:val="24"/>
                <w:szCs w:val="24"/>
              </w:rPr>
              <w:t>否</w:t>
            </w:r>
          </w:p>
        </w:tc>
      </w:tr>
    </w:tbl>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根据上表分析，影响本治疗仪寿命部件主要包括电子部分；因此，本试验对整机的寿命进行研究。</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p>
    <w:p>
      <w:pPr>
        <w:pStyle w:val="11"/>
        <w:keepNext w:val="0"/>
        <w:keepLines w:val="0"/>
        <w:pageBreakBefore w:val="0"/>
        <w:kinsoku/>
        <w:wordWrap/>
        <w:overflowPunct/>
        <w:topLinePunct w:val="0"/>
        <w:autoSpaceDE/>
        <w:autoSpaceDN/>
        <w:bidi w:val="0"/>
        <w:snapToGrid/>
        <w:spacing w:line="360" w:lineRule="auto"/>
        <w:ind w:firstLine="0" w:firstLineChars="0"/>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3、试验方案</w:t>
      </w:r>
    </w:p>
    <w:p>
      <w:pPr>
        <w:pStyle w:val="11"/>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lang w:val="en-US" w:eastAsia="zh-CN"/>
        </w:rPr>
        <w:t>3.1  确定样品数量：整机**</w:t>
      </w:r>
      <w:r>
        <w:rPr>
          <w:rFonts w:hint="default" w:ascii="Times New Roman" w:hAnsi="Times New Roman" w:eastAsia="宋体" w:cs="Times New Roman"/>
          <w:kern w:val="2"/>
          <w:sz w:val="24"/>
          <w:szCs w:val="24"/>
          <w:lang w:val="en-US" w:eastAsia="zh-CN" w:bidi="ar-SA"/>
        </w:rPr>
        <w:t>台。</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3.2 给定预期使用期限：预期使用期限3年。</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3.3 确定临床使用模式：工作模式。</w:t>
      </w:r>
    </w:p>
    <w:p>
      <w:pPr>
        <w:pStyle w:val="11"/>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i/>
          <w:iCs/>
          <w:color w:val="0000FF"/>
          <w:kern w:val="2"/>
          <w:sz w:val="24"/>
          <w:szCs w:val="24"/>
          <w:lang w:val="en-US" w:eastAsia="zh-CN" w:bidi="ar-SA"/>
        </w:rPr>
        <w:t>【有的机器，如监护仪有工作模式，待机模式和贮存模式需要分开评价】</w:t>
      </w:r>
    </w:p>
    <w:p>
      <w:pPr>
        <w:pStyle w:val="11"/>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3.4 确定应力大小：工作模式最高耐受温湿度：75˚C，85%RH。</w:t>
      </w:r>
    </w:p>
    <w:p>
      <w:pPr>
        <w:pStyle w:val="11"/>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iCs/>
          <w:color w:val="0000FF"/>
          <w:kern w:val="2"/>
          <w:sz w:val="24"/>
          <w:szCs w:val="24"/>
          <w:lang w:val="en-US" w:eastAsia="zh-CN" w:bidi="ar-SA"/>
        </w:rPr>
        <w:t>【有的机器，如监护仪有工作模式，待机模式和贮存模式需要分开评价】</w:t>
      </w:r>
      <w:r>
        <w:rPr>
          <w:rFonts w:hint="default" w:ascii="Times New Roman" w:hAnsi="Times New Roman" w:eastAsia="宋体" w:cs="Times New Roman"/>
          <w:kern w:val="2"/>
          <w:sz w:val="24"/>
          <w:szCs w:val="24"/>
          <w:lang w:val="en-US" w:eastAsia="zh-CN" w:bidi="ar-SA"/>
        </w:rPr>
        <w:br w:type="textWrapping"/>
      </w:r>
      <w:r>
        <w:rPr>
          <w:rFonts w:hint="default" w:ascii="Times New Roman" w:hAnsi="Times New Roman" w:eastAsia="宋体" w:cs="Times New Roman"/>
          <w:kern w:val="2"/>
          <w:sz w:val="24"/>
          <w:szCs w:val="24"/>
          <w:lang w:val="en-US" w:eastAsia="zh-CN" w:bidi="ar-SA"/>
        </w:rPr>
        <w:t>3.5 选择失效模型：</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决定电子部件的环境因素主要为温度和湿度，通过提高温度和湿度来考核电子部件的寿命。</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加速寿命试验是用加大试验应力(诸如热应力、电应力、机械应力等)的方法，而又不改变产品失效机理的方法，使产品的失效进程加速的寿命试验。由于加大了应力，使产品失效进程加快，从而缩短了试验周期。然后运用加速寿命模型，估计出正常应力下的电子产品寿命。</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加速环境试验的加速水平通常用加速因子来表示。加速因子的含义是指设备在正常工作应力下的寿命与在加速环境下的寿命之比，通俗来讲就是指一小时试验相当于正常使用的时间。因此，加速因子的计算成为加速寿命试验的核心问题。加速因子的计算也是基于一定的物理模型的。</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rPr>
        <w:t>温度的加速因子由Arrhenius 模型计算：</w:t>
      </w:r>
    </w:p>
    <w:p>
      <w:pPr>
        <w:keepNext w:val="0"/>
        <w:keepLines w:val="0"/>
        <w:pageBreakBefore w:val="0"/>
        <w:widowControl/>
        <w:shd w:val="clear" w:color="auto" w:fill="FFFFFF"/>
        <w:kinsoku/>
        <w:wordWrap/>
        <w:overflowPunct/>
        <w:topLinePunct w:val="0"/>
        <w:autoSpaceDE/>
        <w:autoSpaceDN/>
        <w:bidi w:val="0"/>
        <w:snapToGrid/>
        <w:spacing w:line="360" w:lineRule="auto"/>
        <w:ind w:firstLine="1680" w:firstLineChars="7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fldChar w:fldCharType="begin"/>
      </w:r>
      <w:r>
        <w:rPr>
          <w:rFonts w:hint="default" w:ascii="Times New Roman" w:hAnsi="Times New Roman" w:eastAsia="宋体" w:cs="Times New Roman"/>
          <w:color w:val="000000"/>
          <w:kern w:val="0"/>
          <w:sz w:val="24"/>
          <w:szCs w:val="24"/>
        </w:rPr>
        <w:instrText xml:space="preserve"> INCLUDEPICTURE "http://www.bokee.net/userfilemodule/download.do?action=reference&amp;id=2526020&amp;bokeeName=GRGTEST" \* MERGEFORMATINET </w:instrText>
      </w:r>
      <w:r>
        <w:rPr>
          <w:rFonts w:hint="default" w:ascii="Times New Roman" w:hAnsi="Times New Roman" w:eastAsia="宋体" w:cs="Times New Roman"/>
          <w:color w:val="000000"/>
          <w:kern w:val="0"/>
          <w:sz w:val="24"/>
          <w:szCs w:val="24"/>
        </w:rPr>
        <w:fldChar w:fldCharType="separate"/>
      </w:r>
      <w:r>
        <w:rPr>
          <w:rFonts w:hint="default" w:ascii="Times New Roman" w:hAnsi="Times New Roman" w:eastAsia="宋体" w:cs="Times New Roman"/>
          <w:color w:val="000000"/>
          <w:kern w:val="0"/>
          <w:sz w:val="24"/>
          <w:szCs w:val="24"/>
        </w:rPr>
        <w:drawing>
          <wp:inline distT="0" distB="0" distL="114300" distR="114300">
            <wp:extent cx="3985895" cy="765175"/>
            <wp:effectExtent l="0" t="0" r="1905" b="9525"/>
            <wp:docPr id="3" name="图片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ownload"/>
                    <pic:cNvPicPr>
                      <a:picLocks noChangeAspect="1"/>
                    </pic:cNvPicPr>
                  </pic:nvPicPr>
                  <pic:blipFill>
                    <a:blip r:embed="rId6"/>
                    <a:stretch>
                      <a:fillRect/>
                    </a:stretch>
                  </pic:blipFill>
                  <pic:spPr>
                    <a:xfrm>
                      <a:off x="0" y="0"/>
                      <a:ext cx="3985895" cy="765175"/>
                    </a:xfrm>
                    <a:prstGeom prst="rect">
                      <a:avLst/>
                    </a:prstGeom>
                    <a:noFill/>
                    <a:ln>
                      <a:noFill/>
                    </a:ln>
                  </pic:spPr>
                </pic:pic>
              </a:graphicData>
            </a:graphic>
          </wp:inline>
        </w:drawing>
      </w:r>
      <w:r>
        <w:rPr>
          <w:rFonts w:hint="default" w:ascii="Times New Roman" w:hAnsi="Times New Roman" w:eastAsia="宋体" w:cs="Times New Roman"/>
          <w:color w:val="000000"/>
          <w:kern w:val="0"/>
          <w:sz w:val="24"/>
          <w:szCs w:val="24"/>
        </w:rPr>
        <w:fldChar w:fldCharType="end"/>
      </w:r>
    </w:p>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其中，L</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为正常应力下的寿命，L</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为高温下的寿命，T</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为室温绝对温度，T</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为高温下的绝对温度，Ea为失效反应的活化能（eV），k为Boltzmann常数，8.62×10</w:t>
      </w:r>
      <w:r>
        <w:rPr>
          <w:rFonts w:hint="default" w:ascii="Times New Roman" w:hAnsi="Times New Roman" w:eastAsia="宋体" w:cs="Times New Roman"/>
          <w:color w:val="000000"/>
          <w:kern w:val="0"/>
          <w:sz w:val="24"/>
          <w:szCs w:val="24"/>
          <w:vertAlign w:val="superscript"/>
        </w:rPr>
        <w:t>－5</w:t>
      </w:r>
      <w:r>
        <w:rPr>
          <w:rFonts w:hint="default" w:ascii="Times New Roman" w:hAnsi="Times New Roman" w:eastAsia="宋体" w:cs="Times New Roman"/>
          <w:color w:val="000000"/>
          <w:kern w:val="0"/>
          <w:sz w:val="24"/>
          <w:szCs w:val="24"/>
        </w:rPr>
        <w:t>eV/K，实践表明绝大多数电子元器件的失效符合Arrhenius 模型，表2给出了半导体元器件常见的失效反应的活化能。</w:t>
      </w:r>
    </w:p>
    <w:p>
      <w:pPr>
        <w:keepNext w:val="0"/>
        <w:keepLines w:val="0"/>
        <w:pageBreakBefore w:val="0"/>
        <w:widowControl/>
        <w:shd w:val="clear" w:color="auto" w:fill="FFFFFF"/>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表2  半导体元器件常见失效类型的活化能</w:t>
      </w: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4"/>
        <w:gridCol w:w="2022"/>
        <w:gridCol w:w="34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设备名称</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失效类型</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失效机理</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活化能（eV）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Au-Al金属间产生化合物</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Al的电迁移</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IC（塑料）</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断开</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Al腐蚀</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IC（存贮器）</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氧化膜破坏</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二极管</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PN结破坏（Au-Si 固相反应）</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晶体管</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短路</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Au的电迁移</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发光玻璃极化</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Na离子漂移至Si氧化膜</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914"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MOS 器件</w:t>
            </w:r>
          </w:p>
        </w:tc>
        <w:tc>
          <w:tcPr>
            <w:tcW w:w="2022"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阈值电压漂移</w:t>
            </w:r>
          </w:p>
        </w:tc>
        <w:tc>
          <w:tcPr>
            <w:tcW w:w="3451"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Si-Si氧化膜的缓慢牵引</w:t>
            </w:r>
          </w:p>
        </w:tc>
        <w:tc>
          <w:tcPr>
            <w:tcW w:w="1878" w:type="dxa"/>
            <w:noWrap w:val="0"/>
            <w:vAlign w:val="center"/>
          </w:tcPr>
          <w:p>
            <w:pPr>
              <w:keepNext w:val="0"/>
              <w:keepLines w:val="0"/>
              <w:pageBreakBefore w:val="0"/>
              <w:widowControl/>
              <w:kinsoku/>
              <w:wordWrap/>
              <w:overflowPunct/>
              <w:topLinePunct w:val="0"/>
              <w:autoSpaceDE/>
              <w:autoSpaceDN/>
              <w:bidi w:val="0"/>
              <w:snapToGrid/>
              <w:spacing w:line="360" w:lineRule="auto"/>
              <w:ind w:left="105" w:leftChars="50" w:right="105" w:rightChars="5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kern w:val="0"/>
                <w:sz w:val="24"/>
                <w:szCs w:val="24"/>
              </w:rPr>
              <w:t>1.0</w:t>
            </w:r>
          </w:p>
        </w:tc>
      </w:tr>
    </w:tbl>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湿度的加速因子由Hallberg和Peck 模型计算：</w:t>
      </w:r>
    </w:p>
    <w:p>
      <w:pPr>
        <w:keepNext w:val="0"/>
        <w:keepLines w:val="0"/>
        <w:pageBreakBefore w:val="0"/>
        <w:widowControl/>
        <w:shd w:val="clear" w:color="auto" w:fill="FFFFFF"/>
        <w:kinsoku/>
        <w:wordWrap/>
        <w:overflowPunct/>
        <w:topLinePunct w:val="0"/>
        <w:autoSpaceDE/>
        <w:autoSpaceDN/>
        <w:bidi w:val="0"/>
        <w:snapToGrid/>
        <w:spacing w:line="360" w:lineRule="auto"/>
        <w:ind w:firstLine="1440" w:firstLineChars="6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fldChar w:fldCharType="begin"/>
      </w:r>
      <w:r>
        <w:rPr>
          <w:rFonts w:hint="default" w:ascii="Times New Roman" w:hAnsi="Times New Roman" w:eastAsia="宋体" w:cs="Times New Roman"/>
          <w:color w:val="000000"/>
          <w:kern w:val="0"/>
          <w:sz w:val="24"/>
          <w:szCs w:val="24"/>
        </w:rPr>
        <w:instrText xml:space="preserve"> INCLUDEPICTURE "http://www.bokee.net/userfilemodule/download.do?action=reference&amp;id=2529163&amp;bokeeName=GRGTEST" \* MERGEFORMATINET </w:instrText>
      </w:r>
      <w:r>
        <w:rPr>
          <w:rFonts w:hint="default" w:ascii="Times New Roman" w:hAnsi="Times New Roman" w:eastAsia="宋体" w:cs="Times New Roman"/>
          <w:color w:val="000000"/>
          <w:kern w:val="0"/>
          <w:sz w:val="24"/>
          <w:szCs w:val="24"/>
        </w:rPr>
        <w:fldChar w:fldCharType="separate"/>
      </w:r>
      <w:r>
        <w:rPr>
          <w:rFonts w:hint="default" w:ascii="Times New Roman" w:hAnsi="Times New Roman" w:eastAsia="宋体" w:cs="Times New Roman"/>
          <w:color w:val="000000"/>
          <w:kern w:val="0"/>
          <w:sz w:val="24"/>
          <w:szCs w:val="24"/>
        </w:rPr>
        <w:drawing>
          <wp:inline distT="0" distB="0" distL="114300" distR="114300">
            <wp:extent cx="3691255" cy="889000"/>
            <wp:effectExtent l="0" t="0" r="4445" b="0"/>
            <wp:docPr id="1" name="图片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ownload"/>
                    <pic:cNvPicPr>
                      <a:picLocks noChangeAspect="1"/>
                    </pic:cNvPicPr>
                  </pic:nvPicPr>
                  <pic:blipFill>
                    <a:blip r:embed="rId7"/>
                    <a:stretch>
                      <a:fillRect/>
                    </a:stretch>
                  </pic:blipFill>
                  <pic:spPr>
                    <a:xfrm>
                      <a:off x="0" y="0"/>
                      <a:ext cx="3691255" cy="889000"/>
                    </a:xfrm>
                    <a:prstGeom prst="rect">
                      <a:avLst/>
                    </a:prstGeom>
                    <a:noFill/>
                    <a:ln>
                      <a:noFill/>
                    </a:ln>
                  </pic:spPr>
                </pic:pic>
              </a:graphicData>
            </a:graphic>
          </wp:inline>
        </w:drawing>
      </w:r>
      <w:r>
        <w:rPr>
          <w:rFonts w:hint="default" w:ascii="Times New Roman" w:hAnsi="Times New Roman" w:eastAsia="宋体" w:cs="Times New Roman"/>
          <w:color w:val="000000"/>
          <w:kern w:val="0"/>
          <w:sz w:val="24"/>
          <w:szCs w:val="24"/>
        </w:rPr>
        <w:fldChar w:fldCharType="end"/>
      </w:r>
    </w:p>
    <w:p>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其中，RH</w:t>
      </w:r>
      <w:r>
        <w:rPr>
          <w:rFonts w:hint="default" w:ascii="Times New Roman" w:hAnsi="Times New Roman" w:eastAsia="宋体" w:cs="Times New Roman"/>
          <w:color w:val="000000"/>
          <w:kern w:val="0"/>
          <w:sz w:val="24"/>
          <w:szCs w:val="24"/>
          <w:vertAlign w:val="subscript"/>
        </w:rPr>
        <w:t>stress</w:t>
      </w:r>
      <w:r>
        <w:rPr>
          <w:rFonts w:hint="default" w:ascii="Times New Roman" w:hAnsi="Times New Roman" w:eastAsia="宋体" w:cs="Times New Roman"/>
          <w:color w:val="000000"/>
          <w:kern w:val="0"/>
          <w:sz w:val="24"/>
          <w:szCs w:val="24"/>
        </w:rPr>
        <w:t xml:space="preserve"> 为加速试验相对湿度，RH</w:t>
      </w:r>
      <w:r>
        <w:rPr>
          <w:rFonts w:hint="default" w:ascii="Times New Roman" w:hAnsi="Times New Roman" w:eastAsia="宋体" w:cs="Times New Roman"/>
          <w:color w:val="000000"/>
          <w:kern w:val="0"/>
          <w:sz w:val="24"/>
          <w:szCs w:val="24"/>
          <w:vertAlign w:val="subscript"/>
        </w:rPr>
        <w:t>normal</w:t>
      </w:r>
      <w:r>
        <w:rPr>
          <w:rFonts w:hint="default" w:ascii="Times New Roman" w:hAnsi="Times New Roman" w:eastAsia="宋体" w:cs="Times New Roman"/>
          <w:color w:val="000000"/>
          <w:kern w:val="0"/>
          <w:sz w:val="24"/>
          <w:szCs w:val="24"/>
        </w:rPr>
        <w:t>为正常工作相对湿度，n为湿度的加速率常数，不同的失效类型对应不同的值，一般介于2～3之间。</w:t>
      </w:r>
    </w:p>
    <w:p>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p>
    <w:p>
      <w:pPr>
        <w:pStyle w:val="11"/>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3.6 确定加速试验时间</w:t>
      </w:r>
    </w:p>
    <w:p>
      <w:pPr>
        <w:pStyle w:val="11"/>
        <w:keepNext w:val="0"/>
        <w:keepLines w:val="0"/>
        <w:pageBreakBefore w:val="0"/>
        <w:kinsoku/>
        <w:wordWrap/>
        <w:overflowPunct/>
        <w:topLinePunct w:val="0"/>
        <w:autoSpaceDE/>
        <w:autoSpaceDN/>
        <w:bidi w:val="0"/>
        <w:snapToGrid/>
        <w:spacing w:line="360" w:lineRule="auto"/>
        <w:ind w:firstLine="48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决定这些电子部件的环境因素主要为温度和湿度，通过提高温度和湿度来考核电子部件的寿命。涉及温度和湿度两种应力，因此，通过提高试验温度和湿度来考核产品的使用寿命，在75℃，85%RH下做加速寿命测试，分别计算各应力的加速因子，然后相乘得到整个加速试验的加速因子，计算如下：</w:t>
      </w:r>
    </w:p>
    <w:p>
      <w:pPr>
        <w:pStyle w:val="11"/>
        <w:keepNext w:val="0"/>
        <w:keepLines w:val="0"/>
        <w:pageBreakBefore w:val="0"/>
        <w:kinsoku/>
        <w:wordWrap/>
        <w:overflowPunct/>
        <w:topLinePunct w:val="0"/>
        <w:autoSpaceDE/>
        <w:autoSpaceDN/>
        <w:bidi w:val="0"/>
        <w:snapToGrid/>
        <w:spacing w:line="360" w:lineRule="auto"/>
        <w:ind w:firstLine="480"/>
        <w:jc w:val="left"/>
        <w:textAlignment w:val="auto"/>
        <w:rPr>
          <w:rFonts w:hint="default" w:ascii="Times New Roman" w:hAnsi="Times New Roman" w:eastAsia="宋体" w:cs="Times New Roman"/>
          <w:color w:val="000000"/>
          <w:kern w:val="0"/>
          <w:position w:val="-10"/>
          <w:sz w:val="24"/>
          <w:szCs w:val="24"/>
        </w:rPr>
      </w:pPr>
      <w:r>
        <w:rPr>
          <w:rFonts w:hint="default" w:ascii="Times New Roman" w:hAnsi="Times New Roman" w:eastAsia="宋体" w:cs="Times New Roman"/>
          <w:color w:val="000000"/>
          <w:kern w:val="0"/>
          <w:position w:val="-10"/>
          <w:sz w:val="24"/>
          <w:szCs w:val="24"/>
        </w:rPr>
        <w:fldChar w:fldCharType="begin"/>
      </w:r>
      <w:r>
        <w:rPr>
          <w:rFonts w:hint="default" w:ascii="Times New Roman" w:hAnsi="Times New Roman" w:eastAsia="宋体" w:cs="Times New Roman"/>
          <w:color w:val="000000"/>
          <w:kern w:val="0"/>
          <w:position w:val="-10"/>
          <w:sz w:val="24"/>
          <w:szCs w:val="24"/>
        </w:rPr>
        <w:instrText xml:space="preserve"> INCLUDEPICTURE "http://www.bokee.net/userfilemodule/download.do?action=reference&amp;id=2529166&amp;bokeeName=GRGTEST" \* MERGEFORMATINET </w:instrText>
      </w:r>
      <w:r>
        <w:rPr>
          <w:rFonts w:hint="default" w:ascii="Times New Roman" w:hAnsi="Times New Roman" w:eastAsia="宋体" w:cs="Times New Roman"/>
          <w:color w:val="000000"/>
          <w:kern w:val="0"/>
          <w:position w:val="-10"/>
          <w:sz w:val="24"/>
          <w:szCs w:val="24"/>
        </w:rPr>
        <w:fldChar w:fldCharType="separate"/>
      </w:r>
      <w:r>
        <w:rPr>
          <w:rFonts w:hint="default" w:ascii="Times New Roman" w:hAnsi="Times New Roman" w:eastAsia="宋体" w:cs="Times New Roman"/>
          <w:color w:val="000000"/>
          <w:kern w:val="0"/>
          <w:position w:val="-10"/>
          <w:sz w:val="24"/>
          <w:szCs w:val="24"/>
        </w:rPr>
        <w:drawing>
          <wp:inline distT="0" distB="0" distL="114300" distR="114300">
            <wp:extent cx="4218940" cy="1124585"/>
            <wp:effectExtent l="0" t="0" r="10160" b="5715"/>
            <wp:docPr id="2" name="图片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download"/>
                    <pic:cNvPicPr>
                      <a:picLocks noChangeAspect="1"/>
                    </pic:cNvPicPr>
                  </pic:nvPicPr>
                  <pic:blipFill>
                    <a:blip r:embed="rId8"/>
                    <a:stretch>
                      <a:fillRect/>
                    </a:stretch>
                  </pic:blipFill>
                  <pic:spPr>
                    <a:xfrm>
                      <a:off x="0" y="0"/>
                      <a:ext cx="4218940" cy="1124585"/>
                    </a:xfrm>
                    <a:prstGeom prst="rect">
                      <a:avLst/>
                    </a:prstGeom>
                    <a:noFill/>
                    <a:ln>
                      <a:noFill/>
                    </a:ln>
                  </pic:spPr>
                </pic:pic>
              </a:graphicData>
            </a:graphic>
          </wp:inline>
        </w:drawing>
      </w:r>
      <w:r>
        <w:rPr>
          <w:rFonts w:hint="default" w:ascii="Times New Roman" w:hAnsi="Times New Roman" w:eastAsia="宋体" w:cs="Times New Roman"/>
          <w:color w:val="000000"/>
          <w:kern w:val="0"/>
          <w:position w:val="-10"/>
          <w:sz w:val="24"/>
          <w:szCs w:val="24"/>
        </w:rPr>
        <w:fldChar w:fldCharType="end"/>
      </w:r>
      <w:r>
        <w:rPr>
          <w:rFonts w:hint="default" w:ascii="Times New Roman" w:hAnsi="Times New Roman" w:eastAsia="宋体" w:cs="Times New Roman"/>
          <w:color w:val="000000"/>
          <w:kern w:val="0"/>
          <w:position w:val="-10"/>
          <w:sz w:val="24"/>
          <w:szCs w:val="24"/>
        </w:rPr>
        <w:t>……（1）</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其中，Ea为激活能（eV），k为玻尔兹曼常数且k=8.6×10-5eV/K，T为绝对温度、RH为相对湿度（单位％），一般情况下n取为2.</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     试验采用每个型号1台样机同时进行恒定应力寿命试验，试验时仪器正常通电，试验过程每天进行两次功能测试，以验证试验阶段产品的完好性。每台白天进行7个小时试验（9:30~16:30）停止试验后是产品回到正常工作环境状态静止30分钟，然后17：00进行功能测试，测试完后继续进行15个小时晚间的加速老化试验（17:30~次日8:30），次日上午上班时停止试验，使产品回到正常工作环境状态静止30分钟，9:00对产品的功能进行测试，如此反复，直至</w:t>
      </w:r>
      <w:r>
        <w:rPr>
          <w:rFonts w:hint="default" w:ascii="Times New Roman" w:hAnsi="Times New Roman" w:eastAsia="宋体" w:cs="Times New Roman"/>
          <w:color w:val="000000"/>
          <w:kern w:val="0"/>
          <w:sz w:val="24"/>
          <w:szCs w:val="24"/>
          <w:lang w:val="en-US" w:eastAsia="zh-CN"/>
        </w:rPr>
        <w:t>仪器</w:t>
      </w:r>
      <w:r>
        <w:rPr>
          <w:rFonts w:hint="default" w:ascii="Times New Roman" w:hAnsi="Times New Roman" w:eastAsia="宋体" w:cs="Times New Roman"/>
          <w:color w:val="000000"/>
          <w:kern w:val="0"/>
          <w:sz w:val="24"/>
          <w:szCs w:val="24"/>
        </w:rPr>
        <w:t>出现故障（除使用说明书已列明的可更换的耗材和配件），试验结束，每天剔除试验后一起静止时间和两次功能测试每天有效试验时间不少于22小时。</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3.7 确定功能测试项目：根据产品技术要求，确定某测试范围和测试精度为基本性能测试项目，根据GB 9706.1-2007，确定接地电阻、漏电流和电介质强度为基本安全测试项目。</w:t>
      </w:r>
    </w:p>
    <w:p>
      <w:pPr>
        <w:keepNext w:val="0"/>
        <w:keepLines w:val="0"/>
        <w:pageBreakBefore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sz w:val="24"/>
          <w:szCs w:val="24"/>
        </w:rPr>
      </w:pPr>
    </w:p>
    <w:p>
      <w:pPr>
        <w:pStyle w:val="11"/>
        <w:keepNext w:val="0"/>
        <w:keepLines w:val="0"/>
        <w:pageBreakBefore w:val="0"/>
        <w:kinsoku/>
        <w:wordWrap/>
        <w:overflowPunct/>
        <w:topLinePunct w:val="0"/>
        <w:autoSpaceDE/>
        <w:autoSpaceDN/>
        <w:bidi w:val="0"/>
        <w:snapToGrid/>
        <w:spacing w:line="360" w:lineRule="auto"/>
        <w:ind w:firstLine="0" w:firstLineChars="0"/>
        <w:jc w:val="left"/>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4、试验结果</w:t>
      </w:r>
    </w:p>
    <w:p>
      <w:pPr>
        <w:pStyle w:val="11"/>
        <w:keepNext w:val="0"/>
        <w:keepLines w:val="0"/>
        <w:pageBreakBefore w:val="0"/>
        <w:kinsoku/>
        <w:wordWrap/>
        <w:overflowPunct/>
        <w:topLinePunct w:val="0"/>
        <w:autoSpaceDE/>
        <w:autoSpaceDN/>
        <w:bidi w:val="0"/>
        <w:snapToGrid/>
        <w:spacing w:line="360" w:lineRule="auto"/>
        <w:ind w:firstLine="480" w:firstLineChars="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实验从2012年9月28日开始，至（9月29日），实际有效的试验时间为（1.5）天，每天试验为22小时，共（30）小时，本实验是75℃，85%RH下做加速寿命测试，故其加速因子应为温度加速因子和文档加速因子的乘积，计算如下：</w:t>
      </w:r>
    </w:p>
    <w:p>
      <w:pPr>
        <w:pStyle w:val="11"/>
        <w:keepNext w:val="0"/>
        <w:keepLines w:val="0"/>
        <w:pageBreakBefore w:val="0"/>
        <w:kinsoku/>
        <w:wordWrap/>
        <w:overflowPunct/>
        <w:topLinePunct w:val="0"/>
        <w:autoSpaceDE/>
        <w:autoSpaceDN/>
        <w:bidi w:val="0"/>
        <w:snapToGrid/>
        <w:spacing w:line="360" w:lineRule="auto"/>
        <w:ind w:firstLine="480" w:firstLineChars="0"/>
        <w:jc w:val="left"/>
        <w:textAlignment w:val="auto"/>
        <w:rPr>
          <w:rFonts w:hint="default" w:ascii="Times New Roman" w:hAnsi="Times New Roman" w:eastAsia="宋体" w:cs="Times New Roman"/>
          <w:color w:val="000000"/>
          <w:kern w:val="0"/>
          <w:position w:val="-10"/>
          <w:sz w:val="24"/>
          <w:szCs w:val="24"/>
        </w:rPr>
      </w:pPr>
      <w:r>
        <w:rPr>
          <w:rFonts w:hint="default" w:ascii="Times New Roman" w:hAnsi="Times New Roman" w:eastAsia="宋体" w:cs="Times New Roman"/>
          <w:color w:val="000000"/>
          <w:kern w:val="0"/>
          <w:position w:val="-10"/>
          <w:sz w:val="24"/>
          <w:szCs w:val="24"/>
        </w:rPr>
        <w:fldChar w:fldCharType="begin"/>
      </w:r>
      <w:r>
        <w:rPr>
          <w:rFonts w:hint="default" w:ascii="Times New Roman" w:hAnsi="Times New Roman" w:eastAsia="宋体" w:cs="Times New Roman"/>
          <w:color w:val="000000"/>
          <w:kern w:val="0"/>
          <w:position w:val="-10"/>
          <w:sz w:val="24"/>
          <w:szCs w:val="24"/>
        </w:rPr>
        <w:instrText xml:space="preserve"> INCLUDEPICTURE "http://www.bokee.net/userfilemodule/download.do?action=reference&amp;id=2529166&amp;bokeeName=GRGTEST" \* MERGEFORMATINET </w:instrText>
      </w:r>
      <w:r>
        <w:rPr>
          <w:rFonts w:hint="default" w:ascii="Times New Roman" w:hAnsi="Times New Roman" w:eastAsia="宋体" w:cs="Times New Roman"/>
          <w:color w:val="000000"/>
          <w:kern w:val="0"/>
          <w:position w:val="-10"/>
          <w:sz w:val="24"/>
          <w:szCs w:val="24"/>
        </w:rPr>
        <w:fldChar w:fldCharType="separate"/>
      </w:r>
      <w:r>
        <w:rPr>
          <w:rFonts w:hint="default" w:ascii="Times New Roman" w:hAnsi="Times New Roman" w:eastAsia="宋体" w:cs="Times New Roman"/>
          <w:color w:val="000000"/>
          <w:kern w:val="0"/>
          <w:position w:val="-10"/>
          <w:sz w:val="24"/>
          <w:szCs w:val="24"/>
        </w:rPr>
        <w:drawing>
          <wp:inline distT="0" distB="0" distL="114300" distR="114300">
            <wp:extent cx="4218940" cy="1124585"/>
            <wp:effectExtent l="0" t="0" r="10160" b="5715"/>
            <wp:docPr id="6" name="图片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ownload"/>
                    <pic:cNvPicPr>
                      <a:picLocks noChangeAspect="1"/>
                    </pic:cNvPicPr>
                  </pic:nvPicPr>
                  <pic:blipFill>
                    <a:blip r:embed="rId8"/>
                    <a:stretch>
                      <a:fillRect/>
                    </a:stretch>
                  </pic:blipFill>
                  <pic:spPr>
                    <a:xfrm>
                      <a:off x="0" y="0"/>
                      <a:ext cx="4218940" cy="1124585"/>
                    </a:xfrm>
                    <a:prstGeom prst="rect">
                      <a:avLst/>
                    </a:prstGeom>
                    <a:noFill/>
                    <a:ln>
                      <a:noFill/>
                    </a:ln>
                  </pic:spPr>
                </pic:pic>
              </a:graphicData>
            </a:graphic>
          </wp:inline>
        </w:drawing>
      </w:r>
      <w:r>
        <w:rPr>
          <w:rFonts w:hint="default" w:ascii="Times New Roman" w:hAnsi="Times New Roman" w:eastAsia="宋体" w:cs="Times New Roman"/>
          <w:color w:val="000000"/>
          <w:kern w:val="0"/>
          <w:position w:val="-10"/>
          <w:sz w:val="24"/>
          <w:szCs w:val="24"/>
        </w:rPr>
        <w:fldChar w:fldCharType="end"/>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position w:val="-10"/>
          <w:sz w:val="24"/>
          <w:szCs w:val="24"/>
        </w:rPr>
        <w:t>其中，Ea为激活能（eV），</w:t>
      </w:r>
      <w:r>
        <w:rPr>
          <w:rFonts w:hint="default" w:ascii="Times New Roman" w:hAnsi="Times New Roman" w:eastAsia="宋体" w:cs="Times New Roman"/>
          <w:color w:val="000000"/>
          <w:kern w:val="0"/>
          <w:sz w:val="24"/>
          <w:szCs w:val="24"/>
        </w:rPr>
        <w:t>k为玻尔兹曼常数且k=8.6×10</w:t>
      </w:r>
      <w:r>
        <w:rPr>
          <w:rFonts w:hint="default" w:ascii="Times New Roman" w:hAnsi="Times New Roman" w:eastAsia="宋体" w:cs="Times New Roman"/>
          <w:color w:val="000000"/>
          <w:kern w:val="0"/>
          <w:sz w:val="24"/>
          <w:szCs w:val="24"/>
          <w:vertAlign w:val="superscript"/>
        </w:rPr>
        <w:t>-5</w:t>
      </w:r>
      <w:r>
        <w:rPr>
          <w:rFonts w:hint="default" w:ascii="Times New Roman" w:hAnsi="Times New Roman" w:eastAsia="宋体" w:cs="Times New Roman"/>
          <w:color w:val="000000"/>
          <w:kern w:val="0"/>
          <w:sz w:val="24"/>
          <w:szCs w:val="24"/>
        </w:rPr>
        <w:t>eV/K，T为绝对温度、RH为相对湿度（单位％），一般情况下n取为2.</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产品的特性，取Ea为0.6eV，室温为25℃，75%RH，把上述数据带入计算，求AF=37，及在75℃，85%RH下做1小时试验相当于室温下寿命约37小时。试验总时间为（30）小时，相对于正常环境工作时间为（试验总时间）*37=（1110）小时。由于仪器个人使用时每天实际连续工作不超过2小时，如果在临床机构使用，实际连续工作时间不超过8小时，一年365天，按照临床使用机构的使用时间计算，一年仪器的工作时间为365*8=2920小时，故仪器的理论使用寿命为（正常工作环境时间）/2920=（3.8）年，考虑试验的偏差以及一些非预期的因素，确保仪器的安全有效，确定其有效期为3年。</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kern w:val="0"/>
          <w:sz w:val="24"/>
          <w:szCs w:val="24"/>
        </w:rPr>
      </w:pPr>
    </w:p>
    <w:p>
      <w:pPr>
        <w:pStyle w:val="11"/>
        <w:keepNext w:val="0"/>
        <w:keepLines w:val="0"/>
        <w:pageBreakBefore w:val="0"/>
        <w:kinsoku/>
        <w:wordWrap/>
        <w:overflowPunct/>
        <w:topLinePunct w:val="0"/>
        <w:autoSpaceDE/>
        <w:autoSpaceDN/>
        <w:bidi w:val="0"/>
        <w:snapToGrid/>
        <w:spacing w:line="360" w:lineRule="auto"/>
        <w:ind w:firstLine="0" w:firstLineChars="0"/>
        <w:jc w:val="left"/>
        <w:textAlignment w:val="auto"/>
        <w:rPr>
          <w:rFonts w:hint="default" w:ascii="Times New Roman" w:hAnsi="Times New Roman" w:eastAsia="宋体" w:cs="Times New Roman"/>
          <w:b/>
          <w:color w:val="000000"/>
          <w:kern w:val="0"/>
          <w:sz w:val="24"/>
          <w:szCs w:val="24"/>
          <w:lang w:val="en-US" w:eastAsia="zh-CN"/>
        </w:rPr>
      </w:pPr>
      <w:r>
        <w:rPr>
          <w:rFonts w:hint="default" w:ascii="Times New Roman" w:hAnsi="Times New Roman" w:eastAsia="宋体" w:cs="Times New Roman"/>
          <w:b/>
          <w:color w:val="000000"/>
          <w:kern w:val="0"/>
          <w:sz w:val="24"/>
          <w:szCs w:val="24"/>
          <w:lang w:val="en-US" w:eastAsia="zh-CN"/>
        </w:rPr>
        <w:t>5</w:t>
      </w:r>
      <w:r>
        <w:rPr>
          <w:rFonts w:hint="eastAsia" w:ascii="Times New Roman" w:hAnsi="Times New Roman" w:cs="Times New Roman"/>
          <w:b/>
          <w:color w:val="000000"/>
          <w:kern w:val="0"/>
          <w:sz w:val="24"/>
          <w:szCs w:val="24"/>
          <w:lang w:val="en-US" w:eastAsia="zh-CN"/>
        </w:rPr>
        <w:t>、</w:t>
      </w:r>
      <w:r>
        <w:rPr>
          <w:rFonts w:hint="default" w:ascii="Times New Roman" w:hAnsi="Times New Roman" w:eastAsia="宋体" w:cs="Times New Roman"/>
          <w:b/>
          <w:color w:val="000000"/>
          <w:kern w:val="0"/>
          <w:sz w:val="24"/>
          <w:szCs w:val="24"/>
          <w:lang w:val="en-US" w:eastAsia="zh-CN"/>
        </w:rPr>
        <w:t>试验记录</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b/>
          <w:bCs/>
          <w:i/>
          <w:iCs/>
          <w:color w:val="0000FF"/>
          <w:kern w:val="0"/>
          <w:sz w:val="24"/>
          <w:szCs w:val="24"/>
          <w:lang w:val="en-US" w:eastAsia="zh-CN"/>
        </w:rPr>
      </w:pPr>
      <w:r>
        <w:rPr>
          <w:rFonts w:hint="default" w:ascii="Times New Roman" w:hAnsi="Times New Roman" w:eastAsia="宋体" w:cs="Times New Roman"/>
          <w:b/>
          <w:bCs/>
          <w:i/>
          <w:iCs/>
          <w:color w:val="0000FF"/>
          <w:kern w:val="0"/>
          <w:sz w:val="24"/>
          <w:szCs w:val="24"/>
          <w:lang w:val="en-US" w:eastAsia="zh-CN"/>
        </w:rPr>
        <w:t>【按照3.6的要求，对产品进行测试，并出具检测报告。检测报告附在此处。】</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4555FA2"/>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2023-06-26T12:53:52Z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