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有效期验证报告(有源)</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{此处放入有效期验证报告内容}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【如产品为有源医疗器械，此份资料的编写可参考《有源医疗器械使用期限注册技术审查指导原则》；如为无源植入性医疗器械，可参考《无源植入性医疗器械货架有效期注册申报</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资料指导原则》；如为无菌医疗器械，可参考《YY/T 0681.1-2018</w:t>
      </w:r>
      <w:r>
        <w:rPr>
          <w:rFonts w:hint="eastAsia" w:eastAsia="黑体"/>
          <w:bCs/>
          <w:i/>
          <w:iCs/>
          <w:color w:val="0070C0"/>
          <w:kern w:val="44"/>
          <w:sz w:val="21"/>
          <w:szCs w:val="21"/>
          <w:lang w:val="en-US" w:eastAsia="zh-CN"/>
        </w:rPr>
        <w:t xml:space="preserve"> 无菌医疗器械包装试验方法 第1部分：加速老化试验指南</w:t>
      </w:r>
      <w:r>
        <w:rPr>
          <w:rFonts w:hint="eastAsia" w:eastAsia="黑体"/>
          <w:bCs/>
          <w:i/>
          <w:iCs/>
          <w:color w:val="0070C0"/>
          <w:kern w:val="44"/>
          <w:sz w:val="21"/>
          <w:szCs w:val="21"/>
          <w:lang w:val="zh-CN"/>
        </w:rPr>
        <w:t>》等；除此之外，如果针对申报产品有其他专门的标准、审评指南等有相关有效期的要求，需要同步考虑】</w:t>
      </w:r>
    </w:p>
    <w:p>
      <w:pPr>
        <w:pStyle w:val="2"/>
        <w:rPr>
          <w:rFonts w:hint="eastAsia"/>
          <w:lang w:val="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color w:val="0B5FD1"/>
          <w:lang w:val="en-US" w:eastAsia="zh-CN"/>
        </w:rPr>
      </w:pPr>
      <w:r>
        <w:rPr>
          <w:rFonts w:hint="eastAsia" w:eastAsia="黑体"/>
          <w:bCs/>
          <w:i/>
          <w:iCs/>
          <w:color w:val="1D41D5"/>
          <w:kern w:val="44"/>
          <w:sz w:val="21"/>
          <w:szCs w:val="21"/>
          <w:lang w:val="zh-CN"/>
        </w:rPr>
        <w:t>（以下以有源医疗器械作为参考</w:t>
      </w:r>
      <w:r>
        <w:rPr>
          <w:rFonts w:hint="eastAsia"/>
          <w:color w:val="0B5FD1"/>
          <w:lang w:val="en-US" w:eastAsia="zh-CN"/>
        </w:rPr>
        <w:t>）</w:t>
      </w:r>
    </w:p>
    <w:p>
      <w:pPr>
        <w:pStyle w:val="2"/>
        <w:rPr>
          <w:rFonts w:hint="eastAsia"/>
          <w:lang w:val="en-US" w:eastAsia="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bookmarkStart w:id="2" w:name="_GoBack"/>
      <w:bookmarkEnd w:id="2"/>
    </w:p>
    <w:p>
      <w:pPr>
        <w:spacing w:line="360" w:lineRule="auto"/>
        <w:rPr>
          <w:bCs/>
          <w:sz w:val="24"/>
        </w:rPr>
      </w:pPr>
      <w:r>
        <w:rPr>
          <w:rFonts w:hint="eastAsia"/>
          <w:b/>
          <w:bCs/>
          <w:sz w:val="24"/>
        </w:rPr>
        <w:t>修订记录</w:t>
      </w:r>
      <w:r>
        <w:rPr>
          <w:b/>
          <w:bCs/>
          <w:sz w:val="24"/>
        </w:rPr>
        <w:t>:</w:t>
      </w:r>
    </w:p>
    <w:tbl>
      <w:tblPr>
        <w:tblStyle w:val="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8"/>
        <w:gridCol w:w="1657"/>
        <w:gridCol w:w="1457"/>
        <w:gridCol w:w="1578"/>
        <w:gridCol w:w="1488"/>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jc w:val="center"/>
        </w:trPr>
        <w:tc>
          <w:tcPr>
            <w:tcW w:w="609" w:type="pct"/>
            <w:noWrap w:val="0"/>
            <w:vAlign w:val="top"/>
          </w:tcPr>
          <w:p>
            <w:pPr>
              <w:spacing w:line="360" w:lineRule="auto"/>
              <w:rPr>
                <w:rFonts w:hint="eastAsia"/>
                <w:b/>
                <w:bCs/>
                <w:sz w:val="24"/>
              </w:rPr>
            </w:pPr>
            <w:r>
              <w:rPr>
                <w:rFonts w:hint="eastAsia"/>
                <w:b/>
                <w:bCs/>
                <w:sz w:val="24"/>
              </w:rPr>
              <w:t>版本</w:t>
            </w:r>
          </w:p>
        </w:tc>
        <w:tc>
          <w:tcPr>
            <w:tcW w:w="972" w:type="pct"/>
            <w:noWrap w:val="0"/>
            <w:vAlign w:val="top"/>
          </w:tcPr>
          <w:p>
            <w:pPr>
              <w:spacing w:line="360" w:lineRule="auto"/>
              <w:rPr>
                <w:rFonts w:hint="eastAsia"/>
                <w:b/>
                <w:bCs/>
                <w:sz w:val="24"/>
              </w:rPr>
            </w:pPr>
            <w:r>
              <w:rPr>
                <w:rFonts w:hint="eastAsia"/>
                <w:b/>
                <w:bCs/>
                <w:sz w:val="24"/>
              </w:rPr>
              <w:t>生效日期</w:t>
            </w:r>
          </w:p>
        </w:tc>
        <w:tc>
          <w:tcPr>
            <w:tcW w:w="855" w:type="pct"/>
            <w:noWrap w:val="0"/>
            <w:vAlign w:val="top"/>
          </w:tcPr>
          <w:p>
            <w:pPr>
              <w:spacing w:line="360" w:lineRule="auto"/>
              <w:rPr>
                <w:rFonts w:hint="eastAsia"/>
                <w:b/>
                <w:bCs/>
                <w:sz w:val="24"/>
              </w:rPr>
            </w:pPr>
            <w:r>
              <w:rPr>
                <w:rFonts w:hint="eastAsia"/>
                <w:b/>
                <w:bCs/>
                <w:sz w:val="24"/>
              </w:rPr>
              <w:t>修订摘要</w:t>
            </w:r>
          </w:p>
        </w:tc>
        <w:tc>
          <w:tcPr>
            <w:tcW w:w="926" w:type="pct"/>
            <w:noWrap w:val="0"/>
            <w:vAlign w:val="top"/>
          </w:tcPr>
          <w:p>
            <w:pPr>
              <w:spacing w:line="360" w:lineRule="auto"/>
              <w:rPr>
                <w:rFonts w:hint="eastAsia"/>
                <w:b/>
                <w:bCs/>
                <w:sz w:val="24"/>
              </w:rPr>
            </w:pPr>
            <w:r>
              <w:rPr>
                <w:rFonts w:hint="eastAsia"/>
                <w:b/>
                <w:bCs/>
                <w:sz w:val="24"/>
              </w:rPr>
              <w:t>起草人</w:t>
            </w:r>
          </w:p>
        </w:tc>
        <w:tc>
          <w:tcPr>
            <w:tcW w:w="873" w:type="pct"/>
            <w:noWrap w:val="0"/>
            <w:vAlign w:val="top"/>
          </w:tcPr>
          <w:p>
            <w:pPr>
              <w:spacing w:line="360" w:lineRule="auto"/>
              <w:rPr>
                <w:rFonts w:hint="eastAsia"/>
                <w:b/>
                <w:bCs/>
                <w:sz w:val="24"/>
              </w:rPr>
            </w:pPr>
            <w:r>
              <w:rPr>
                <w:rFonts w:hint="eastAsia"/>
                <w:b/>
                <w:bCs/>
                <w:sz w:val="24"/>
              </w:rPr>
              <w:t>审核人</w:t>
            </w:r>
          </w:p>
        </w:tc>
        <w:tc>
          <w:tcPr>
            <w:tcW w:w="763" w:type="pct"/>
            <w:noWrap w:val="0"/>
            <w:vAlign w:val="top"/>
          </w:tcPr>
          <w:p>
            <w:pPr>
              <w:spacing w:line="360" w:lineRule="auto"/>
              <w:rPr>
                <w:rFonts w:hint="eastAsia"/>
                <w:b/>
                <w:bCs/>
                <w:sz w:val="24"/>
              </w:rPr>
            </w:pPr>
            <w:r>
              <w:rPr>
                <w:rFonts w:hint="eastAsia"/>
                <w:b/>
                <w:bCs/>
                <w:sz w:val="24"/>
              </w:rPr>
              <w:t>批准人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09"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 w:val="24"/>
              </w:rPr>
            </w:pPr>
            <w:bookmarkStart w:id="0" w:name="OLE_LINK4" w:colFirst="0" w:colLast="2"/>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972"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eastAsia="宋体"/>
                <w:bCs/>
                <w:sz w:val="24"/>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855"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eastAsia="宋体"/>
                <w:bCs/>
                <w:sz w:val="24"/>
                <w:lang w:val="en-US" w:eastAsia="zh-CN"/>
              </w:rPr>
            </w:pPr>
            <w:r>
              <w:rPr>
                <w:rFonts w:hint="eastAsia"/>
                <w:bCs/>
                <w:sz w:val="24"/>
                <w:lang w:val="en-US" w:eastAsia="zh-CN"/>
              </w:rPr>
              <w:t>第一一次发布</w:t>
            </w:r>
          </w:p>
        </w:tc>
        <w:tc>
          <w:tcPr>
            <w:tcW w:w="9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 w:val="24"/>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8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 w:val="24"/>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 w:val="24"/>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09"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 w:val="24"/>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w:t>
            </w:r>
            <w:r>
              <w:rPr>
                <w:rFonts w:hint="eastAsia" w:cs="Times New Roman"/>
                <w:b w:val="0"/>
                <w:bCs w:val="0"/>
                <w:color w:val="auto"/>
                <w:sz w:val="21"/>
                <w:szCs w:val="21"/>
                <w:lang w:val="en-US" w:eastAsia="zh-CN"/>
              </w:rPr>
              <w:t>N</w:t>
            </w:r>
            <w:r>
              <w:rPr>
                <w:rFonts w:hint="eastAsia" w:ascii="Times New Roman" w:hAnsi="Times New Roman" w:eastAsia="宋体" w:cs="Times New Roman"/>
                <w:b w:val="0"/>
                <w:bCs w:val="0"/>
                <w:color w:val="auto"/>
                <w:sz w:val="21"/>
                <w:szCs w:val="21"/>
              </w:rPr>
              <w:t>}</w:t>
            </w:r>
          </w:p>
        </w:tc>
        <w:tc>
          <w:tcPr>
            <w:tcW w:w="972"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bCs/>
                <w:sz w:val="24"/>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855"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eastAsia"/>
                <w:bCs/>
                <w:szCs w:val="21"/>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9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8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09"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Cs w:val="21"/>
              </w:rPr>
            </w:pPr>
          </w:p>
        </w:tc>
        <w:tc>
          <w:tcPr>
            <w:tcW w:w="972" w:type="pct"/>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bCs/>
                <w:szCs w:val="21"/>
              </w:rPr>
            </w:pPr>
          </w:p>
        </w:tc>
        <w:tc>
          <w:tcPr>
            <w:tcW w:w="855" w:type="pct"/>
            <w:noWrap w:val="0"/>
            <w:vAlign w:val="top"/>
          </w:tcPr>
          <w:p>
            <w:pPr>
              <w:pStyle w:val="2"/>
              <w:rPr>
                <w:bCs/>
                <w:szCs w:val="21"/>
              </w:rPr>
            </w:pPr>
          </w:p>
        </w:tc>
        <w:tc>
          <w:tcPr>
            <w:tcW w:w="92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Cs w:val="21"/>
              </w:rPr>
            </w:pPr>
          </w:p>
        </w:tc>
        <w:tc>
          <w:tcPr>
            <w:tcW w:w="8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Cs w:val="21"/>
              </w:rPr>
            </w:pPr>
          </w:p>
        </w:tc>
        <w:tc>
          <w:tcPr>
            <w:tcW w:w="76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609" w:type="pct"/>
            <w:noWrap w:val="0"/>
            <w:vAlign w:val="top"/>
          </w:tcPr>
          <w:p>
            <w:pPr>
              <w:spacing w:line="360" w:lineRule="auto"/>
              <w:jc w:val="center"/>
              <w:rPr>
                <w:bCs/>
                <w:szCs w:val="21"/>
              </w:rPr>
            </w:pPr>
          </w:p>
        </w:tc>
        <w:tc>
          <w:tcPr>
            <w:tcW w:w="972" w:type="pct"/>
            <w:noWrap w:val="0"/>
            <w:vAlign w:val="top"/>
          </w:tcPr>
          <w:p>
            <w:pPr>
              <w:spacing w:line="360" w:lineRule="auto"/>
              <w:rPr>
                <w:bCs/>
                <w:szCs w:val="21"/>
              </w:rPr>
            </w:pPr>
          </w:p>
        </w:tc>
        <w:tc>
          <w:tcPr>
            <w:tcW w:w="855" w:type="pct"/>
            <w:noWrap w:val="0"/>
            <w:vAlign w:val="top"/>
          </w:tcPr>
          <w:p>
            <w:pPr>
              <w:spacing w:line="360" w:lineRule="auto"/>
              <w:rPr>
                <w:bCs/>
                <w:szCs w:val="21"/>
              </w:rPr>
            </w:pPr>
          </w:p>
        </w:tc>
        <w:tc>
          <w:tcPr>
            <w:tcW w:w="926" w:type="pct"/>
            <w:noWrap w:val="0"/>
            <w:vAlign w:val="center"/>
          </w:tcPr>
          <w:p>
            <w:pPr>
              <w:spacing w:line="360" w:lineRule="auto"/>
              <w:jc w:val="center"/>
              <w:rPr>
                <w:bCs/>
                <w:szCs w:val="21"/>
              </w:rPr>
            </w:pPr>
          </w:p>
        </w:tc>
        <w:tc>
          <w:tcPr>
            <w:tcW w:w="873" w:type="pct"/>
            <w:noWrap w:val="0"/>
            <w:vAlign w:val="center"/>
          </w:tcPr>
          <w:p>
            <w:pPr>
              <w:spacing w:line="360" w:lineRule="auto"/>
              <w:jc w:val="center"/>
              <w:rPr>
                <w:bCs/>
                <w:szCs w:val="21"/>
              </w:rPr>
            </w:pPr>
          </w:p>
        </w:tc>
        <w:tc>
          <w:tcPr>
            <w:tcW w:w="763" w:type="pct"/>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09" w:type="pct"/>
            <w:noWrap w:val="0"/>
            <w:vAlign w:val="top"/>
          </w:tcPr>
          <w:p>
            <w:pPr>
              <w:pStyle w:val="2"/>
            </w:pPr>
          </w:p>
        </w:tc>
        <w:tc>
          <w:tcPr>
            <w:tcW w:w="972" w:type="pct"/>
            <w:noWrap w:val="0"/>
            <w:vAlign w:val="top"/>
          </w:tcPr>
          <w:p>
            <w:pPr>
              <w:spacing w:line="360" w:lineRule="auto"/>
              <w:rPr>
                <w:bCs/>
                <w:szCs w:val="21"/>
              </w:rPr>
            </w:pPr>
          </w:p>
        </w:tc>
        <w:tc>
          <w:tcPr>
            <w:tcW w:w="855" w:type="pct"/>
            <w:noWrap w:val="0"/>
            <w:vAlign w:val="top"/>
          </w:tcPr>
          <w:p>
            <w:pPr>
              <w:spacing w:line="360" w:lineRule="auto"/>
              <w:rPr>
                <w:bCs/>
                <w:szCs w:val="21"/>
              </w:rPr>
            </w:pPr>
          </w:p>
        </w:tc>
        <w:tc>
          <w:tcPr>
            <w:tcW w:w="926" w:type="pct"/>
            <w:noWrap w:val="0"/>
            <w:vAlign w:val="center"/>
          </w:tcPr>
          <w:p>
            <w:pPr>
              <w:spacing w:line="360" w:lineRule="auto"/>
              <w:jc w:val="center"/>
              <w:rPr>
                <w:bCs/>
                <w:szCs w:val="21"/>
              </w:rPr>
            </w:pPr>
          </w:p>
        </w:tc>
        <w:tc>
          <w:tcPr>
            <w:tcW w:w="873" w:type="pct"/>
            <w:noWrap w:val="0"/>
            <w:vAlign w:val="center"/>
          </w:tcPr>
          <w:p>
            <w:pPr>
              <w:spacing w:line="360" w:lineRule="auto"/>
              <w:jc w:val="center"/>
              <w:rPr>
                <w:bCs/>
                <w:szCs w:val="21"/>
              </w:rPr>
            </w:pPr>
          </w:p>
        </w:tc>
        <w:tc>
          <w:tcPr>
            <w:tcW w:w="763" w:type="pct"/>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09" w:type="pct"/>
            <w:noWrap w:val="0"/>
            <w:vAlign w:val="top"/>
          </w:tcPr>
          <w:p>
            <w:pPr>
              <w:spacing w:line="360" w:lineRule="auto"/>
              <w:jc w:val="center"/>
              <w:rPr>
                <w:bCs/>
                <w:szCs w:val="21"/>
              </w:rPr>
            </w:pPr>
          </w:p>
        </w:tc>
        <w:tc>
          <w:tcPr>
            <w:tcW w:w="972" w:type="pct"/>
            <w:noWrap w:val="0"/>
            <w:vAlign w:val="top"/>
          </w:tcPr>
          <w:p>
            <w:pPr>
              <w:spacing w:line="360" w:lineRule="auto"/>
              <w:rPr>
                <w:bCs/>
                <w:szCs w:val="21"/>
              </w:rPr>
            </w:pPr>
          </w:p>
        </w:tc>
        <w:tc>
          <w:tcPr>
            <w:tcW w:w="855" w:type="pct"/>
            <w:noWrap w:val="0"/>
            <w:vAlign w:val="top"/>
          </w:tcPr>
          <w:p>
            <w:pPr>
              <w:spacing w:line="360" w:lineRule="auto"/>
              <w:rPr>
                <w:bCs/>
                <w:szCs w:val="21"/>
              </w:rPr>
            </w:pPr>
          </w:p>
        </w:tc>
        <w:tc>
          <w:tcPr>
            <w:tcW w:w="926" w:type="pct"/>
            <w:noWrap w:val="0"/>
            <w:vAlign w:val="center"/>
          </w:tcPr>
          <w:p>
            <w:pPr>
              <w:spacing w:line="360" w:lineRule="auto"/>
              <w:jc w:val="center"/>
              <w:rPr>
                <w:bCs/>
                <w:szCs w:val="21"/>
              </w:rPr>
            </w:pPr>
          </w:p>
        </w:tc>
        <w:tc>
          <w:tcPr>
            <w:tcW w:w="873" w:type="pct"/>
            <w:noWrap w:val="0"/>
            <w:vAlign w:val="center"/>
          </w:tcPr>
          <w:p>
            <w:pPr>
              <w:spacing w:line="360" w:lineRule="auto"/>
              <w:jc w:val="center"/>
              <w:rPr>
                <w:bCs/>
                <w:szCs w:val="21"/>
              </w:rPr>
            </w:pPr>
          </w:p>
        </w:tc>
        <w:tc>
          <w:tcPr>
            <w:tcW w:w="763" w:type="pct"/>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09" w:type="pct"/>
            <w:noWrap w:val="0"/>
            <w:vAlign w:val="top"/>
          </w:tcPr>
          <w:p>
            <w:pPr>
              <w:spacing w:line="360" w:lineRule="auto"/>
              <w:jc w:val="center"/>
              <w:rPr>
                <w:bCs/>
                <w:szCs w:val="21"/>
              </w:rPr>
            </w:pPr>
          </w:p>
        </w:tc>
        <w:tc>
          <w:tcPr>
            <w:tcW w:w="972" w:type="pct"/>
            <w:noWrap w:val="0"/>
            <w:vAlign w:val="top"/>
          </w:tcPr>
          <w:p>
            <w:pPr>
              <w:spacing w:line="360" w:lineRule="auto"/>
              <w:rPr>
                <w:bCs/>
                <w:szCs w:val="21"/>
              </w:rPr>
            </w:pPr>
          </w:p>
        </w:tc>
        <w:tc>
          <w:tcPr>
            <w:tcW w:w="855" w:type="pct"/>
            <w:noWrap w:val="0"/>
            <w:vAlign w:val="top"/>
          </w:tcPr>
          <w:p>
            <w:pPr>
              <w:spacing w:line="360" w:lineRule="auto"/>
              <w:rPr>
                <w:bCs/>
                <w:szCs w:val="21"/>
              </w:rPr>
            </w:pPr>
          </w:p>
        </w:tc>
        <w:tc>
          <w:tcPr>
            <w:tcW w:w="926" w:type="pct"/>
            <w:noWrap w:val="0"/>
            <w:vAlign w:val="center"/>
          </w:tcPr>
          <w:p>
            <w:pPr>
              <w:spacing w:line="360" w:lineRule="auto"/>
              <w:jc w:val="center"/>
              <w:rPr>
                <w:bCs/>
                <w:szCs w:val="21"/>
              </w:rPr>
            </w:pPr>
          </w:p>
        </w:tc>
        <w:tc>
          <w:tcPr>
            <w:tcW w:w="873" w:type="pct"/>
            <w:noWrap w:val="0"/>
            <w:vAlign w:val="center"/>
          </w:tcPr>
          <w:p>
            <w:pPr>
              <w:spacing w:line="360" w:lineRule="auto"/>
              <w:jc w:val="center"/>
              <w:rPr>
                <w:bCs/>
                <w:szCs w:val="21"/>
              </w:rPr>
            </w:pPr>
          </w:p>
        </w:tc>
        <w:tc>
          <w:tcPr>
            <w:tcW w:w="763" w:type="pct"/>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09" w:type="pct"/>
            <w:noWrap w:val="0"/>
            <w:vAlign w:val="top"/>
          </w:tcPr>
          <w:p>
            <w:pPr>
              <w:spacing w:line="360" w:lineRule="auto"/>
              <w:jc w:val="center"/>
              <w:rPr>
                <w:bCs/>
                <w:szCs w:val="21"/>
              </w:rPr>
            </w:pPr>
          </w:p>
        </w:tc>
        <w:tc>
          <w:tcPr>
            <w:tcW w:w="972" w:type="pct"/>
            <w:noWrap w:val="0"/>
            <w:vAlign w:val="top"/>
          </w:tcPr>
          <w:p>
            <w:pPr>
              <w:spacing w:line="360" w:lineRule="auto"/>
              <w:rPr>
                <w:bCs/>
                <w:szCs w:val="21"/>
              </w:rPr>
            </w:pPr>
          </w:p>
        </w:tc>
        <w:tc>
          <w:tcPr>
            <w:tcW w:w="855" w:type="pct"/>
            <w:noWrap w:val="0"/>
            <w:vAlign w:val="top"/>
          </w:tcPr>
          <w:p>
            <w:pPr>
              <w:spacing w:line="360" w:lineRule="auto"/>
              <w:rPr>
                <w:bCs/>
                <w:szCs w:val="21"/>
              </w:rPr>
            </w:pPr>
          </w:p>
        </w:tc>
        <w:tc>
          <w:tcPr>
            <w:tcW w:w="926" w:type="pct"/>
            <w:noWrap w:val="0"/>
            <w:vAlign w:val="center"/>
          </w:tcPr>
          <w:p>
            <w:pPr>
              <w:spacing w:line="360" w:lineRule="auto"/>
              <w:jc w:val="center"/>
              <w:rPr>
                <w:bCs/>
                <w:szCs w:val="21"/>
              </w:rPr>
            </w:pPr>
          </w:p>
        </w:tc>
        <w:tc>
          <w:tcPr>
            <w:tcW w:w="873" w:type="pct"/>
            <w:noWrap w:val="0"/>
            <w:vAlign w:val="center"/>
          </w:tcPr>
          <w:p>
            <w:pPr>
              <w:spacing w:line="360" w:lineRule="auto"/>
              <w:jc w:val="center"/>
              <w:rPr>
                <w:bCs/>
                <w:szCs w:val="21"/>
              </w:rPr>
            </w:pPr>
          </w:p>
        </w:tc>
        <w:tc>
          <w:tcPr>
            <w:tcW w:w="763" w:type="pct"/>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09" w:type="pct"/>
            <w:noWrap w:val="0"/>
            <w:vAlign w:val="top"/>
          </w:tcPr>
          <w:p>
            <w:pPr>
              <w:spacing w:line="360" w:lineRule="auto"/>
              <w:jc w:val="center"/>
              <w:rPr>
                <w:bCs/>
                <w:szCs w:val="21"/>
              </w:rPr>
            </w:pPr>
          </w:p>
        </w:tc>
        <w:tc>
          <w:tcPr>
            <w:tcW w:w="972" w:type="pct"/>
            <w:noWrap w:val="0"/>
            <w:vAlign w:val="top"/>
          </w:tcPr>
          <w:p>
            <w:pPr>
              <w:spacing w:line="360" w:lineRule="auto"/>
              <w:rPr>
                <w:bCs/>
                <w:szCs w:val="21"/>
              </w:rPr>
            </w:pPr>
          </w:p>
        </w:tc>
        <w:tc>
          <w:tcPr>
            <w:tcW w:w="855" w:type="pct"/>
            <w:noWrap w:val="0"/>
            <w:vAlign w:val="top"/>
          </w:tcPr>
          <w:p>
            <w:pPr>
              <w:spacing w:line="360" w:lineRule="auto"/>
              <w:rPr>
                <w:bCs/>
                <w:szCs w:val="21"/>
              </w:rPr>
            </w:pPr>
          </w:p>
        </w:tc>
        <w:tc>
          <w:tcPr>
            <w:tcW w:w="926" w:type="pct"/>
            <w:noWrap w:val="0"/>
            <w:vAlign w:val="center"/>
          </w:tcPr>
          <w:p>
            <w:pPr>
              <w:spacing w:line="360" w:lineRule="auto"/>
              <w:jc w:val="center"/>
              <w:rPr>
                <w:bCs/>
                <w:szCs w:val="21"/>
              </w:rPr>
            </w:pPr>
          </w:p>
        </w:tc>
        <w:tc>
          <w:tcPr>
            <w:tcW w:w="873" w:type="pct"/>
            <w:noWrap w:val="0"/>
            <w:vAlign w:val="center"/>
          </w:tcPr>
          <w:p>
            <w:pPr>
              <w:spacing w:line="360" w:lineRule="auto"/>
              <w:jc w:val="center"/>
              <w:rPr>
                <w:bCs/>
                <w:szCs w:val="21"/>
              </w:rPr>
            </w:pPr>
          </w:p>
        </w:tc>
        <w:tc>
          <w:tcPr>
            <w:tcW w:w="763" w:type="pct"/>
            <w:noWrap w:val="0"/>
            <w:vAlign w:val="center"/>
          </w:tcPr>
          <w:p>
            <w:pPr>
              <w:spacing w:line="360" w:lineRule="auto"/>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09" w:type="pct"/>
            <w:noWrap w:val="0"/>
            <w:vAlign w:val="top"/>
          </w:tcPr>
          <w:p>
            <w:pPr>
              <w:spacing w:line="360" w:lineRule="auto"/>
              <w:jc w:val="center"/>
              <w:rPr>
                <w:bCs/>
                <w:szCs w:val="21"/>
              </w:rPr>
            </w:pPr>
          </w:p>
        </w:tc>
        <w:tc>
          <w:tcPr>
            <w:tcW w:w="972" w:type="pct"/>
            <w:noWrap w:val="0"/>
            <w:vAlign w:val="top"/>
          </w:tcPr>
          <w:p>
            <w:pPr>
              <w:spacing w:line="360" w:lineRule="auto"/>
              <w:rPr>
                <w:bCs/>
                <w:szCs w:val="21"/>
              </w:rPr>
            </w:pPr>
          </w:p>
        </w:tc>
        <w:tc>
          <w:tcPr>
            <w:tcW w:w="855" w:type="pct"/>
            <w:noWrap w:val="0"/>
            <w:vAlign w:val="top"/>
          </w:tcPr>
          <w:p>
            <w:pPr>
              <w:spacing w:line="360" w:lineRule="auto"/>
              <w:rPr>
                <w:bCs/>
                <w:szCs w:val="21"/>
              </w:rPr>
            </w:pPr>
          </w:p>
        </w:tc>
        <w:tc>
          <w:tcPr>
            <w:tcW w:w="926" w:type="pct"/>
            <w:noWrap w:val="0"/>
            <w:vAlign w:val="center"/>
          </w:tcPr>
          <w:p>
            <w:pPr>
              <w:spacing w:line="360" w:lineRule="auto"/>
              <w:jc w:val="center"/>
              <w:rPr>
                <w:bCs/>
                <w:szCs w:val="21"/>
              </w:rPr>
            </w:pPr>
          </w:p>
        </w:tc>
        <w:tc>
          <w:tcPr>
            <w:tcW w:w="873" w:type="pct"/>
            <w:noWrap w:val="0"/>
            <w:vAlign w:val="center"/>
          </w:tcPr>
          <w:p>
            <w:pPr>
              <w:spacing w:line="360" w:lineRule="auto"/>
              <w:jc w:val="center"/>
              <w:rPr>
                <w:bCs/>
                <w:szCs w:val="21"/>
              </w:rPr>
            </w:pPr>
          </w:p>
        </w:tc>
        <w:tc>
          <w:tcPr>
            <w:tcW w:w="763" w:type="pct"/>
            <w:noWrap w:val="0"/>
            <w:vAlign w:val="center"/>
          </w:tcPr>
          <w:p>
            <w:pPr>
              <w:spacing w:line="360" w:lineRule="auto"/>
              <w:jc w:val="center"/>
              <w:rPr>
                <w:bCs/>
                <w:szCs w:val="21"/>
              </w:rPr>
            </w:pPr>
          </w:p>
        </w:tc>
      </w:tr>
    </w:tbl>
    <w:p>
      <w:pPr>
        <w:pStyle w:val="2"/>
        <w:rPr>
          <w:rFonts w:hint="eastAsia"/>
          <w:color w:val="0B5FD1"/>
          <w:lang w:val="en-US" w:eastAsia="zh-CN"/>
        </w:rPr>
      </w:pPr>
    </w:p>
    <w:p>
      <w:pPr>
        <w:pStyle w:val="2"/>
        <w:rPr>
          <w:rFonts w:hint="eastAsia"/>
          <w:color w:val="0B5FD1"/>
          <w:lang w:val="en-US" w:eastAsia="zh-CN"/>
        </w:rPr>
      </w:pPr>
    </w:p>
    <w:p>
      <w:pPr>
        <w:numPr>
          <w:ilvl w:val="0"/>
          <w:numId w:val="1"/>
        </w:numPr>
        <w:spacing w:line="520" w:lineRule="exact"/>
        <w:ind w:firstLine="640" w:firstLineChars="200"/>
        <w:rPr>
          <w:rFonts w:eastAsia="黑体"/>
          <w:bCs/>
          <w:sz w:val="32"/>
          <w:szCs w:val="32"/>
        </w:rPr>
      </w:pPr>
      <w:r>
        <w:rPr>
          <w:rFonts w:eastAsia="黑体"/>
          <w:bCs/>
          <w:sz w:val="32"/>
          <w:szCs w:val="32"/>
        </w:rPr>
        <w:t>目的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{此处放入本报告目的内容}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【应说明本报告遵照的法规、标准依据等，涉及的范围（包括产品及型号）和验证的内容。】</w:t>
      </w:r>
    </w:p>
    <w:p>
      <w:pPr>
        <w:pStyle w:val="2"/>
        <w:rPr>
          <w:sz w:val="24"/>
          <w:szCs w:val="24"/>
        </w:rPr>
      </w:pPr>
      <w:r>
        <w:rPr>
          <w:rFonts w:hint="eastAsia" w:ascii="Times New Roman" w:hAnsi="Times New Roman" w:eastAsia="仿宋_GB2312" w:cs="Times New Roman"/>
          <w:i/>
          <w:iCs/>
          <w:color w:val="0000FF"/>
          <w:kern w:val="2"/>
          <w:sz w:val="24"/>
          <w:szCs w:val="24"/>
          <w:lang w:val="en-US" w:eastAsia="zh-CN" w:bidi="ar-SA"/>
        </w:rPr>
        <w:t>（</w:t>
      </w:r>
      <w:r>
        <w:rPr>
          <w:rFonts w:hint="eastAsia" w:ascii="Times New Roman" w:hAnsi="Times New Roman" w:eastAsia="仿宋_GB2312" w:cs="Times New Roman"/>
          <w:b/>
          <w:bCs/>
          <w:i/>
          <w:iCs/>
          <w:color w:val="0000FF"/>
          <w:kern w:val="2"/>
          <w:sz w:val="24"/>
          <w:szCs w:val="24"/>
          <w:lang w:val="en-US" w:eastAsia="zh-CN" w:bidi="ar-SA"/>
        </w:rPr>
        <w:t>以下为参考案例：</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_GB2312" w:cs="Times New Roman"/>
          <w:sz w:val="24"/>
          <w:szCs w:val="24"/>
          <w:lang w:val="en-US" w:eastAsia="zh-CN"/>
        </w:rPr>
      </w:pPr>
      <w:r>
        <w:rPr>
          <w:rFonts w:eastAsia="仿宋_GB2312"/>
          <w:sz w:val="24"/>
          <w:szCs w:val="24"/>
        </w:rPr>
        <w:t xml:space="preserve"> </w:t>
      </w:r>
      <w:r>
        <w:rPr>
          <w:rFonts w:eastAsia="仿宋_GB2312"/>
          <w:i/>
          <w:iCs/>
          <w:color w:val="0000FF"/>
          <w:sz w:val="24"/>
          <w:szCs w:val="24"/>
        </w:rPr>
        <w:t xml:space="preserve">  </w:t>
      </w:r>
      <w:r>
        <w:rPr>
          <w:rFonts w:ascii="Times New Roman" w:hAnsi="Times New Roman" w:eastAsia="仿宋_GB2312" w:cs="Times New Roman"/>
          <w:i/>
          <w:iCs/>
          <w:color w:val="0000FF"/>
          <w:sz w:val="24"/>
          <w:szCs w:val="24"/>
        </w:rPr>
        <w:t xml:space="preserve"> 本报告依据</w:t>
      </w:r>
      <w:r>
        <w:rPr>
          <w:rFonts w:hint="eastAsia" w:ascii="Times New Roman" w:hAnsi="Times New Roman" w:eastAsia="仿宋_GB2312" w:cs="Times New Roman"/>
          <w:i/>
          <w:iCs/>
          <w:color w:val="0000FF"/>
          <w:sz w:val="24"/>
          <w:szCs w:val="24"/>
        </w:rPr>
        <w:t>《有源医疗器械使用期限注册技术审查指导原则》</w:t>
      </w:r>
      <w:r>
        <w:rPr>
          <w:rFonts w:ascii="Times New Roman" w:hAnsi="Times New Roman" w:eastAsia="仿宋_GB2312" w:cs="Times New Roman"/>
          <w:i/>
          <w:iCs/>
          <w:color w:val="0000FF"/>
          <w:sz w:val="24"/>
          <w:szCs w:val="24"/>
        </w:rPr>
        <w:t>法规、</w:t>
      </w:r>
      <w:r>
        <w:rPr>
          <w:rFonts w:hint="eastAsia" w:ascii="Times New Roman" w:hAnsi="Times New Roman" w:eastAsia="仿宋_GB2312" w:cs="Times New Roman"/>
          <w:i/>
          <w:iCs/>
          <w:color w:val="0000FF"/>
          <w:sz w:val="24"/>
          <w:szCs w:val="24"/>
          <w:lang w:val="en-US" w:eastAsia="zh-CN"/>
        </w:rPr>
        <w:t>XX</w:t>
      </w:r>
      <w:r>
        <w:rPr>
          <w:rFonts w:ascii="Times New Roman" w:hAnsi="Times New Roman" w:eastAsia="仿宋_GB2312" w:cs="Times New Roman"/>
          <w:i/>
          <w:iCs/>
          <w:color w:val="0000FF"/>
          <w:sz w:val="24"/>
          <w:szCs w:val="24"/>
        </w:rPr>
        <w:t>标准</w:t>
      </w:r>
      <w:r>
        <w:rPr>
          <w:rFonts w:hint="eastAsia" w:ascii="Times New Roman" w:hAnsi="Times New Roman" w:eastAsia="仿宋_GB2312" w:cs="Times New Roman"/>
          <w:i/>
          <w:iCs/>
          <w:color w:val="0000FF"/>
          <w:sz w:val="24"/>
          <w:szCs w:val="24"/>
          <w:lang w:eastAsia="zh-CN"/>
        </w:rPr>
        <w:t>及</w:t>
      </w:r>
      <w:r>
        <w:rPr>
          <w:rFonts w:hint="eastAsia" w:ascii="Times New Roman" w:hAnsi="Times New Roman" w:eastAsia="仿宋_GB2312" w:cs="Times New Roman"/>
          <w:i/>
          <w:iCs/>
          <w:color w:val="0000FF"/>
          <w:sz w:val="24"/>
          <w:szCs w:val="24"/>
          <w:lang w:val="en-US" w:eastAsia="zh-CN"/>
        </w:rPr>
        <w:t>XX</w:t>
      </w:r>
      <w:r>
        <w:rPr>
          <w:rFonts w:hint="eastAsia" w:ascii="Times New Roman" w:hAnsi="Times New Roman" w:eastAsia="仿宋_GB2312" w:cs="Times New Roman"/>
          <w:i/>
          <w:iCs/>
          <w:color w:val="0000FF"/>
          <w:sz w:val="24"/>
          <w:szCs w:val="24"/>
          <w:lang w:eastAsia="zh-CN"/>
        </w:rPr>
        <w:t>法规及</w:t>
      </w:r>
      <w:r>
        <w:rPr>
          <w:rFonts w:hint="eastAsia" w:ascii="Times New Roman" w:hAnsi="Times New Roman" w:eastAsia="仿宋_GB2312" w:cs="Times New Roman"/>
          <w:i/>
          <w:iCs/>
          <w:color w:val="0000FF"/>
          <w:sz w:val="24"/>
          <w:szCs w:val="24"/>
          <w:lang w:val="en-US" w:eastAsia="zh-CN"/>
        </w:rPr>
        <w:t>XX</w:t>
      </w:r>
      <w:r>
        <w:rPr>
          <w:rFonts w:hint="eastAsia" w:ascii="Times New Roman" w:hAnsi="Times New Roman" w:eastAsia="仿宋_GB2312" w:cs="Times New Roman"/>
          <w:i/>
          <w:iCs/>
          <w:color w:val="0000FF"/>
          <w:sz w:val="24"/>
          <w:szCs w:val="24"/>
          <w:lang w:eastAsia="zh-CN"/>
        </w:rPr>
        <w:t>文献</w:t>
      </w:r>
      <w:r>
        <w:rPr>
          <w:rFonts w:ascii="Times New Roman" w:hAnsi="Times New Roman" w:eastAsia="仿宋_GB2312" w:cs="Times New Roman"/>
          <w:i/>
          <w:iCs/>
          <w:color w:val="0000FF"/>
          <w:sz w:val="24"/>
          <w:szCs w:val="24"/>
        </w:rPr>
        <w:t>制定完成，旨在验证型号为</w:t>
      </w:r>
      <w:r>
        <w:rPr>
          <w:rFonts w:hint="eastAsia" w:ascii="Times New Roman" w:hAnsi="Times New Roman" w:eastAsia="仿宋_GB2312" w:cs="Times New Roman"/>
          <w:i/>
          <w:iCs/>
          <w:color w:val="0000FF"/>
          <w:sz w:val="24"/>
          <w:szCs w:val="24"/>
          <w:lang w:val="en-US" w:eastAsia="zh-CN"/>
        </w:rPr>
        <w:t>XX</w:t>
      </w:r>
      <w:r>
        <w:rPr>
          <w:rFonts w:ascii="Times New Roman" w:hAnsi="Times New Roman" w:eastAsia="仿宋_GB2312" w:cs="Times New Roman"/>
          <w:i/>
          <w:iCs/>
          <w:color w:val="0000FF"/>
          <w:sz w:val="24"/>
          <w:szCs w:val="24"/>
        </w:rPr>
        <w:t>的</w:t>
      </w:r>
      <w:r>
        <w:rPr>
          <w:rFonts w:hint="eastAsia" w:ascii="Times New Roman" w:hAnsi="Times New Roman" w:eastAsia="仿宋_GB2312" w:cs="Times New Roman"/>
          <w:i/>
          <w:iCs/>
          <w:color w:val="0000FF"/>
          <w:sz w:val="24"/>
          <w:szCs w:val="24"/>
          <w:lang w:val="en-US" w:eastAsia="zh-CN"/>
        </w:rPr>
        <w:t>XX产品</w:t>
      </w:r>
      <w:r>
        <w:rPr>
          <w:rFonts w:ascii="Times New Roman" w:hAnsi="Times New Roman" w:eastAsia="仿宋_GB2312" w:cs="Times New Roman"/>
          <w:i/>
          <w:iCs/>
          <w:color w:val="0000FF"/>
          <w:sz w:val="24"/>
          <w:szCs w:val="24"/>
        </w:rPr>
        <w:t>的使用期限。</w:t>
      </w:r>
      <w:r>
        <w:rPr>
          <w:rFonts w:hint="eastAsia" w:ascii="Times New Roman" w:hAnsi="Times New Roman" w:eastAsia="仿宋_GB2312" w:cs="Times New Roman"/>
          <w:i/>
          <w:iCs/>
          <w:color w:val="0000FF"/>
          <w:sz w:val="24"/>
          <w:szCs w:val="24"/>
          <w:lang w:val="en-US" w:eastAsia="zh-CN"/>
        </w:rPr>
        <w:t>)</w:t>
      </w:r>
    </w:p>
    <w:p>
      <w:pPr>
        <w:spacing w:line="520" w:lineRule="exact"/>
        <w:ind w:firstLine="640" w:firstLineChars="200"/>
        <w:rPr>
          <w:rFonts w:eastAsia="黑体"/>
          <w:bCs/>
          <w:sz w:val="32"/>
          <w:szCs w:val="32"/>
        </w:rPr>
      </w:pPr>
      <w:r>
        <w:rPr>
          <w:rFonts w:eastAsia="黑体"/>
          <w:bCs/>
          <w:sz w:val="32"/>
          <w:szCs w:val="32"/>
        </w:rPr>
        <w:t>二、评价方式</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{此处放入评价方式的内容}</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应说明本产品使用何种方式确定产品的使用期限，一般有两种，一种为根据评价或经验预先设定使用期限，通过一种或多种方法进行验证证明预先设定值的合理性；一种不预先设定期限值，通过一种或多种方法最终确定产品的使用期限。】</w:t>
      </w:r>
    </w:p>
    <w:p>
      <w:pPr>
        <w:spacing w:line="520" w:lineRule="exact"/>
        <w:rPr>
          <w:rFonts w:eastAsia="仿宋_GB2312"/>
          <w:sz w:val="32"/>
          <w:szCs w:val="32"/>
        </w:rPr>
      </w:pPr>
      <w:r>
        <w:rPr>
          <w:rFonts w:hint="eastAsia" w:ascii="Times New Roman" w:hAnsi="Times New Roman" w:eastAsia="仿宋_GB2312" w:cs="Times New Roman"/>
          <w:i/>
          <w:iCs/>
          <w:color w:val="0000FF"/>
          <w:kern w:val="2"/>
          <w:sz w:val="24"/>
          <w:szCs w:val="24"/>
          <w:lang w:val="en-US" w:eastAsia="zh-CN" w:bidi="ar-SA"/>
        </w:rPr>
        <w:t>（</w:t>
      </w:r>
      <w:r>
        <w:rPr>
          <w:rFonts w:hint="eastAsia" w:ascii="Times New Roman" w:hAnsi="Times New Roman" w:eastAsia="仿宋_GB2312" w:cs="Times New Roman"/>
          <w:b/>
          <w:bCs/>
          <w:i/>
          <w:iCs/>
          <w:color w:val="0000FF"/>
          <w:kern w:val="2"/>
          <w:sz w:val="24"/>
          <w:szCs w:val="24"/>
          <w:lang w:val="en-US" w:eastAsia="zh-CN" w:bidi="ar-SA"/>
        </w:rPr>
        <w:t>以下为第一种评价方法的参考案例：</w:t>
      </w:r>
    </w:p>
    <w:p>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Times New Roman" w:hAnsi="Times New Roman" w:eastAsia="仿宋_GB2312" w:cs="Times New Roman"/>
          <w:i/>
          <w:iCs/>
          <w:color w:val="0000FF"/>
          <w:sz w:val="24"/>
          <w:szCs w:val="24"/>
        </w:rPr>
      </w:pPr>
      <w:r>
        <w:rPr>
          <w:rFonts w:ascii="Times New Roman" w:hAnsi="Times New Roman" w:eastAsia="仿宋_GB2312" w:cs="Times New Roman"/>
          <w:i/>
          <w:iCs/>
          <w:color w:val="0000FF"/>
          <w:sz w:val="24"/>
          <w:szCs w:val="24"/>
        </w:rPr>
        <w:t>预先设定型号为</w:t>
      </w:r>
      <w:r>
        <w:rPr>
          <w:rFonts w:hint="eastAsia" w:ascii="Times New Roman" w:hAnsi="Times New Roman" w:eastAsia="仿宋_GB2312" w:cs="Times New Roman"/>
          <w:i/>
          <w:iCs/>
          <w:color w:val="0000FF"/>
          <w:sz w:val="24"/>
          <w:szCs w:val="24"/>
          <w:lang w:val="en-US" w:eastAsia="zh-CN"/>
        </w:rPr>
        <w:t>XX</w:t>
      </w:r>
      <w:r>
        <w:rPr>
          <w:rFonts w:ascii="Times New Roman" w:hAnsi="Times New Roman" w:eastAsia="仿宋_GB2312" w:cs="Times New Roman"/>
          <w:i/>
          <w:iCs/>
          <w:color w:val="0000FF"/>
          <w:sz w:val="24"/>
          <w:szCs w:val="24"/>
        </w:rPr>
        <w:t>的</w:t>
      </w:r>
      <w:r>
        <w:rPr>
          <w:rFonts w:hint="eastAsia" w:ascii="Times New Roman" w:hAnsi="Times New Roman" w:eastAsia="仿宋_GB2312" w:cs="Times New Roman"/>
          <w:i/>
          <w:iCs/>
          <w:color w:val="0000FF"/>
          <w:sz w:val="24"/>
          <w:szCs w:val="24"/>
          <w:lang w:val="en-US" w:eastAsia="zh-CN"/>
        </w:rPr>
        <w:t>XX产品</w:t>
      </w:r>
      <w:r>
        <w:rPr>
          <w:rFonts w:ascii="Times New Roman" w:hAnsi="Times New Roman" w:eastAsia="仿宋_GB2312" w:cs="Times New Roman"/>
          <w:i/>
          <w:iCs/>
          <w:color w:val="0000FF"/>
          <w:sz w:val="24"/>
          <w:szCs w:val="24"/>
        </w:rPr>
        <w:t>的使用期限为X年，通过试验和分析验证上述内容</w:t>
      </w:r>
      <w:r>
        <w:rPr>
          <w:rFonts w:hint="eastAsia" w:ascii="Times New Roman" w:hAnsi="Times New Roman" w:eastAsia="仿宋_GB2312" w:cs="Times New Roman"/>
          <w:i/>
          <w:iCs/>
          <w:color w:val="0000FF"/>
          <w:sz w:val="24"/>
          <w:szCs w:val="24"/>
          <w:lang w:eastAsia="zh-CN"/>
        </w:rPr>
        <w:t>的合理性</w:t>
      </w:r>
      <w:r>
        <w:rPr>
          <w:rFonts w:ascii="Times New Roman" w:hAnsi="Times New Roman" w:eastAsia="仿宋_GB2312" w:cs="Times New Roman"/>
          <w:i/>
          <w:iCs/>
          <w:color w:val="0000FF"/>
          <w:sz w:val="24"/>
          <w:szCs w:val="24"/>
        </w:rPr>
        <w:t>。</w:t>
      </w:r>
      <w:r>
        <w:rPr>
          <w:rFonts w:hint="eastAsia" w:ascii="Times New Roman" w:hAnsi="Times New Roman" w:eastAsia="仿宋_GB2312" w:cs="Times New Roman"/>
          <w:i/>
          <w:iCs/>
          <w:color w:val="0000FF"/>
          <w:sz w:val="24"/>
          <w:szCs w:val="24"/>
          <w:lang w:val="en-US" w:eastAsia="zh-CN"/>
        </w:rPr>
        <w:t>)</w:t>
      </w:r>
    </w:p>
    <w:p>
      <w:pPr>
        <w:pStyle w:val="2"/>
      </w:pPr>
    </w:p>
    <w:p>
      <w:pPr>
        <w:spacing w:line="520" w:lineRule="exact"/>
        <w:ind w:firstLine="640" w:firstLineChars="200"/>
        <w:rPr>
          <w:rFonts w:eastAsia="黑体"/>
          <w:bCs/>
          <w:sz w:val="32"/>
          <w:szCs w:val="32"/>
        </w:rPr>
      </w:pPr>
      <w:r>
        <w:rPr>
          <w:rFonts w:eastAsia="黑体"/>
          <w:bCs/>
          <w:sz w:val="32"/>
          <w:szCs w:val="32"/>
        </w:rPr>
        <w:t>三、评价路径</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eastAsia="仿宋_GB2312"/>
          <w:sz w:val="32"/>
          <w:szCs w:val="32"/>
        </w:rPr>
        <w:t xml:space="preserve"> </w:t>
      </w:r>
      <w:r>
        <w:rPr>
          <w:rFonts w:hint="eastAsia" w:eastAsia="黑体"/>
          <w:bCs/>
          <w:i w:val="0"/>
          <w:iCs w:val="0"/>
          <w:color w:val="auto"/>
          <w:kern w:val="44"/>
          <w:sz w:val="24"/>
          <w:szCs w:val="24"/>
          <w:lang w:val="en-US" w:eastAsia="zh-CN"/>
        </w:rPr>
        <w:t>{此处放入评价路径的内容}</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【描述本产品确定产品的使用期限的评价路径，一般有两种，评价路径1为直接对产品进行验证。评价路径2为通过将产品（系统）分解为不同子系统/部件的方式进行评价。】</w:t>
      </w:r>
    </w:p>
    <w:p>
      <w:pPr>
        <w:spacing w:line="520" w:lineRule="exact"/>
        <w:rPr>
          <w:rFonts w:hint="eastAsia" w:ascii="Times New Roman" w:hAnsi="Times New Roman" w:eastAsia="仿宋_GB2312" w:cs="Times New Roman"/>
          <w:b/>
          <w:bCs/>
          <w:i/>
          <w:iCs/>
          <w:color w:val="0000FF"/>
          <w:kern w:val="2"/>
          <w:sz w:val="24"/>
          <w:szCs w:val="24"/>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（以下为评价路径2的参考案例：</w:t>
      </w:r>
    </w:p>
    <w:p>
      <w:pPr>
        <w:spacing w:line="520" w:lineRule="exact"/>
        <w:ind w:firstLine="480" w:firstLineChars="200"/>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本次分析采用评价路径2：</w:t>
      </w:r>
    </w:p>
    <w:p>
      <w:pPr>
        <w:spacing w:line="520" w:lineRule="exact"/>
        <w:ind w:firstLine="480" w:firstLineChars="200"/>
        <w:rPr>
          <w:rFonts w:ascii="Times New Roman" w:hAnsi="Times New Roman" w:eastAsia="仿宋_GB2312" w:cs="Times New Roman"/>
          <w:i/>
          <w:iCs/>
          <w:color w:val="0000FF"/>
          <w:sz w:val="24"/>
          <w:szCs w:val="24"/>
        </w:rPr>
      </w:pPr>
      <w:r>
        <w:rPr>
          <w:rFonts w:ascii="Times New Roman" w:hAnsi="Times New Roman" w:eastAsia="仿宋_GB2312" w:cs="Times New Roman"/>
          <w:i/>
          <w:iCs/>
          <w:color w:val="0000FF"/>
          <w:sz w:val="24"/>
          <w:szCs w:val="24"/>
        </w:rPr>
        <w:t>通过将产品（系统）分解为不同子系统/部件的方式进行评价。首先详细分析分解关系，在此基础上通过不同的分解方式（如将产品分为关键部件及非关键部件和/或特征部件及非特征部件和/或可更换部件及不可更换部件和/或运动部件及非运动部件和/或电子部件及机械部件等）确定产品的使用期限（详见图1</w:t>
      </w:r>
      <w:r>
        <w:rPr>
          <w:rFonts w:hint="eastAsia" w:ascii="Times New Roman" w:hAnsi="Times New Roman" w:eastAsia="仿宋_GB2312" w:cs="Times New Roman"/>
          <w:i/>
          <w:iCs/>
          <w:color w:val="0000FF"/>
          <w:sz w:val="24"/>
          <w:szCs w:val="24"/>
          <w:lang w:eastAsia="zh-CN"/>
        </w:rPr>
        <w:t>中的评价路径</w:t>
      </w:r>
      <w:r>
        <w:rPr>
          <w:rFonts w:hint="eastAsia" w:ascii="Times New Roman" w:hAnsi="Times New Roman" w:eastAsia="仿宋_GB2312" w:cs="Times New Roman"/>
          <w:i/>
          <w:iCs/>
          <w:color w:val="0000FF"/>
          <w:sz w:val="24"/>
          <w:szCs w:val="24"/>
          <w:lang w:val="en-US" w:eastAsia="zh-CN"/>
        </w:rPr>
        <w:t>2</w:t>
      </w:r>
      <w:r>
        <w:rPr>
          <w:rFonts w:ascii="Times New Roman" w:hAnsi="Times New Roman" w:eastAsia="仿宋_GB2312" w:cs="Times New Roman"/>
          <w:i/>
          <w:iCs/>
          <w:color w:val="0000FF"/>
          <w:sz w:val="24"/>
          <w:szCs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本次分析</w:t>
      </w:r>
      <w:r>
        <w:rPr>
          <w:rFonts w:ascii="Times New Roman" w:hAnsi="Times New Roman" w:eastAsia="仿宋_GB2312" w:cs="Times New Roman"/>
          <w:i/>
          <w:iCs/>
          <w:color w:val="0000FF"/>
          <w:sz w:val="24"/>
          <w:szCs w:val="24"/>
        </w:rPr>
        <w:t>将产品拆分为</w:t>
      </w:r>
      <w:r>
        <w:rPr>
          <w:rFonts w:hint="eastAsia" w:ascii="Times New Roman" w:hAnsi="Times New Roman" w:eastAsia="仿宋_GB2312" w:cs="Times New Roman"/>
          <w:i/>
          <w:iCs/>
          <w:color w:val="0000FF"/>
          <w:sz w:val="24"/>
          <w:szCs w:val="24"/>
        </w:rPr>
        <w:t>关键部件及非关键部件</w:t>
      </w:r>
      <w:r>
        <w:rPr>
          <w:rFonts w:ascii="Times New Roman" w:hAnsi="Times New Roman" w:eastAsia="仿宋_GB2312" w:cs="Times New Roman"/>
          <w:i/>
          <w:iCs/>
          <w:color w:val="0000FF"/>
          <w:sz w:val="24"/>
          <w:szCs w:val="24"/>
        </w:rPr>
        <w:t>，通过评价最终确定产品的使用期限。</w:t>
      </w:r>
    </w:p>
    <w:p>
      <w:pPr>
        <w:keepNext/>
        <w:keepLines/>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0"/>
        <w:rPr>
          <w:rFonts w:hint="eastAsia" w:ascii="Times New Roman" w:hAnsi="Times New Roman" w:eastAsia="仿宋_GB2312" w:cs="Times New Roman"/>
          <w:i/>
          <w:iCs/>
          <w:color w:val="0000FF"/>
          <w:sz w:val="24"/>
          <w:szCs w:val="24"/>
          <w:lang w:val="en-US" w:eastAsia="zh-CN"/>
        </w:rPr>
      </w:pPr>
      <w:r>
        <w:drawing>
          <wp:inline distT="0" distB="0" distL="114300" distR="114300">
            <wp:extent cx="5511800" cy="5122545"/>
            <wp:effectExtent l="0" t="0" r="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511800" cy="5122545"/>
                    </a:xfrm>
                    <a:prstGeom prst="rect">
                      <a:avLst/>
                    </a:prstGeom>
                    <a:noFill/>
                    <a:ln>
                      <a:noFill/>
                    </a:ln>
                  </pic:spPr>
                </pic:pic>
              </a:graphicData>
            </a:graphic>
          </wp:inline>
        </w:drawing>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eastAsia="仿宋_GB2312"/>
          <w:sz w:val="32"/>
          <w:szCs w:val="32"/>
        </w:rPr>
      </w:pPr>
      <w:r>
        <w:rPr>
          <w:rFonts w:hint="eastAsia" w:ascii="Times New Roman" w:hAnsi="Times New Roman" w:eastAsia="仿宋_GB2312" w:cs="Times New Roman"/>
          <w:i/>
          <w:iCs/>
          <w:color w:val="0000FF"/>
          <w:sz w:val="24"/>
          <w:szCs w:val="24"/>
          <w:lang w:val="en-US" w:eastAsia="zh-CN"/>
        </w:rPr>
        <w:t>)</w:t>
      </w:r>
    </w:p>
    <w:p>
      <w:pPr>
        <w:numPr>
          <w:ilvl w:val="0"/>
          <w:numId w:val="2"/>
        </w:numPr>
        <w:spacing w:line="520" w:lineRule="exact"/>
        <w:ind w:firstLine="640" w:firstLineChars="200"/>
        <w:rPr>
          <w:rFonts w:eastAsia="黑体"/>
          <w:bCs/>
          <w:sz w:val="32"/>
          <w:szCs w:val="32"/>
        </w:rPr>
      </w:pPr>
      <w:r>
        <w:rPr>
          <w:rFonts w:eastAsia="黑体"/>
          <w:bCs/>
          <w:sz w:val="32"/>
          <w:szCs w:val="32"/>
        </w:rPr>
        <w:t>影响因素分析</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{此处放入影响因素分析的内容}</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应根据其申报器械的特点，分析影响该器械效期的因素，如高完善性元器件等关键部件、使用频率和强度、运输储存及使用环境、清洗/消毒/灭菌、部件维护维修情况及商业因素等，然后对每一个因素进行分析确定产品的预期使用期限】</w:t>
      </w:r>
    </w:p>
    <w:p>
      <w:pPr>
        <w:spacing w:line="520" w:lineRule="exact"/>
        <w:rPr>
          <w:rFonts w:hint="eastAsia" w:ascii="Times New Roman" w:hAnsi="Times New Roman" w:eastAsia="仿宋_GB2312" w:cs="Times New Roman"/>
          <w:b/>
          <w:bCs/>
          <w:i/>
          <w:iCs/>
          <w:color w:val="0000FF"/>
          <w:kern w:val="2"/>
          <w:sz w:val="24"/>
          <w:szCs w:val="24"/>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使用期限不仅与产品相关，也与产品的使用环境、使用产品上市前的预期使用期限的分析及上市后产品的监测、使用等过程中的其他因素相关（详见图2）。</w:t>
      </w:r>
    </w:p>
    <w:p>
      <w:pPr>
        <w:pStyle w:val="2"/>
        <w:rPr>
          <w:rFonts w:hint="eastAsia"/>
        </w:rPr>
      </w:pPr>
    </w:p>
    <w:p>
      <w:pPr>
        <w:pStyle w:val="2"/>
        <w:numPr>
          <w:ilvl w:val="0"/>
          <w:numId w:val="0"/>
        </w:numPr>
      </w:pPr>
      <w:r>
        <w:drawing>
          <wp:anchor distT="0" distB="0" distL="114300" distR="114300" simplePos="0" relativeHeight="251659264" behindDoc="0" locked="0" layoutInCell="1" allowOverlap="1">
            <wp:simplePos x="0" y="0"/>
            <wp:positionH relativeFrom="column">
              <wp:posOffset>-133350</wp:posOffset>
            </wp:positionH>
            <wp:positionV relativeFrom="paragraph">
              <wp:posOffset>181610</wp:posOffset>
            </wp:positionV>
            <wp:extent cx="5499735" cy="3740785"/>
            <wp:effectExtent l="0" t="0" r="12065"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499735" cy="3740785"/>
                    </a:xfrm>
                    <a:prstGeom prst="rect">
                      <a:avLst/>
                    </a:prstGeom>
                    <a:noFill/>
                    <a:ln>
                      <a:noFill/>
                    </a:ln>
                  </pic:spPr>
                </pic:pic>
              </a:graphicData>
            </a:graphic>
          </wp:anchor>
        </w:drawing>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为了确定该器械的使用期限，我们综合考虑了不同的影响因素，如下：</w:t>
      </w:r>
    </w:p>
    <w:p>
      <w:pPr>
        <w:pStyle w:val="2"/>
        <w:numPr>
          <w:ilvl w:val="0"/>
          <w:numId w:val="0"/>
        </w:numPr>
      </w:pPr>
    </w:p>
    <w:p>
      <w:pPr>
        <w:spacing w:line="520" w:lineRule="exact"/>
        <w:rPr>
          <w:rFonts w:hint="eastAsia" w:ascii="Times New Roman" w:hAnsi="Times New Roman" w:eastAsia="仿宋_GB2312" w:cs="Times New Roman"/>
          <w:b/>
          <w:bCs/>
          <w:i/>
          <w:iCs/>
          <w:color w:val="0000FF"/>
          <w:sz w:val="24"/>
          <w:szCs w:val="24"/>
        </w:rPr>
      </w:pPr>
      <w:r>
        <w:rPr>
          <w:rFonts w:hint="eastAsia" w:ascii="Times New Roman" w:hAnsi="Times New Roman" w:eastAsia="仿宋_GB2312" w:cs="Times New Roman"/>
          <w:b/>
          <w:bCs/>
          <w:i/>
          <w:iCs/>
          <w:color w:val="0000FF"/>
          <w:sz w:val="24"/>
          <w:szCs w:val="24"/>
          <w:lang w:val="en-US" w:eastAsia="zh-CN"/>
        </w:rPr>
        <w:t xml:space="preserve">4.1 </w:t>
      </w:r>
      <w:r>
        <w:rPr>
          <w:rFonts w:hint="eastAsia" w:ascii="Times New Roman" w:hAnsi="Times New Roman" w:eastAsia="仿宋_GB2312" w:cs="Times New Roman"/>
          <w:b/>
          <w:bCs/>
          <w:i/>
          <w:iCs/>
          <w:color w:val="0000FF"/>
          <w:sz w:val="24"/>
          <w:szCs w:val="24"/>
        </w:rPr>
        <w:t>关键部件</w:t>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lang w:val="en-US" w:eastAsia="zh-CN"/>
        </w:rPr>
        <w:t>XX产品</w:t>
      </w:r>
      <w:r>
        <w:rPr>
          <w:rFonts w:hint="eastAsia" w:ascii="Times New Roman" w:hAnsi="Times New Roman" w:eastAsia="仿宋_GB2312" w:cs="Times New Roman"/>
          <w:i/>
          <w:iCs/>
          <w:color w:val="0000FF"/>
          <w:sz w:val="24"/>
          <w:szCs w:val="24"/>
        </w:rPr>
        <w:t>有多个部件组成，其中发挥重要作用，与产品预期用途息息相关的部件可作为关键部件。关键部件的使用期限一般影响整机的使用期限。</w:t>
      </w:r>
    </w:p>
    <w:p>
      <w:pPr>
        <w:spacing w:line="520" w:lineRule="exact"/>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通过下表对</w:t>
      </w:r>
      <w:r>
        <w:rPr>
          <w:rFonts w:hint="eastAsia" w:ascii="Times New Roman" w:hAnsi="Times New Roman" w:eastAsia="仿宋_GB2312" w:cs="Times New Roman"/>
          <w:i/>
          <w:iCs/>
          <w:color w:val="0000FF"/>
          <w:sz w:val="24"/>
          <w:szCs w:val="24"/>
          <w:lang w:val="en-US" w:eastAsia="zh-CN"/>
        </w:rPr>
        <w:t>XX产品</w:t>
      </w:r>
      <w:r>
        <w:rPr>
          <w:rFonts w:hint="eastAsia" w:ascii="Times New Roman" w:hAnsi="Times New Roman" w:eastAsia="仿宋_GB2312" w:cs="Times New Roman"/>
          <w:i/>
          <w:iCs/>
          <w:color w:val="0000FF"/>
          <w:sz w:val="24"/>
          <w:szCs w:val="24"/>
        </w:rPr>
        <w:t>的各部件进行分析：</w:t>
      </w:r>
    </w:p>
    <w:p>
      <w:pPr>
        <w:spacing w:line="520" w:lineRule="exact"/>
        <w:jc w:val="center"/>
        <w:rPr>
          <w:rFonts w:hint="eastAsia" w:ascii="Times New Roman" w:hAnsi="Times New Roman" w:eastAsia="仿宋_GB2312" w:cs="Times New Roman"/>
          <w:i/>
          <w:iCs/>
          <w:color w:val="0000FF"/>
          <w:sz w:val="24"/>
          <w:szCs w:val="24"/>
        </w:rPr>
      </w:pPr>
      <w:r>
        <w:rPr>
          <w:rFonts w:hint="eastAsia" w:ascii="Times New Roman" w:hAnsi="Times New Roman" w:eastAsia="仿宋_GB2312" w:cs="Times New Roman"/>
          <w:i/>
          <w:iCs/>
          <w:color w:val="0000FF"/>
          <w:sz w:val="24"/>
          <w:szCs w:val="24"/>
        </w:rPr>
        <w:t>表1 各部件对产品寿命的影响分析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3"/>
        <w:gridCol w:w="569"/>
        <w:gridCol w:w="534"/>
        <w:gridCol w:w="420"/>
        <w:gridCol w:w="465"/>
        <w:gridCol w:w="512"/>
        <w:gridCol w:w="991"/>
        <w:gridCol w:w="1244"/>
        <w:gridCol w:w="1359"/>
        <w:gridCol w:w="1085"/>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产品（系统）/子系统/部件名称</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主要组成和构成</w:t>
            </w:r>
          </w:p>
          <w:p>
            <w:pPr>
              <w:spacing w:line="520" w:lineRule="exact"/>
              <w:rPr>
                <w:rFonts w:hint="eastAsia" w:ascii="Times New Roman" w:hAnsi="Times New Roman" w:eastAsia="仿宋_GB2312" w:cs="Times New Roman"/>
                <w:b/>
                <w:bCs/>
                <w:i/>
                <w:iCs/>
                <w:color w:val="0000FF"/>
                <w:sz w:val="18"/>
                <w:szCs w:val="18"/>
              </w:rPr>
            </w:pP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影响</w:t>
            </w:r>
          </w:p>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因素</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型号</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属性</w:t>
            </w:r>
          </w:p>
        </w:tc>
        <w:tc>
          <w:tcPr>
            <w:tcW w:w="0" w:type="auto"/>
            <w:vMerge w:val="restart"/>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分解关系类型</w:t>
            </w:r>
          </w:p>
        </w:tc>
        <w:tc>
          <w:tcPr>
            <w:tcW w:w="0" w:type="auto"/>
            <w:gridSpan w:val="4"/>
            <w:shd w:val="clear" w:color="auto" w:fill="D7D7D7"/>
            <w:noWrap w:val="0"/>
            <w:tcMar>
              <w:top w:w="0" w:type="dxa"/>
              <w:left w:w="108" w:type="dxa"/>
              <w:bottom w:w="0" w:type="dxa"/>
              <w:right w:w="108" w:type="dxa"/>
            </w:tcMar>
            <w:vAlign w:val="top"/>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对产品寿命的影响方式</w:t>
            </w:r>
          </w:p>
        </w:tc>
        <w:tc>
          <w:tcPr>
            <w:tcW w:w="0" w:type="auto"/>
            <w:vMerge w:val="restart"/>
            <w:shd w:val="clear" w:color="auto" w:fill="D7D7D7"/>
            <w:noWrap w:val="0"/>
            <w:tcMar>
              <w:top w:w="0" w:type="dxa"/>
              <w:left w:w="108" w:type="dxa"/>
              <w:bottom w:w="0" w:type="dxa"/>
              <w:right w:w="108" w:type="dxa"/>
            </w:tcMar>
            <w:vAlign w:val="top"/>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是否寿命</w:t>
            </w:r>
          </w:p>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vMerge w:val="continue"/>
            <w:shd w:val="clear" w:color="auto" w:fill="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关键部件的安全有效性能是否会随时间退化？</w:t>
            </w: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关键部件之间是否存在相互作用，导致实施预期功能的能力发生退化？</w:t>
            </w: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rPr>
            </w:pPr>
            <w:r>
              <w:rPr>
                <w:rFonts w:hint="eastAsia" w:ascii="Times New Roman" w:hAnsi="Times New Roman" w:eastAsia="仿宋_GB2312" w:cs="Times New Roman"/>
                <w:b/>
                <w:bCs/>
                <w:i/>
                <w:iCs/>
                <w:color w:val="0000FF"/>
                <w:sz w:val="18"/>
                <w:szCs w:val="18"/>
              </w:rPr>
              <w:t>不同生产制造过程或生产制造过程的改变是否对关键部件长期使用性能产生影响？</w:t>
            </w:r>
          </w:p>
        </w:tc>
        <w:tc>
          <w:tcPr>
            <w:tcW w:w="0" w:type="auto"/>
            <w:shd w:val="clear" w:color="auto" w:fill="D7D7D7"/>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b/>
                <w:bCs/>
                <w:i/>
                <w:iCs/>
                <w:color w:val="0000FF"/>
                <w:sz w:val="18"/>
                <w:szCs w:val="18"/>
                <w:lang w:val="en-US" w:eastAsia="zh-CN"/>
              </w:rPr>
            </w:pPr>
            <w:r>
              <w:rPr>
                <w:rFonts w:hint="eastAsia" w:ascii="Times New Roman" w:hAnsi="Times New Roman" w:eastAsia="仿宋_GB2312" w:cs="Times New Roman"/>
                <w:b/>
                <w:bCs/>
                <w:i/>
                <w:iCs/>
                <w:color w:val="0000FF"/>
                <w:sz w:val="18"/>
                <w:szCs w:val="18"/>
                <w:lang w:eastAsia="zh-CN"/>
              </w:rPr>
              <w:t>是否</w:t>
            </w:r>
            <w:r>
              <w:rPr>
                <w:rFonts w:hint="eastAsia" w:ascii="Times New Roman" w:hAnsi="Times New Roman" w:eastAsia="仿宋_GB2312" w:cs="Times New Roman"/>
                <w:b/>
                <w:bCs/>
                <w:i/>
                <w:iCs/>
                <w:color w:val="0000FF"/>
                <w:sz w:val="18"/>
                <w:szCs w:val="18"/>
                <w:lang w:val="en-US" w:eastAsia="zh-CN"/>
              </w:rPr>
              <w:t>XXXX？</w:t>
            </w:r>
          </w:p>
          <w:p>
            <w:pPr>
              <w:spacing w:line="520" w:lineRule="exact"/>
              <w:rPr>
                <w:rFonts w:hint="eastAsia" w:ascii="Times New Roman" w:hAnsi="Times New Roman" w:eastAsia="仿宋_GB2312" w:cs="Times New Roman"/>
                <w:b/>
                <w:bCs/>
                <w:i/>
                <w:iCs/>
                <w:color w:val="0000FF"/>
                <w:sz w:val="18"/>
                <w:szCs w:val="18"/>
                <w:lang w:val="en-US" w:eastAsia="zh-CN"/>
              </w:rPr>
            </w:pPr>
          </w:p>
          <w:p>
            <w:pPr>
              <w:spacing w:line="520" w:lineRule="exact"/>
              <w:rPr>
                <w:rFonts w:hint="eastAsia" w:ascii="Times New Roman" w:hAnsi="Times New Roman" w:eastAsia="仿宋_GB2312" w:cs="Times New Roman"/>
                <w:b/>
                <w:bCs/>
                <w:i/>
                <w:iCs/>
                <w:color w:val="auto"/>
                <w:sz w:val="18"/>
                <w:szCs w:val="18"/>
                <w:lang w:val="en-US" w:eastAsia="zh-CN"/>
              </w:rPr>
            </w:pPr>
            <w:r>
              <w:rPr>
                <w:rFonts w:hint="eastAsia" w:ascii="Times New Roman" w:hAnsi="Times New Roman" w:eastAsia="仿宋_GB2312" w:cs="Times New Roman"/>
                <w:b/>
                <w:bCs/>
                <w:i/>
                <w:iCs/>
                <w:color w:val="auto"/>
                <w:sz w:val="18"/>
                <w:szCs w:val="18"/>
                <w:lang w:val="en-US" w:eastAsia="zh-CN"/>
              </w:rPr>
              <w:t>{如有其他的影响方式可补充}</w:t>
            </w:r>
          </w:p>
          <w:p>
            <w:pPr>
              <w:spacing w:line="520" w:lineRule="exact"/>
              <w:rPr>
                <w:rFonts w:hint="eastAsia" w:ascii="Times New Roman" w:hAnsi="Times New Roman" w:eastAsia="仿宋_GB2312" w:cs="Times New Roman"/>
                <w:b/>
                <w:bCs/>
                <w:i/>
                <w:iCs/>
                <w:color w:val="0000FF"/>
                <w:sz w:val="18"/>
                <w:szCs w:val="18"/>
                <w:lang w:val="en-US" w:eastAsia="zh-CN"/>
              </w:rPr>
            </w:pPr>
            <w:r>
              <w:rPr>
                <w:rFonts w:hint="eastAsia" w:ascii="Times New Roman" w:hAnsi="Times New Roman" w:eastAsia="仿宋_GB2312" w:cs="Times New Roman"/>
                <w:b/>
                <w:bCs/>
                <w:i/>
                <w:iCs/>
                <w:color w:val="0000FF"/>
                <w:sz w:val="18"/>
                <w:szCs w:val="18"/>
                <w:lang w:val="en-US" w:eastAsia="zh-CN"/>
              </w:rPr>
              <w:t xml:space="preserve"> </w:t>
            </w:r>
          </w:p>
          <w:p>
            <w:pPr>
              <w:spacing w:line="520" w:lineRule="exact"/>
              <w:rPr>
                <w:rFonts w:hint="default" w:ascii="Times New Roman" w:hAnsi="Times New Roman" w:eastAsia="仿宋_GB2312" w:cs="Times New Roman"/>
                <w:b/>
                <w:bCs/>
                <w:i/>
                <w:iCs/>
                <w:color w:val="0000FF"/>
                <w:sz w:val="18"/>
                <w:szCs w:val="18"/>
                <w:lang w:val="en-US" w:eastAsia="zh-CN"/>
              </w:rPr>
            </w:pPr>
          </w:p>
        </w:tc>
        <w:tc>
          <w:tcPr>
            <w:tcW w:w="0" w:type="auto"/>
            <w:vMerge w:val="continue"/>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准直系统</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使用频率和强度</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自主研发</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tcMar>
              <w:top w:w="0" w:type="dxa"/>
              <w:left w:w="108" w:type="dxa"/>
              <w:bottom w:w="0" w:type="dxa"/>
              <w:right w:w="108" w:type="dxa"/>
            </w:tcMar>
            <w:vAlign w:val="center"/>
          </w:tcPr>
          <w:p>
            <w:pPr>
              <w:spacing w:line="520" w:lineRule="exact"/>
              <w:rPr>
                <w:rFonts w:hint="default" w:ascii="Times New Roman" w:hAnsi="Times New Roman" w:eastAsia="仿宋_GB2312" w:cs="Times New Roman"/>
                <w:i/>
                <w:iCs/>
                <w:color w:val="0000FF"/>
                <w:sz w:val="18"/>
                <w:szCs w:val="18"/>
                <w:lang w:val="en-US" w:eastAsia="zh-CN"/>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tcMar>
              <w:top w:w="0" w:type="dxa"/>
              <w:left w:w="108" w:type="dxa"/>
              <w:bottom w:w="0" w:type="dxa"/>
              <w:right w:w="108" w:type="dxa"/>
            </w:tcMar>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滑环</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使用频率和强度</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Y</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外购件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不可更换部件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探测器</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使用频率和强度</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Z</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自主研发</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高压发生器</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维护维修情况</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A</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外购件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球管</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曝光条件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B</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外购件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可更换部件</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c>
          <w:tcPr>
            <w:tcW w:w="0" w:type="auto"/>
            <w:noWrap w:val="0"/>
            <w:vAlign w:val="center"/>
          </w:tcPr>
          <w:p>
            <w:pPr>
              <w:spacing w:line="520" w:lineRule="exact"/>
              <w:rPr>
                <w:rFonts w:hint="eastAsia" w:ascii="Times New Roman" w:hAnsi="Times New Roman" w:eastAsia="仿宋_GB2312" w:cs="Times New Roman"/>
                <w:i/>
                <w:iCs/>
                <w:color w:val="0000FF"/>
                <w:sz w:val="18"/>
                <w:szCs w:val="18"/>
              </w:rPr>
            </w:pPr>
            <w:r>
              <w:rPr>
                <w:rFonts w:hint="eastAsia" w:ascii="Times New Roman" w:hAnsi="Times New Roman" w:eastAsia="仿宋_GB2312" w:cs="Times New Roman"/>
                <w:i/>
                <w:iCs/>
                <w:color w:val="0000FF"/>
                <w:sz w:val="18"/>
                <w:szCs w:val="18"/>
              </w:rPr>
              <w:t>...</w:t>
            </w:r>
          </w:p>
        </w:tc>
      </w:tr>
    </w:tbl>
    <w:p>
      <w:pPr>
        <w:pStyle w:val="2"/>
        <w:rPr>
          <w:rFonts w:hint="eastAsia" w:ascii="宋体" w:hAnsi="宋体" w:cs="Arial"/>
          <w:szCs w:val="21"/>
        </w:rPr>
      </w:pPr>
    </w:p>
    <w:p>
      <w:pPr>
        <w:spacing w:line="520" w:lineRule="exact"/>
        <w:rPr>
          <w:rFonts w:hint="default"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综上分析，影响XX产品寿命部件主要包括XX、XX、XX、...。)</w:t>
      </w:r>
    </w:p>
    <w:p>
      <w:pPr>
        <w:spacing w:line="520" w:lineRule="exact"/>
        <w:rPr>
          <w:rFonts w:hint="eastAsia" w:ascii="Times New Roman" w:hAnsi="Times New Roman" w:eastAsia="仿宋_GB2312" w:cs="Times New Roman"/>
          <w:b/>
          <w:bCs/>
          <w:i/>
          <w:iCs/>
          <w:color w:val="0000FF"/>
          <w:sz w:val="24"/>
          <w:szCs w:val="24"/>
          <w:lang w:val="en-US" w:eastAsia="zh-CN"/>
        </w:rPr>
      </w:pPr>
      <w:r>
        <w:rPr>
          <w:rFonts w:hint="eastAsia" w:ascii="Times New Roman" w:hAnsi="Times New Roman" w:eastAsia="仿宋_GB2312" w:cs="Times New Roman"/>
          <w:b/>
          <w:bCs/>
          <w:i/>
          <w:iCs/>
          <w:color w:val="0000FF"/>
          <w:sz w:val="24"/>
          <w:szCs w:val="24"/>
          <w:lang w:val="en-US" w:eastAsia="zh-CN"/>
        </w:rPr>
        <w:t>4.2、使用频率和强度</w:t>
      </w:r>
    </w:p>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在同样的使用环境等条件下，临床使用频繁或者使用强度较高的产品，其使用期限通常要短于使用次数较少且强度较低的产品。</w:t>
      </w:r>
    </w:p>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产品或部件的临床参考使用频率既可以包括使用次数，连续工作时长，也可以包括一系列的临床应用场景，或是各种因素的组合。本次分析按照临床使用情况评估产品的使用频率。具体如下：</w:t>
      </w:r>
    </w:p>
    <w:p>
      <w:pPr>
        <w:spacing w:line="520" w:lineRule="exact"/>
        <w:ind w:firstLine="480" w:firstLineChars="200"/>
        <w:rPr>
          <w:rFonts w:hint="eastAsia" w:ascii="宋体" w:hAnsi="宋体" w:cs="宋体"/>
          <w:sz w:val="28"/>
          <w:szCs w:val="28"/>
        </w:rPr>
      </w:pPr>
      <w:r>
        <w:rPr>
          <w:rFonts w:hint="eastAsia" w:ascii="Times New Roman" w:hAnsi="Times New Roman" w:eastAsia="仿宋_GB2312" w:cs="Times New Roman"/>
          <w:i/>
          <w:iCs/>
          <w:color w:val="0000FF"/>
          <w:sz w:val="24"/>
          <w:szCs w:val="24"/>
          <w:lang w:val="en-US" w:eastAsia="zh-CN"/>
        </w:rPr>
        <w:t>XX产品正常使用流程，一般是：1）开机； 2）XX； N）XX； 4）关机；这个过程，XXXXXXXX{此处描述临床使用频率的内容}（案例参考：每天检查患者数为120例，则每年检查患者数为30000例（120例*250工作日=30000例）。 ）</w:t>
      </w:r>
    </w:p>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但是XX产品各组成涉及的元件上千个，它们的材料、结构、组成、角色各不同，寿命也差别很大。有关零部件的使用频率和强度（次数）和工作时间见下表2。</w:t>
      </w:r>
    </w:p>
    <w:tbl>
      <w:tblPr>
        <w:tblStyle w:val="5"/>
        <w:tblW w:w="935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99"/>
        <w:gridCol w:w="1110"/>
        <w:gridCol w:w="1560"/>
        <w:gridCol w:w="874"/>
        <w:gridCol w:w="968"/>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9" w:hRule="atLeast"/>
        </w:trPr>
        <w:tc>
          <w:tcPr>
            <w:tcW w:w="852"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组成</w:t>
            </w:r>
          </w:p>
        </w:tc>
        <w:tc>
          <w:tcPr>
            <w:tcW w:w="1299"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关键元件</w:t>
            </w:r>
          </w:p>
        </w:tc>
        <w:tc>
          <w:tcPr>
            <w:tcW w:w="1110"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设计寿命</w:t>
            </w:r>
          </w:p>
        </w:tc>
        <w:tc>
          <w:tcPr>
            <w:tcW w:w="1560"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使用频率和强度（次数）/治疗次</w:t>
            </w:r>
          </w:p>
        </w:tc>
        <w:tc>
          <w:tcPr>
            <w:tcW w:w="874"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累计寿命</w:t>
            </w:r>
          </w:p>
        </w:tc>
        <w:tc>
          <w:tcPr>
            <w:tcW w:w="968"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相当使用年长</w:t>
            </w:r>
          </w:p>
        </w:tc>
        <w:tc>
          <w:tcPr>
            <w:tcW w:w="1276" w:type="dxa"/>
            <w:noWrap w:val="0"/>
            <w:vAlign w:val="top"/>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影响因素</w:t>
            </w:r>
          </w:p>
        </w:tc>
        <w:tc>
          <w:tcPr>
            <w:tcW w:w="1418" w:type="dxa"/>
            <w:noWrap w:val="0"/>
            <w:vAlign w:val="top"/>
          </w:tcPr>
          <w:p>
            <w:pPr>
              <w:spacing w:line="520" w:lineRule="exact"/>
              <w:ind w:firstLine="480" w:firstLineChars="200"/>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299"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110"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560"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874"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968"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276"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c>
          <w:tcPr>
            <w:tcW w:w="1418" w:type="dxa"/>
            <w:noWrap w:val="0"/>
            <w:vAlign w:val="center"/>
          </w:tcPr>
          <w:p>
            <w:pPr>
              <w:spacing w:line="520" w:lineRule="exact"/>
              <w:rPr>
                <w:rFonts w:hint="eastAsia" w:ascii="Times New Roman" w:hAnsi="Times New Roman" w:eastAsia="仿宋_GB2312" w:cs="Times New Roman"/>
                <w:i/>
                <w:iCs/>
                <w:color w:val="0000FF"/>
                <w:sz w:val="24"/>
                <w:szCs w:val="24"/>
                <w:lang w:val="en-US" w:eastAsia="zh-CN"/>
              </w:rPr>
            </w:pPr>
            <w:r>
              <w:rPr>
                <w:rFonts w:hint="eastAsia" w:ascii="Times New Roman" w:hAnsi="Times New Roman" w:eastAsia="仿宋_GB2312" w:cs="Times New Roman"/>
                <w:i/>
                <w:iCs/>
                <w:color w:val="0000FF"/>
                <w:sz w:val="18"/>
                <w:szCs w:val="18"/>
                <w:lang w:val="en-US" w:eastAsia="zh-CN"/>
              </w:rPr>
              <w:t>XX</w:t>
            </w:r>
          </w:p>
        </w:tc>
      </w:tr>
    </w:tbl>
    <w:p>
      <w:pPr>
        <w:pStyle w:val="2"/>
        <w:rPr>
          <w:rFonts w:hint="eastAsia" w:ascii="Times New Roman" w:hAnsi="Times New Roman" w:eastAsia="仿宋_GB2312" w:cs="Times New Roman"/>
          <w:i/>
          <w:iCs/>
          <w:color w:val="0000FF"/>
          <w:sz w:val="24"/>
          <w:szCs w:val="24"/>
          <w:lang w:val="en-US" w:eastAsia="zh-CN"/>
        </w:rPr>
      </w:pPr>
    </w:p>
    <w:p>
      <w:pPr>
        <w:pStyle w:val="2"/>
        <w:ind w:firstLine="720" w:firstLineChars="300"/>
        <w:rPr>
          <w:rFonts w:hint="default"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以上关于设计寿命的来源于X元件的供应商规格书，见附件X</w:t>
      </w:r>
    </w:p>
    <w:p>
      <w:pPr>
        <w:pStyle w:val="2"/>
        <w:ind w:firstLine="480" w:firstLineChars="2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根据上述的资料和分析，在不考虑产品老化因素的情况下，可以推断产品组成零件的理论有效期</w:t>
      </w:r>
      <w:r>
        <w:rPr>
          <w:rFonts w:hint="eastAsia" w:ascii="Times New Roman" w:hAnsi="Times New Roman" w:eastAsia="仿宋_GB2312" w:cs="Times New Roman"/>
          <w:i/>
          <w:iCs/>
          <w:color w:val="0000FF"/>
          <w:sz w:val="24"/>
          <w:szCs w:val="24"/>
          <w:lang w:val="en-US" w:eastAsia="zh-CN"/>
        </w:rPr>
        <w:t>XX</w:t>
      </w:r>
      <w:r>
        <w:rPr>
          <w:rFonts w:hint="eastAsia" w:ascii="Times New Roman" w:hAnsi="Times New Roman" w:eastAsia="仿宋_GB2312" w:cs="Times New Roman"/>
          <w:i/>
          <w:iCs/>
          <w:color w:val="0000FF"/>
          <w:kern w:val="2"/>
          <w:sz w:val="24"/>
          <w:szCs w:val="24"/>
          <w:lang w:val="en-US" w:eastAsia="zh-CN" w:bidi="ar-SA"/>
        </w:rPr>
        <w:t>年之间。</w:t>
      </w:r>
    </w:p>
    <w:p>
      <w:pPr>
        <w:pStyle w:val="2"/>
        <w:rPr>
          <w:rFonts w:hint="eastAsia" w:ascii="宋体" w:hAnsi="宋体" w:eastAsia="宋体" w:cs="宋体"/>
          <w:sz w:val="28"/>
          <w:szCs w:val="28"/>
        </w:rPr>
      </w:pPr>
    </w:p>
    <w:p>
      <w:pPr>
        <w:spacing w:line="520" w:lineRule="exact"/>
        <w:rPr>
          <w:rFonts w:hint="eastAsia"/>
          <w:lang w:val="en-US" w:eastAsia="zh-CN"/>
        </w:rPr>
      </w:pPr>
      <w:r>
        <w:rPr>
          <w:rFonts w:hint="eastAsia" w:ascii="Times New Roman" w:hAnsi="Times New Roman" w:eastAsia="仿宋_GB2312" w:cs="Times New Roman"/>
          <w:b/>
          <w:bCs/>
          <w:i/>
          <w:iCs/>
          <w:color w:val="0000FF"/>
          <w:sz w:val="24"/>
          <w:szCs w:val="24"/>
          <w:lang w:val="en-US" w:eastAsia="zh-CN"/>
        </w:rPr>
        <w:t>4.3、运输储存及使用环境</w:t>
      </w:r>
    </w:p>
    <w:p>
      <w:pPr>
        <w:pStyle w:val="2"/>
        <w:ind w:firstLine="480" w:firstLineChars="2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XXXXXX产品使用环境在说明书中已明确规定，如下所示。</w:t>
      </w:r>
    </w:p>
    <w:p>
      <w:pPr>
        <w:pStyle w:val="2"/>
        <w:numPr>
          <w:ilvl w:val="0"/>
          <w:numId w:val="3"/>
        </w:numPr>
        <w:ind w:left="420" w:leftChars="0" w:hanging="420" w:firstLineChars="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使用环境：扫描室</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环境温度范围：</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相对湿度范围：</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大气压力范围：</w:t>
      </w:r>
    </w:p>
    <w:p>
      <w:pPr>
        <w:pStyle w:val="2"/>
        <w:numPr>
          <w:ilvl w:val="0"/>
          <w:numId w:val="3"/>
        </w:numPr>
        <w:ind w:left="420" w:leftChars="0" w:hanging="420" w:firstLineChars="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使用环境：操作室</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环境温度范围：</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相对湿度范围：</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大气压力范围：</w:t>
      </w:r>
    </w:p>
    <w:p>
      <w:pPr>
        <w:pStyle w:val="2"/>
        <w:numPr>
          <w:ilvl w:val="0"/>
          <w:numId w:val="3"/>
        </w:numPr>
        <w:ind w:left="420" w:leftChars="0" w:hanging="420" w:firstLineChars="0"/>
        <w:rPr>
          <w:rFonts w:hint="default"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使用环境：XX</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环境温度范围：</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相对湿度范围：</w:t>
      </w: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大气压力范围：</w:t>
      </w:r>
    </w:p>
    <w:p>
      <w:pPr>
        <w:pStyle w:val="2"/>
        <w:numPr>
          <w:ilvl w:val="0"/>
          <w:numId w:val="0"/>
        </w:numPr>
        <w:ind w:leftChars="0"/>
        <w:rPr>
          <w:rFonts w:hint="default" w:ascii="Times New Roman" w:hAnsi="Times New Roman" w:eastAsia="仿宋_GB2312" w:cs="Times New Roman"/>
          <w:i/>
          <w:iCs/>
          <w:color w:val="0000FF"/>
          <w:kern w:val="2"/>
          <w:sz w:val="24"/>
          <w:szCs w:val="24"/>
          <w:lang w:val="en-US" w:eastAsia="zh-CN" w:bidi="ar-SA"/>
        </w:rPr>
      </w:pPr>
    </w:p>
    <w:p>
      <w:pPr>
        <w:pStyle w:val="2"/>
      </w:pPr>
    </w:p>
    <w:p>
      <w:pPr>
        <w:pStyle w:val="2"/>
        <w:ind w:firstLine="720" w:firstLineChars="300"/>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评估产品的部件的使用期限时，考虑了说明书中所述的极限运输及储存和使用环境条件，温度、湿度、空气压力、运输振动、储存等环境及机械条件对其带来的腐蚀、老化、机械磨损等影响。应保证产品的使用期限可满足运输、储存及使用的要求。</w:t>
      </w:r>
    </w:p>
    <w:p>
      <w:pPr>
        <w:pStyle w:val="2"/>
        <w:ind w:firstLine="480" w:firstLineChars="200"/>
        <w:rPr>
          <w:rFonts w:hint="eastAsia" w:ascii="Times New Roman" w:hAnsi="Times New Roman" w:eastAsia="黑体" w:cs="Times New Roman"/>
          <w:bCs/>
          <w:i/>
          <w:iCs/>
          <w:color w:val="0070C0"/>
          <w:kern w:val="44"/>
          <w:sz w:val="21"/>
          <w:szCs w:val="21"/>
          <w:lang w:val="en-US" w:eastAsia="zh-CN" w:bidi="ar-SA"/>
        </w:rPr>
      </w:pPr>
      <w:bookmarkStart w:id="1" w:name="OLE_LINK1"/>
      <w:r>
        <w:rPr>
          <w:rFonts w:hint="eastAsia" w:ascii="Times New Roman" w:hAnsi="Times New Roman" w:eastAsia="仿宋_GB2312" w:cs="Times New Roman"/>
          <w:i/>
          <w:iCs/>
          <w:color w:val="0000FF"/>
          <w:kern w:val="2"/>
          <w:sz w:val="24"/>
          <w:szCs w:val="24"/>
          <w:lang w:val="en-US" w:eastAsia="zh-CN" w:bidi="ar-SA"/>
        </w:rPr>
        <w:t>我们对运输储存及使用环境进行了风险分析，得出不会对产品产生不利影响，运输储存及使用环境可不作为使用期限判定的重点内容。</w:t>
      </w:r>
      <w:r>
        <w:rPr>
          <w:rFonts w:hint="eastAsia" w:ascii="Times New Roman" w:hAnsi="Times New Roman" w:eastAsia="黑体" w:cs="Times New Roman"/>
          <w:bCs/>
          <w:i/>
          <w:iCs/>
          <w:color w:val="0070C0"/>
          <w:kern w:val="44"/>
          <w:sz w:val="21"/>
          <w:szCs w:val="21"/>
          <w:lang w:val="en-US" w:eastAsia="zh-CN" w:bidi="ar-SA"/>
        </w:rPr>
        <w:t>【若通过风险分析后运输、储存及使用环境条件并不会对产品产生不利影响，则上述条件可不作为使用期限判定的重点内容。需要对此处参考的内容进行修改】</w:t>
      </w:r>
    </w:p>
    <w:bookmarkEnd w:id="1"/>
    <w:p>
      <w:pPr>
        <w:spacing w:line="540" w:lineRule="exact"/>
        <w:rPr>
          <w:rFonts w:hint="eastAsia" w:ascii="宋体" w:hAnsi="宋体" w:cs="宋体"/>
          <w:sz w:val="28"/>
          <w:szCs w:val="28"/>
        </w:rPr>
      </w:pPr>
    </w:p>
    <w:p>
      <w:pPr>
        <w:spacing w:line="520" w:lineRule="exact"/>
        <w:rPr>
          <w:rFonts w:hint="eastAsia" w:eastAsia="仿宋_GB2312"/>
          <w:sz w:val="32"/>
          <w:szCs w:val="32"/>
        </w:rPr>
      </w:pPr>
      <w:r>
        <w:rPr>
          <w:rFonts w:hint="eastAsia" w:ascii="Times New Roman" w:hAnsi="Times New Roman" w:eastAsia="仿宋_GB2312" w:cs="Times New Roman"/>
          <w:b/>
          <w:bCs/>
          <w:i/>
          <w:iCs/>
          <w:color w:val="0000FF"/>
          <w:sz w:val="24"/>
          <w:szCs w:val="24"/>
          <w:lang w:val="en-US" w:eastAsia="zh-CN"/>
        </w:rPr>
        <w:t>4.4、清洗消毒</w:t>
      </w:r>
    </w:p>
    <w:p>
      <w:pPr>
        <w:pStyle w:val="2"/>
        <w:ind w:firstLine="420" w:firstLineChars="200"/>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【如产品的使用过程中涉及清洗和消毒，需要评估其对产品使用期限的影响，确定清洁消毒的程序以及化学物质残留产生累积效应等是否对产品性能产生退化影响，从而影响效期】</w:t>
      </w:r>
    </w:p>
    <w:p>
      <w:pPr>
        <w:pStyle w:val="2"/>
        <w:rPr>
          <w:rFonts w:hint="eastAsia" w:ascii="宋体" w:hAnsi="宋体" w:eastAsia="宋体" w:cs="宋体"/>
          <w:sz w:val="28"/>
          <w:szCs w:val="28"/>
          <w:highlight w:val="yellow"/>
        </w:rPr>
      </w:pPr>
    </w:p>
    <w:p>
      <w:pPr>
        <w:spacing w:line="520" w:lineRule="exact"/>
        <w:rPr>
          <w:rFonts w:hint="eastAsia" w:ascii="Times New Roman" w:hAnsi="Times New Roman" w:eastAsia="仿宋_GB2312" w:cs="Times New Roman"/>
          <w:b/>
          <w:bCs/>
          <w:i/>
          <w:iCs/>
          <w:color w:val="0000FF"/>
          <w:sz w:val="24"/>
          <w:szCs w:val="24"/>
          <w:lang w:val="en-US" w:eastAsia="zh-CN"/>
        </w:rPr>
      </w:pPr>
      <w:r>
        <w:rPr>
          <w:rFonts w:hint="eastAsia" w:ascii="Times New Roman" w:hAnsi="Times New Roman" w:eastAsia="仿宋_GB2312" w:cs="Times New Roman"/>
          <w:b/>
          <w:bCs/>
          <w:i/>
          <w:iCs/>
          <w:color w:val="0000FF"/>
          <w:sz w:val="24"/>
          <w:szCs w:val="24"/>
          <w:lang w:val="en-US" w:eastAsia="zh-CN"/>
        </w:rPr>
        <w:t>4.5包装和灭菌</w:t>
      </w:r>
    </w:p>
    <w:p>
      <w:pPr>
        <w:pStyle w:val="2"/>
        <w:ind w:firstLine="420" w:firstLineChars="200"/>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【包装：需要评估包装方式是否对产品的使用期限产生影响；</w:t>
      </w:r>
    </w:p>
    <w:p>
      <w:pPr>
        <w:pStyle w:val="2"/>
        <w:ind w:firstLine="420" w:firstLineChars="200"/>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灭菌：如产品设计灭菌或终端用户灭菌，应考虑灭菌工艺（方法和参数）等对产品使用期限的影响，包括对产品的影响，以及灭菌有效性的影响(即无菌效期)】</w:t>
      </w:r>
    </w:p>
    <w:p>
      <w:pPr>
        <w:pStyle w:val="2"/>
      </w:pPr>
    </w:p>
    <w:p>
      <w:pPr>
        <w:spacing w:line="540" w:lineRule="exact"/>
        <w:rPr>
          <w:rFonts w:hint="eastAsia" w:ascii="宋体" w:hAnsi="宋体" w:cs="宋体"/>
          <w:sz w:val="28"/>
          <w:szCs w:val="28"/>
        </w:rPr>
      </w:pPr>
      <w:r>
        <w:rPr>
          <w:rFonts w:hint="eastAsia" w:ascii="Times New Roman" w:hAnsi="Times New Roman" w:eastAsia="仿宋_GB2312" w:cs="Times New Roman"/>
          <w:b/>
          <w:bCs/>
          <w:i/>
          <w:iCs/>
          <w:color w:val="0000FF"/>
          <w:sz w:val="24"/>
          <w:szCs w:val="24"/>
          <w:lang w:val="en-US" w:eastAsia="zh-CN"/>
        </w:rPr>
        <w:t>4.6部件维护维修情况</w:t>
      </w:r>
    </w:p>
    <w:p>
      <w:pPr>
        <w:pStyle w:val="2"/>
        <w:ind w:firstLine="420" w:firstLineChars="200"/>
        <w:rPr>
          <w:rFonts w:hint="eastAsia"/>
        </w:rPr>
      </w:pPr>
      <w:r>
        <w:rPr>
          <w:rFonts w:hint="eastAsia" w:ascii="Times New Roman" w:hAnsi="Times New Roman" w:eastAsia="黑体" w:cs="Times New Roman"/>
          <w:bCs/>
          <w:i/>
          <w:iCs/>
          <w:color w:val="0070C0"/>
          <w:kern w:val="44"/>
          <w:sz w:val="21"/>
          <w:szCs w:val="21"/>
          <w:lang w:val="en-US" w:eastAsia="zh-CN" w:bidi="ar-SA"/>
        </w:rPr>
        <w:t>【如产品涉及到部件的维修、维护和保养，应该考虑这些因素对产品使用期限的影响】</w:t>
      </w:r>
    </w:p>
    <w:p>
      <w:pPr>
        <w:spacing w:line="540" w:lineRule="exact"/>
        <w:rPr>
          <w:rFonts w:hint="eastAsia" w:ascii="Times New Roman" w:hAnsi="Times New Roman" w:eastAsia="仿宋_GB2312" w:cs="Times New Roman"/>
          <w:b/>
          <w:bCs/>
          <w:i/>
          <w:iCs/>
          <w:color w:val="0000FF"/>
          <w:sz w:val="24"/>
          <w:szCs w:val="24"/>
          <w:lang w:val="en-US" w:eastAsia="zh-CN"/>
        </w:rPr>
      </w:pPr>
      <w:r>
        <w:rPr>
          <w:rFonts w:hint="eastAsia" w:ascii="Times New Roman" w:hAnsi="Times New Roman" w:eastAsia="仿宋_GB2312" w:cs="Times New Roman"/>
          <w:b/>
          <w:bCs/>
          <w:i/>
          <w:iCs/>
          <w:color w:val="0000FF"/>
          <w:sz w:val="24"/>
          <w:szCs w:val="24"/>
          <w:lang w:val="en-US" w:eastAsia="zh-CN"/>
        </w:rPr>
        <w:t>4.7商业因素</w:t>
      </w:r>
    </w:p>
    <w:p>
      <w:pPr>
        <w:pStyle w:val="2"/>
        <w:ind w:firstLine="420" w:firstLineChars="200"/>
        <w:rPr>
          <w:rFonts w:hint="default"/>
          <w:lang w:val="en-US"/>
        </w:rPr>
      </w:pPr>
      <w:r>
        <w:rPr>
          <w:rFonts w:hint="eastAsia" w:ascii="Times New Roman" w:hAnsi="Times New Roman" w:eastAsia="黑体" w:cs="Times New Roman"/>
          <w:bCs/>
          <w:i/>
          <w:iCs/>
          <w:color w:val="0070C0"/>
          <w:kern w:val="44"/>
          <w:sz w:val="21"/>
          <w:szCs w:val="21"/>
          <w:lang w:val="en-US" w:eastAsia="zh-CN" w:bidi="ar-SA"/>
        </w:rPr>
        <w:t>【商业因素包括销售策略、售后服务等，如产品的使用期限受影响，需要进行评估】)</w:t>
      </w:r>
    </w:p>
    <w:p>
      <w:pPr>
        <w:pStyle w:val="2"/>
        <w:numPr>
          <w:ilvl w:val="0"/>
          <w:numId w:val="0"/>
        </w:numPr>
      </w:pPr>
    </w:p>
    <w:p>
      <w:pPr>
        <w:numPr>
          <w:ilvl w:val="0"/>
          <w:numId w:val="2"/>
        </w:numPr>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评价方法概述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{此处放入评价方法概述的内容}</w:t>
      </w:r>
    </w:p>
    <w:p>
      <w:pPr>
        <w:pStyle w:val="2"/>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【参照下表所示方式，结合</w:t>
      </w:r>
      <w:r>
        <w:rPr>
          <w:rFonts w:hint="eastAsia" w:eastAsia="黑体"/>
          <w:bCs/>
          <w:i/>
          <w:iCs/>
          <w:color w:val="0070C0"/>
          <w:kern w:val="44"/>
          <w:sz w:val="21"/>
          <w:szCs w:val="21"/>
          <w:lang w:val="zh-CN"/>
        </w:rPr>
        <w:t>有源医疗器械使用期限注册技术审查指导原则》</w:t>
      </w:r>
      <w:r>
        <w:rPr>
          <w:rFonts w:hint="eastAsia" w:ascii="Times New Roman" w:hAnsi="Times New Roman" w:eastAsia="黑体" w:cs="Times New Roman"/>
          <w:bCs/>
          <w:i/>
          <w:iCs/>
          <w:color w:val="0070C0"/>
          <w:kern w:val="44"/>
          <w:sz w:val="21"/>
          <w:szCs w:val="21"/>
          <w:lang w:val="en-US" w:eastAsia="zh-CN" w:bidi="ar-SA"/>
        </w:rPr>
        <w:t>正文第七部分内容，总述在分析本产品使用期限过程中所用的评价方法。】</w:t>
      </w:r>
    </w:p>
    <w:p>
      <w:pPr>
        <w:pStyle w:val="2"/>
        <w:rPr>
          <w:rFonts w:hint="eastAsia" w:ascii="Times New Roman" w:hAnsi="Times New Roman" w:eastAsia="黑体" w:cs="Times New Roman"/>
          <w:bCs/>
          <w:i/>
          <w:iCs/>
          <w:color w:val="0070C0"/>
          <w:kern w:val="44"/>
          <w:sz w:val="21"/>
          <w:szCs w:val="21"/>
          <w:lang w:val="en-US" w:eastAsia="zh-CN" w:bidi="ar-SA"/>
        </w:rPr>
      </w:pPr>
    </w:p>
    <w:p>
      <w:pPr>
        <w:spacing w:line="520" w:lineRule="exact"/>
        <w:rPr>
          <w:rFonts w:hint="eastAsia" w:ascii="Times New Roman" w:hAnsi="Times New Roman" w:eastAsia="仿宋_GB2312" w:cs="Times New Roman"/>
          <w:b/>
          <w:bCs/>
          <w:i/>
          <w:iCs/>
          <w:color w:val="0000FF"/>
          <w:kern w:val="2"/>
          <w:sz w:val="24"/>
          <w:szCs w:val="24"/>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pStyle w:val="2"/>
        <w:rPr>
          <w:rFonts w:hint="eastAsia" w:ascii="Times New Roman" w:hAnsi="Times New Roman" w:eastAsia="黑体" w:cs="Times New Roman"/>
          <w:bCs/>
          <w:i/>
          <w:iCs/>
          <w:color w:val="0070C0"/>
          <w:kern w:val="44"/>
          <w:sz w:val="21"/>
          <w:szCs w:val="21"/>
          <w:lang w:val="en-US" w:eastAsia="zh-CN" w:bidi="ar-SA"/>
        </w:rPr>
      </w:pPr>
    </w:p>
    <w:p>
      <w:pPr>
        <w:pStyle w:val="2"/>
        <w:rPr>
          <w:rFonts w:hint="eastAsia" w:ascii="Times New Roman" w:hAnsi="Times New Roman" w:eastAsia="黑体" w:cs="Times New Roman"/>
          <w:bCs/>
          <w:i/>
          <w:iCs/>
          <w:color w:val="0070C0"/>
          <w:kern w:val="44"/>
          <w:sz w:val="21"/>
          <w:szCs w:val="21"/>
          <w:lang w:val="en-US" w:eastAsia="zh-CN" w:bidi="ar-SA"/>
        </w:rPr>
      </w:pPr>
    </w:p>
    <w:p>
      <w:pPr>
        <w:pStyle w:val="2"/>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1225"/>
        <w:gridCol w:w="427"/>
        <w:gridCol w:w="793"/>
        <w:gridCol w:w="763"/>
        <w:gridCol w:w="1100"/>
        <w:gridCol w:w="1343"/>
        <w:gridCol w:w="992"/>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476"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产品（系统）/子系统/部件名称</w:t>
            </w:r>
          </w:p>
        </w:tc>
        <w:tc>
          <w:tcPr>
            <w:tcW w:w="1225"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影响</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因素</w:t>
            </w:r>
          </w:p>
        </w:tc>
        <w:tc>
          <w:tcPr>
            <w:tcW w:w="427"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型号</w:t>
            </w:r>
          </w:p>
        </w:tc>
        <w:tc>
          <w:tcPr>
            <w:tcW w:w="79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属性</w:t>
            </w:r>
          </w:p>
        </w:tc>
        <w:tc>
          <w:tcPr>
            <w:tcW w:w="76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分解关系类型</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使用期限/ 故障率</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评价方法</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评价完成单位</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使用期限内是否导致不可接受风险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76"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子系统1：扫描架</w:t>
            </w:r>
          </w:p>
        </w:tc>
        <w:tc>
          <w:tcPr>
            <w:tcW w:w="8444" w:type="dxa"/>
            <w:gridSpan w:val="8"/>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1476"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准直系统</w:t>
            </w:r>
          </w:p>
        </w:tc>
        <w:tc>
          <w:tcPr>
            <w:tcW w:w="1225"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使用频率和强度</w:t>
            </w:r>
          </w:p>
        </w:tc>
        <w:tc>
          <w:tcPr>
            <w:tcW w:w="427"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w:t>
            </w:r>
          </w:p>
        </w:tc>
        <w:tc>
          <w:tcPr>
            <w:tcW w:w="79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自主研发</w:t>
            </w:r>
          </w:p>
        </w:tc>
        <w:tc>
          <w:tcPr>
            <w:tcW w:w="763" w:type="dxa"/>
            <w:noWrap w:val="0"/>
            <w:tcMar>
              <w:top w:w="0" w:type="dxa"/>
              <w:left w:w="108" w:type="dxa"/>
              <w:bottom w:w="0" w:type="dxa"/>
              <w:right w:w="108" w:type="dxa"/>
            </w:tcMar>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X年</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加速老化试验报告，见附件1</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生产</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企业</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滑环</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使用频率和强度</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Y</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外购件</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不可更换部件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X年</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疲劳测试报告，见附件2</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供应商</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探测器</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使用频率和强度</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Z</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自主研发</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X年/辐射热损伤</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仿真计算报告，见附件3</w:t>
            </w:r>
          </w:p>
        </w:tc>
        <w:tc>
          <w:tcPr>
            <w:tcW w:w="992" w:type="dxa"/>
            <w:noWrap w:val="0"/>
            <w:vAlign w:val="center"/>
          </w:tcPr>
          <w:p>
            <w:pPr>
              <w:ind w:left="108"/>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生产企业</w:t>
            </w:r>
          </w:p>
        </w:tc>
        <w:tc>
          <w:tcPr>
            <w:tcW w:w="1801" w:type="dxa"/>
            <w:noWrap w:val="0"/>
            <w:vAlign w:val="center"/>
          </w:tcPr>
          <w:p>
            <w:pPr>
              <w:ind w:left="108"/>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ind w:left="108"/>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高压发生器</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维护维修情况</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A</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外购件</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何条件下的故障率X%</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可靠性分析报告，见附件4</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供应商</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76"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球管</w:t>
            </w:r>
          </w:p>
        </w:tc>
        <w:tc>
          <w:tcPr>
            <w:tcW w:w="1225"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曝光条件</w:t>
            </w:r>
          </w:p>
        </w:tc>
        <w:tc>
          <w:tcPr>
            <w:tcW w:w="427"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B</w:t>
            </w:r>
          </w:p>
        </w:tc>
        <w:tc>
          <w:tcPr>
            <w:tcW w:w="79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外购件</w:t>
            </w:r>
          </w:p>
        </w:tc>
        <w:tc>
          <w:tcPr>
            <w:tcW w:w="76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可更换部件</w:t>
            </w:r>
          </w:p>
        </w:tc>
        <w:tc>
          <w:tcPr>
            <w:tcW w:w="1100"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何条件下的曝光次数</w:t>
            </w:r>
          </w:p>
        </w:tc>
        <w:tc>
          <w:tcPr>
            <w:tcW w:w="1343"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类比分析报告，见附件5</w:t>
            </w:r>
          </w:p>
        </w:tc>
        <w:tc>
          <w:tcPr>
            <w:tcW w:w="992"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供应商</w:t>
            </w:r>
          </w:p>
        </w:tc>
        <w:tc>
          <w:tcPr>
            <w:tcW w:w="1801" w:type="dxa"/>
            <w:noWrap w:val="0"/>
            <w:vAlign w:val="center"/>
          </w:tcPr>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否</w:t>
            </w:r>
          </w:p>
          <w:p>
            <w:pPr>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（采取措施详见风险分析报告）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6"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w:t>
            </w:r>
          </w:p>
        </w:tc>
        <w:tc>
          <w:tcPr>
            <w:tcW w:w="1225"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427"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793"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763"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1100"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1343"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992"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c>
          <w:tcPr>
            <w:tcW w:w="1801" w:type="dxa"/>
            <w:noWrap w:val="0"/>
            <w:vAlign w:val="center"/>
          </w:tcPr>
          <w:p>
            <w:pPr>
              <w:spacing w:line="600" w:lineRule="exact"/>
              <w:jc w:val="center"/>
              <w:rPr>
                <w:rFonts w:hint="eastAsia" w:ascii="Times New Roman" w:hAnsi="Times New Roman" w:eastAsia="仿宋_GB2312" w:cs="Times New Roman"/>
                <w:i/>
                <w:iCs/>
                <w:color w:val="0000FF"/>
                <w:kern w:val="2"/>
                <w:sz w:val="24"/>
                <w:szCs w:val="24"/>
                <w:lang w:val="en-US" w:eastAsia="zh-CN" w:bidi="ar-SA"/>
              </w:rPr>
            </w:pPr>
          </w:p>
        </w:tc>
      </w:tr>
    </w:tbl>
    <w:p>
      <w:pPr>
        <w:spacing w:line="240" w:lineRule="exact"/>
        <w:ind w:firstLine="640" w:firstLineChars="200"/>
        <w:rPr>
          <w:rFonts w:hint="eastAsia" w:ascii="黑体" w:hAnsi="黑体" w:eastAsia="黑体"/>
          <w:bCs/>
          <w:sz w:val="32"/>
          <w:szCs w:val="32"/>
        </w:rPr>
      </w:pPr>
    </w:p>
    <w:p>
      <w:pPr>
        <w:numPr>
          <w:ilvl w:val="0"/>
          <w:numId w:val="2"/>
        </w:numPr>
        <w:spacing w:line="52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结论</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{此处放入结论的内容}</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【此处综合前面的内容进行总结，比如考虑了何种影响因素、采用了何种评价方法的情况下，经风险分析，本产品在何种条件下的使用期限可达X年。在何种随机文件中体现。等】</w:t>
      </w:r>
    </w:p>
    <w:p>
      <w:pPr>
        <w:spacing w:line="520" w:lineRule="exac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综上分析，在考虑了关键部件、使用频率和强度、运输储存及使用环境、清洗/消毒/灭菌、部件维护维修情况及商业因素的影响因素、采用了临床使用特点对元件有效期的影响、市场同类产品的有效期分析等评价方法的情况下，经风险分析，得出本产品在市场上实际使用最多可超过XX年，大部分在XX年左右，但产品理论上的有效期受最短寿命元件的寿命决定，在上述元器件寿命分析中，许多元器件的最短理论寿命是XX年，保守估计为XX年。故本产品理论上的最短的使用期限可达XX年。在说明书和标签中体现。</w:t>
      </w:r>
    </w:p>
    <w:p>
      <w:pPr>
        <w:spacing w:line="480" w:lineRule="exact"/>
        <w:ind w:firstLine="640" w:firstLineChars="200"/>
        <w:rPr>
          <w:rFonts w:hint="eastAsia" w:ascii="仿宋_GB2312" w:hAnsi="华文仿宋" w:eastAsia="仿宋_GB2312"/>
          <w:color w:val="000000"/>
          <w:sz w:val="32"/>
          <w:szCs w:val="32"/>
        </w:rPr>
      </w:pPr>
    </w:p>
    <w:p>
      <w:pPr>
        <w:spacing w:line="480" w:lineRule="exact"/>
        <w:ind w:firstLine="640" w:firstLineChars="200"/>
        <w:rPr>
          <w:rFonts w:hint="eastAsia" w:ascii="仿宋_GB2312" w:hAnsi="华文仿宋" w:eastAsia="仿宋_GB2312"/>
          <w:color w:val="000000"/>
          <w:sz w:val="32"/>
          <w:szCs w:val="32"/>
        </w:rPr>
      </w:pPr>
    </w:p>
    <w:p>
      <w:pPr>
        <w:numPr>
          <w:ilvl w:val="0"/>
          <w:numId w:val="2"/>
        </w:numPr>
        <w:spacing w:line="52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4"/>
          <w:szCs w:val="24"/>
          <w:lang w:val="en-US" w:eastAsia="zh-CN"/>
        </w:rPr>
      </w:pPr>
      <w:r>
        <w:rPr>
          <w:rFonts w:hint="eastAsia" w:eastAsia="黑体"/>
          <w:bCs/>
          <w:i w:val="0"/>
          <w:iCs w:val="0"/>
          <w:color w:val="auto"/>
          <w:kern w:val="44"/>
          <w:sz w:val="24"/>
          <w:szCs w:val="24"/>
          <w:lang w:val="en-US" w:eastAsia="zh-CN"/>
        </w:rPr>
        <w:t>{此处放入附件清单的内容，附件的原文可另附文档}</w:t>
      </w:r>
    </w:p>
    <w:p>
      <w:pPr>
        <w:spacing w:line="520" w:lineRule="exact"/>
        <w:rPr>
          <w:rFonts w:ascii="仿宋_GB2312" w:eastAsia="仿宋_GB2312"/>
          <w:color w:val="000000"/>
          <w:sz w:val="32"/>
          <w:szCs w:val="32"/>
        </w:rPr>
      </w:pPr>
      <w:r>
        <w:rPr>
          <w:rFonts w:hint="eastAsia" w:ascii="Times New Roman" w:hAnsi="Times New Roman" w:eastAsia="仿宋_GB2312" w:cs="Times New Roman"/>
          <w:b/>
          <w:bCs/>
          <w:i/>
          <w:iCs/>
          <w:color w:val="0000FF"/>
          <w:kern w:val="2"/>
          <w:sz w:val="24"/>
          <w:szCs w:val="24"/>
          <w:lang w:val="en-US" w:eastAsia="zh-CN" w:bidi="ar-SA"/>
        </w:rPr>
        <w:t>（以下为参考案例：</w:t>
      </w:r>
    </w:p>
    <w:p>
      <w:p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附件</w:t>
      </w:r>
    </w:p>
    <w:p>
      <w:pPr>
        <w:numPr>
          <w:ilvl w:val="0"/>
          <w:numId w:val="4"/>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加速老化试验测试报告</w:t>
      </w:r>
    </w:p>
    <w:p>
      <w:pPr>
        <w:numPr>
          <w:ilvl w:val="0"/>
          <w:numId w:val="4"/>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实时老化试验测试报告</w:t>
      </w:r>
    </w:p>
    <w:p>
      <w:pPr>
        <w:numPr>
          <w:ilvl w:val="0"/>
          <w:numId w:val="4"/>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疲劳测试报告</w:t>
      </w:r>
    </w:p>
    <w:p>
      <w:pPr>
        <w:numPr>
          <w:ilvl w:val="0"/>
          <w:numId w:val="4"/>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仿真计算报告</w:t>
      </w:r>
    </w:p>
    <w:p>
      <w:pPr>
        <w:numPr>
          <w:ilvl w:val="0"/>
          <w:numId w:val="4"/>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可靠性分析报告</w:t>
      </w:r>
    </w:p>
    <w:p>
      <w:pPr>
        <w:numPr>
          <w:ilvl w:val="0"/>
          <w:numId w:val="4"/>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经验数据类比分析报告</w:t>
      </w:r>
    </w:p>
    <w:p>
      <w:pPr>
        <w:numPr>
          <w:ilvl w:val="0"/>
          <w:numId w:val="4"/>
        </w:numPr>
        <w:spacing w:line="360" w:lineRule="auto"/>
        <w:ind w:firstLine="720" w:firstLineChars="300"/>
        <w:jc w:val="left"/>
        <w:rPr>
          <w:rFonts w:hint="eastAsia" w:ascii="Times New Roman" w:hAnsi="Times New Roman" w:eastAsia="仿宋_GB2312" w:cs="Times New Roman"/>
          <w:i/>
          <w:iCs/>
          <w:color w:val="0000FF"/>
          <w:kern w:val="2"/>
          <w:sz w:val="24"/>
          <w:szCs w:val="24"/>
          <w:lang w:val="en-US" w:eastAsia="zh-CN" w:bidi="ar-SA"/>
        </w:rPr>
      </w:pPr>
      <w:r>
        <w:rPr>
          <w:rFonts w:hint="eastAsia" w:ascii="Times New Roman" w:hAnsi="Times New Roman" w:eastAsia="仿宋_GB2312" w:cs="Times New Roman"/>
          <w:i/>
          <w:iCs/>
          <w:color w:val="0000FF"/>
          <w:kern w:val="2"/>
          <w:sz w:val="24"/>
          <w:szCs w:val="24"/>
          <w:lang w:val="en-US" w:eastAsia="zh-CN" w:bidi="ar-SA"/>
        </w:rPr>
        <w:t>风险分析报告</w:t>
      </w:r>
    </w:p>
    <w:p>
      <w:pPr>
        <w:spacing w:line="20" w:lineRule="exact"/>
        <w:rPr>
          <w:rFonts w:hint="eastAsia" w:ascii="方正仿宋简体" w:hAnsi="仿宋" w:eastAsia="方正仿宋简体"/>
          <w:sz w:val="28"/>
          <w:szCs w:val="28"/>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7734A"/>
    <w:multiLevelType w:val="singleLevel"/>
    <w:tmpl w:val="D197734A"/>
    <w:lvl w:ilvl="0" w:tentative="0">
      <w:start w:val="4"/>
      <w:numFmt w:val="chineseCounting"/>
      <w:suff w:val="nothing"/>
      <w:lvlText w:val="%1、"/>
      <w:lvlJc w:val="left"/>
      <w:rPr>
        <w:rFonts w:hint="eastAsia"/>
      </w:rPr>
    </w:lvl>
  </w:abstractNum>
  <w:abstractNum w:abstractNumId="1">
    <w:nsid w:val="2F80C789"/>
    <w:multiLevelType w:val="singleLevel"/>
    <w:tmpl w:val="2F80C789"/>
    <w:lvl w:ilvl="0" w:tentative="0">
      <w:start w:val="1"/>
      <w:numFmt w:val="bullet"/>
      <w:lvlText w:val=""/>
      <w:lvlJc w:val="left"/>
      <w:pPr>
        <w:ind w:left="420" w:hanging="420"/>
      </w:pPr>
      <w:rPr>
        <w:rFonts w:hint="default" w:ascii="Wingdings" w:hAnsi="Wingdings"/>
      </w:rPr>
    </w:lvl>
  </w:abstractNum>
  <w:abstractNum w:abstractNumId="2">
    <w:nsid w:val="5326C07B"/>
    <w:multiLevelType w:val="singleLevel"/>
    <w:tmpl w:val="5326C07B"/>
    <w:lvl w:ilvl="0" w:tentative="0">
      <w:start w:val="1"/>
      <w:numFmt w:val="chineseCounting"/>
      <w:suff w:val="nothing"/>
      <w:lvlText w:val="（%1）"/>
      <w:lvlJc w:val="left"/>
      <w:rPr>
        <w:rFonts w:hint="eastAsia"/>
      </w:rPr>
    </w:lvl>
  </w:abstractNum>
  <w:abstractNum w:abstractNumId="3">
    <w:nsid w:val="5D97A3CC"/>
    <w:multiLevelType w:val="singleLevel"/>
    <w:tmpl w:val="5D97A3C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279A169C"/>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2023-06-26T12:52:14Z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