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 w:eastAsia="Univers 57 Condensed"/>
          <w:lang w:val="en-US" w:eastAsia="zh-CN"/>
        </w:rPr>
      </w:pPr>
    </w:p>
    <w:p>
      <w:pPr>
        <w:pStyle w:val="11"/>
        <w:rPr>
          <w:rFonts w:hint="default" w:eastAsia="Univers 57 Condensed"/>
          <w:lang w:val="en-US" w:eastAsia="zh-CN"/>
        </w:rPr>
      </w:pPr>
    </w:p>
    <w:p>
      <w:pPr>
        <w:pStyle w:val="11"/>
        <w:rPr>
          <w:rFonts w:hint="default" w:eastAsia="Univers 57 Condensed"/>
          <w:lang w:val="en-US" w:eastAsia="zh-CN"/>
        </w:rPr>
      </w:pPr>
    </w:p>
    <w:p>
      <w:pPr>
        <w:pStyle w:val="11"/>
        <w:rPr>
          <w:rFonts w:hint="default" w:eastAsia="Univers 57 Condensed"/>
          <w:lang w:val="en-US" w:eastAsia="zh-CN"/>
        </w:rPr>
      </w:pPr>
    </w:p>
    <w:p>
      <w:pPr>
        <w:pStyle w:val="11"/>
        <w:rPr>
          <w:rFonts w:hint="default" w:eastAsia="Univers 57 Condensed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等效医疗器械对比评价报告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{产品名称}</w:t>
      </w: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{产品型号}</w:t>
      </w: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报告编号: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版    本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(V1.0)</w:t>
            </w:r>
          </w:p>
        </w:tc>
      </w:tr>
    </w:tbl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拟制</w:t>
      </w:r>
      <w:r>
        <w:rPr>
          <w:rFonts w:hint="default" w:ascii="Times New Roman" w:hAnsi="Times New Roman" w:eastAsia="宋体" w:cs="Times New Roman"/>
          <w:sz w:val="24"/>
          <w:szCs w:val="24"/>
        </w:rPr>
        <w:t>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批准人: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11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{深圳市****股份有限公司</w:t>
      </w:r>
      <w:r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}</w:t>
      </w:r>
    </w:p>
    <w:p>
      <w:pPr>
        <w:pStyle w:val="11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spacing w:before="120" w:after="120"/>
        <w:ind w:firstLine="301"/>
        <w:jc w:val="both"/>
      </w:pPr>
      <w:r>
        <w:rPr>
          <w:rStyle w:val="15"/>
          <w:rFonts w:ascii="Times New Roman" w:hAnsi="Times New Roman" w:cs="Times New Roman"/>
          <w:b/>
          <w:bCs/>
          <w:sz w:val="30"/>
          <w:szCs w:val="30"/>
        </w:rPr>
        <w:t>修订历史记录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tbl>
      <w:tblPr>
        <w:tblStyle w:val="7"/>
        <w:tblW w:w="8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69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insoku w:val="0"/>
              <w:overflowPunct w:val="0"/>
              <w:ind w:left="194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insoku w:val="0"/>
              <w:overflowPunct w:val="0"/>
              <w:jc w:val="center"/>
            </w:pPr>
            <w:r>
              <w:rPr>
                <w:rFonts w:hint="eastAsia"/>
              </w:rPr>
              <w:t>修改内容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insoku w:val="0"/>
              <w:overflowPunct w:val="0"/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**-**-**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1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3239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="0" w:leftChars="0" w:right="0" w:rightChars="0" w:firstLine="0" w:firstLineChars="0"/>
            <w:jc w:val="center"/>
            <w:textAlignment w:val="auto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_Toc5866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1 概述</w:t>
          </w:r>
          <w:r>
            <w:tab/>
          </w:r>
          <w:r>
            <w:fldChar w:fldCharType="begin"/>
          </w:r>
          <w:r>
            <w:instrText xml:space="preserve"> PAGEREF _Toc5866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_Toc6063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2 评价的目的</w:t>
          </w:r>
          <w:r>
            <w:tab/>
          </w:r>
          <w:r>
            <w:fldChar w:fldCharType="begin"/>
          </w:r>
          <w:r>
            <w:instrText xml:space="preserve"> PAGEREF _Toc6063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_Toc3874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3 对象</w:t>
          </w:r>
          <w:r>
            <w:tab/>
          </w:r>
          <w:r>
            <w:fldChar w:fldCharType="begin"/>
          </w:r>
          <w:r>
            <w:instrText xml:space="preserve"> PAGEREF _Toc3874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_Toc13296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4 路径</w:t>
          </w:r>
          <w:r>
            <w:tab/>
          </w:r>
          <w:r>
            <w:fldChar w:fldCharType="begin"/>
          </w:r>
          <w:r>
            <w:instrText xml:space="preserve"> PAGEREF _Toc13296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_Toc31430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5支持证据</w:t>
          </w:r>
          <w:r>
            <w:tab/>
          </w:r>
          <w:r>
            <w:fldChar w:fldCharType="begin"/>
          </w:r>
          <w:r>
            <w:instrText xml:space="preserve"> PAGEREF _Toc31430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_Toc17017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kern w:val="2"/>
              <w:szCs w:val="24"/>
              <w:lang w:val="en-US" w:eastAsia="zh-CN" w:bidi="ar-SA"/>
            </w:rPr>
            <w:t>5.1 等效医疗器械可用性确认结果</w:t>
          </w:r>
          <w:r>
            <w:tab/>
          </w:r>
          <w:r>
            <w:fldChar w:fldCharType="begin"/>
          </w:r>
          <w:r>
            <w:instrText xml:space="preserve"> PAGEREF _Toc17017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_Toc30283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kern w:val="2"/>
              <w:szCs w:val="24"/>
              <w:lang w:val="en-US" w:eastAsia="zh-CN" w:bidi="ar-SA"/>
            </w:rPr>
            <w:t>5.2 申报产品与等效医疗器械对比分析</w:t>
          </w:r>
          <w:r>
            <w:tab/>
          </w:r>
          <w:r>
            <w:fldChar w:fldCharType="begin"/>
          </w:r>
          <w:r>
            <w:instrText xml:space="preserve"> PAGEREF _Toc30283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420" w:firstLineChars="200"/>
            <w:textAlignment w:val="auto"/>
          </w:pPr>
          <w:r>
            <w:fldChar w:fldCharType="begin"/>
          </w:r>
          <w:r>
            <w:instrText xml:space="preserve"> HYPERLINK \l _Toc5158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5.3 同类医疗器械上市后使用问题分析</w:t>
          </w:r>
          <w:r>
            <w:tab/>
          </w:r>
          <w:r>
            <w:fldChar w:fldCharType="begin"/>
          </w:r>
          <w:r>
            <w:instrText xml:space="preserve"> PAGEREF _Toc5158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_Toc31757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6 结论</w:t>
          </w:r>
          <w:r>
            <w:tab/>
          </w:r>
          <w:r>
            <w:fldChar w:fldCharType="begin"/>
          </w:r>
          <w:r>
            <w:instrText xml:space="preserve"> PAGEREF _Toc31757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_Toc19498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7 评价人员简历</w:t>
          </w:r>
          <w:r>
            <w:tab/>
          </w:r>
          <w:r>
            <w:fldChar w:fldCharType="begin"/>
          </w:r>
          <w:r>
            <w:instrText xml:space="preserve"> PAGEREF _Toc19498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jc w:val="both"/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fldChar w:fldCharType="end"/>
          </w:r>
        </w:p>
      </w:sdtContent>
    </w:sdt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0" w:name="_Toc5866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1 概述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我公司研制开发的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供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{**科室}</w:t>
      </w: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根据《医疗器械分类目录》的规定，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为III类的医疗器械，类别代号为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****</w:t>
      </w: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。目前国内已有多个同类产品注册上市，广泛应用多年，其临床上的安全性、有效性早已得到确认。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1" w:name="_Toc6063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2 评价的目的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通过与等效医疗器械的可用性进行对比分析，评估产品的安全有效性。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2" w:name="_Toc3874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3 对象</w:t>
      </w:r>
      <w:bookmarkEnd w:id="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（</w:t>
      </w:r>
    </w:p>
    <w:tbl>
      <w:tblPr>
        <w:tblStyle w:val="7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85"/>
        <w:gridCol w:w="1807"/>
        <w:gridCol w:w="941"/>
        <w:gridCol w:w="1254"/>
        <w:gridCol w:w="1337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测试器械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制造商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型号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生产日期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SN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注册证编号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申报器械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2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等效医疗器械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说明：等效医疗器械与临床评价中的同品种产品一直，与申报医疗器械在预期用途、适用人群、用户组、用户特征、使用场合、环境条件、操作任务、人机交互方式、用户接口等方面基本等同。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）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3" w:name="_Toc13296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4 路径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评价路径包括等效医疗器械对比分析、同类医疗器械上市后使用问题分析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4" w:name="_Toc31430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5支持证据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1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bookmarkStart w:id="5" w:name="_Toc17017"/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5.1 等效医疗器械可用性确认结果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9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等效医疗器械采用《总结性可用性测试计划》中的方案进行总结性可用性测试，测试结果如下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bookmarkStart w:id="6" w:name="_Toc8944"/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【记录等效医疗器械的测试结果。】</w:t>
      </w:r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7" w:name="_Toc30283"/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5.2 申报产品与等效医疗器械对比分析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bookmarkStart w:id="8" w:name="_Toc2987"/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【将等效器械的测试结果与对比产品进行对比，分析得出结论。】</w:t>
      </w:r>
      <w:bookmarkEnd w:id="8"/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9" w:name="_Toc5158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5.3 同类医疗器械上市后使用问题分析</w:t>
      </w:r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为收集同类产品上市后使用问题，我们分别在国家药品监督管理官网，英国不良事件及召回信息数据库，FDA不良事件和召回信息数据库所有同类产品上市后使用的问题，并针对收集到的上市后数据进行风险分析，详细见《临床评价报告》中的</w:t>
      </w:r>
      <w:bookmarkStart w:id="10" w:name="_Toc20856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附录E. 经验数据收集和筛选报告</w:t>
      </w:r>
      <w:bookmarkEnd w:id="10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bookmarkStart w:id="11" w:name="_Toc31757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6 结论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申报产品在临床使用的可用性方面不比已经上市的等效医疗器械差。甚至在某些方面，申报产品还比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等效医疗器械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要好。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2" w:name="_Toc10008"/>
      <w:bookmarkStart w:id="13" w:name="_Toc28351"/>
      <w:bookmarkStart w:id="14" w:name="_Toc28777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因此，我们认为，申报产品的可用性方面可以满足于临床使用。</w:t>
      </w:r>
      <w:bookmarkEnd w:id="12"/>
      <w:bookmarkEnd w:id="13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bookmarkStart w:id="15" w:name="_Toc19498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7 评价人员简历</w:t>
      </w:r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***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有多年的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的人因设计相关知识和工作经验，对总结性可用性测试结果进行分析，并最终对等效医疗器械对比评价报告的内容进行审核确认。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的个人简历如下：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bookmarkStart w:id="16" w:name="_Toc31870"/>
      <w:bookmarkStart w:id="17" w:name="_Toc6133"/>
      <w:bookmarkStart w:id="18" w:name="_Toc13657"/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请补充可用性评价人员简历，该人员需要有人因设计相关知识和工作经验。</w:t>
      </w:r>
      <w:bookmarkEnd w:id="16"/>
      <w:bookmarkEnd w:id="17"/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11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A965595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translated-span"/>
    <w:basedOn w:val="9"/>
    <w:qFormat/>
    <w:uiPriority w:val="0"/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2023-06-26T12:48:41Z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